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Service Level Agreement — SUP-001</w:t>
      </w:r>
    </w:p>
    <w:p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Effective Date: June 1, 2026   |   Renewal Date: June 1, 2027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 Parties</w:t>
      </w:r>
    </w:p>
    <w:p>
      <w:r>
        <w:rPr>
          <w:rFonts w:ascii="Arial" w:cs="Arial" w:eastAsia="Arial" w:hAnsi="Arial"/>
          <w:sz w:val="20"/>
          <w:szCs w:val="20"/>
        </w:rPr>
        <w:t xml:space="preserve">This Service Level Agreement ("Agreement") is entered into between the Company ("Buyer") and the supplier identified by internal code SUP-001 ("Supplier"). This Agreement governs the minimum performance standards the Supplier must meet in the delivery of goods or services.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 Performance Metrics</w:t>
      </w:r>
    </w:p>
    <w:p>
      <w:r>
        <w:rPr>
          <w:rFonts w:ascii="Arial" w:cs="Arial" w:eastAsia="Arial" w:hAnsi="Arial"/>
          <w:sz w:val="20"/>
          <w:szCs w:val="20"/>
        </w:rPr>
        <w:t xml:space="preserve">The Supplier agrees to meet or exceed the following minimum performance thresholds at all times during the term of this Agreement: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Agreed Threshold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Maximum Allowable Defect Rate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3.5%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Minimum On-Time Delivery Rate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95%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Maximum Delivery Lead Time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22 days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 Definitions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Defect Rate: The percentage of delivered units found to be non-conforming upon inspection. The Supplier must not exceed 3.5% in any given delivery period.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On-Time Delivery Rate: The percentage of orders delivered by the confirmed delivery date. The Supplier must achieve a minimum of 95% across any rolling 30-day period.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Delivery Lead Time: The number of calendar days between confirmed purchase order and physical delivery at the Buyer's facility. The Supplier must not exceed 22 days.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 Breach and Remediation</w:t>
      </w:r>
    </w:p>
    <w:p>
      <w:r>
        <w:rPr>
          <w:rFonts w:ascii="Arial" w:cs="Arial" w:eastAsia="Arial" w:hAnsi="Arial"/>
          <w:sz w:val="20"/>
          <w:szCs w:val="20"/>
        </w:rPr>
        <w:t xml:space="preserve">In the event the Supplier fails to meet any metric defined in Section 2, the following process applies: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The Buyer will issue a written notice of non-compliance within 5 business days of identifying the breach.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The Supplier must submit a corrective action plan within 10 business days of receiving notice.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Failure to remediate within 30 days of the corrective action plan submission may result in contract review or termination.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 Review and Amendment</w:t>
      </w:r>
    </w:p>
    <w:p>
      <w:r>
        <w:rPr>
          <w:rFonts w:ascii="Arial" w:cs="Arial" w:eastAsia="Arial" w:hAnsi="Arial"/>
          <w:sz w:val="20"/>
          <w:szCs w:val="20"/>
        </w:rPr>
        <w:t xml:space="preserve">This Agreement shall be reviewed annually. Either party may request an amendment with 30 days written notice. The current Agreement is valid through June 1, 2027.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 behalf of the Buyer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 behalf of Supplier SUP-001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Signature: ___________________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Signature: ___________________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Name: ___________________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Name: ___________________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Title: ___________________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Title: ___________________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Date: June 1, 2026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Date: June 1, 2026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2026-06-01T10:47:25.207Z</dcterms:created>
  <dcterms:modified xsi:type="dcterms:W3CDTF">2026-06-01T10:47:25.207Z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