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b/>
          <w:i w:val="0"/>
          <w:color w:val="2E74B5"/>
          <w:sz w:val="20"/>
        </w:rPr>
        <w:t>PRODUCT &amp; KNOWLEDGE DESIGN</w:t>
      </w:r>
    </w:p>
    <w:p>
      <w:pPr>
        <w:keepNext/>
        <w:spacing w:before="0" w:after="100"/>
      </w:pPr>
      <w:r>
        <w:rPr>
          <w:rFonts w:ascii="Calibri" w:hAnsi="Calibri"/>
          <w:b/>
          <w:i w:val="0"/>
          <w:color w:val="0B2545"/>
          <w:sz w:val="52"/>
        </w:rPr>
        <w:t>Tavra × Senso</w:t>
      </w:r>
    </w:p>
    <w:p>
      <w:pPr>
        <w:keepNext/>
        <w:spacing w:after="280"/>
      </w:pPr>
      <w:r>
        <w:rPr>
          <w:rFonts w:ascii="Calibri" w:hAnsi="Calibri"/>
          <w:b w:val="0"/>
          <w:i w:val="0"/>
          <w:color w:val="5B6574"/>
          <w:sz w:val="27"/>
        </w:rPr>
        <w:t>Identity-aware Team Recovery with verified context and delta-only questions</w:t>
      </w:r>
    </w:p>
    <w:p>
      <w:pPr>
        <w:spacing w:after="40"/>
      </w:pPr>
      <w:r>
        <w:rPr>
          <w:rFonts w:ascii="Calibri" w:hAnsi="Calibri"/>
          <w:b/>
          <w:i w:val="0"/>
          <w:color w:val="0B2545"/>
          <w:sz w:val="22"/>
        </w:rPr>
        <w:t xml:space="preserve">Status: </w:t>
      </w:r>
      <w:r>
        <w:rPr>
          <w:rFonts w:ascii="Calibri" w:hAnsi="Calibri"/>
          <w:b w:val="0"/>
          <w:i w:val="0"/>
          <w:color w:val="1F2937"/>
          <w:sz w:val="22"/>
        </w:rPr>
        <w:t>Locked use case for the hackathon vertical slice</w:t>
      </w:r>
    </w:p>
    <w:p>
      <w:pPr>
        <w:spacing w:after="40"/>
      </w:pPr>
      <w:r>
        <w:rPr>
          <w:rFonts w:ascii="Calibri" w:hAnsi="Calibri"/>
          <w:b/>
          <w:i w:val="0"/>
          <w:color w:val="0B2545"/>
          <w:sz w:val="22"/>
        </w:rPr>
        <w:t xml:space="preserve">Scope: </w:t>
      </w:r>
      <w:r>
        <w:rPr>
          <w:rFonts w:ascii="Calibri" w:hAnsi="Calibri"/>
          <w:b w:val="0"/>
          <w:i w:val="0"/>
          <w:color w:val="1F2937"/>
          <w:sz w:val="22"/>
        </w:rPr>
        <w:t>Team Recovery only; no Personal Recovery fallback</w:t>
      </w:r>
    </w:p>
    <w:p>
      <w:pPr>
        <w:spacing w:after="40"/>
      </w:pPr>
      <w:r>
        <w:rPr>
          <w:rFonts w:ascii="Calibri" w:hAnsi="Calibri"/>
          <w:b/>
          <w:i w:val="0"/>
          <w:color w:val="0B2545"/>
          <w:sz w:val="22"/>
        </w:rPr>
        <w:t xml:space="preserve">Primary scenario: </w:t>
      </w:r>
      <w:r>
        <w:rPr>
          <w:rFonts w:ascii="Calibri" w:hAnsi="Calibri"/>
          <w:b w:val="0"/>
          <w:i w:val="0"/>
          <w:color w:val="1F2937"/>
          <w:sz w:val="22"/>
        </w:rPr>
        <w:t>Delayed baggage before an 08:00 client meeting in Boston</w:t>
      </w:r>
    </w:p>
    <w:p>
      <w:pPr>
        <w:spacing w:after="40"/>
      </w:pPr>
      <w:r>
        <w:rPr>
          <w:rFonts w:ascii="Calibri" w:hAnsi="Calibri"/>
          <w:b/>
          <w:i w:val="0"/>
          <w:color w:val="0B2545"/>
          <w:sz w:val="22"/>
        </w:rPr>
        <w:t xml:space="preserve">Prepared: </w:t>
      </w:r>
      <w:r>
        <w:rPr>
          <w:rFonts w:ascii="Calibri" w:hAnsi="Calibri"/>
          <w:b w:val="0"/>
          <w:i w:val="0"/>
          <w:color w:val="1F2937"/>
          <w:sz w:val="22"/>
        </w:rPr>
        <w:t>1 August 2026</w:t>
      </w:r>
    </w:p>
    <w:p>
      <w:pPr>
        <w:spacing w:after="100"/>
      </w:pPr>
    </w:p>
    <w:tbl>
      <w:tblPr>
        <w:tblStyle w:val="TableGrid"/>
        <w:tblW w:type="dxa" w:w="9360"/>
        <w:jc w:val="left"/>
        <w:tblLayout w:type="fixed"/>
        <w:tblLook w:firstColumn="1" w:firstRow="1" w:lastColumn="0" w:lastRow="0" w:noHBand="0" w:noVBand="1" w:val="04A0"/>
        <w:tblInd w:w="120" w:type="dxa"/>
        <w:tblBorders>
          <w:top w:val="single" w:sz="6" w:color="BCD4E6"/>
          <w:left w:val="single" w:sz="6" w:color="BCD4E6"/>
          <w:bottom w:val="single" w:sz="6" w:color="BCD4E6"/>
          <w:right w:val="single" w:sz="6" w:color="BCD4E6"/>
          <w:insideH w:val="single" w:sz="6" w:color="BCD4E6"/>
          <w:insideV w:val="single" w:sz="6" w:color="BCD4E6"/>
        </w:tblBorders>
      </w:tblPr>
      <w:tblGrid>
        <w:gridCol w:w="9360"/>
      </w:tblGrid>
      <w:tr>
        <w:tc>
          <w:tcPr>
            <w:tcW w:type="dxa" w:w="9360"/>
            <w:vAlign w:val="center"/>
            <w:tcMar>
              <w:top w:w="80" w:type="dxa"/>
              <w:start w:w="120" w:type="dxa"/>
              <w:bottom w:w="80" w:type="dxa"/>
              <w:end w:w="120" w:type="dxa"/>
            </w:tcMar>
            <w:shd w:fill="EEF5FB"/>
          </w:tcPr>
          <w:p>
            <w:pPr>
              <w:spacing w:after="60"/>
            </w:pPr>
            <w:r>
              <w:rPr>
                <w:rFonts w:ascii="Calibri" w:hAnsi="Calibri"/>
                <w:b/>
                <w:i w:val="0"/>
                <w:color w:val="0B2545"/>
                <w:sz w:val="22"/>
              </w:rPr>
              <w:t>Decision</w:t>
            </w:r>
            <w:r>
              <w:rPr>
                <w:rFonts w:ascii="Calibri" w:hAnsi="Calibri"/>
                <w:b w:val="0"/>
                <w:i w:val="0"/>
                <w:color w:val="1F2937"/>
                <w:sz w:val="22"/>
              </w:rPr>
              <w:br/>
              <w:t>Tavra resolves the Linq sender number to an exact company employee, retrieves that employee's profile and permitted policy context from Senso, and asks only for missing, stale, conflicting, or checkout-critical confirmations. Senso supplies evidence and outcome memory; deterministic Tavra code controls identity, policy calculations, authorization, and money.</w:t>
            </w:r>
          </w:p>
        </w:tc>
      </w:tr>
    </w:tbl>
    <w:p>
      <w:pPr>
        <w:spacing w:after="40"/>
      </w:pPr>
    </w:p>
    <w:p>
      <w:pPr>
        <w:pStyle w:val="Heading1"/>
        <w:keepNext/>
      </w:pPr>
      <w:r>
        <w:t>1. Product scope</w:t>
      </w:r>
    </w:p>
    <w:p>
      <w:pPr>
        <w:spacing w:after="120" w:line="264" w:lineRule="auto"/>
      </w:pPr>
      <w:r>
        <w:rPr>
          <w:rFonts w:ascii="Calibri" w:hAnsi="Calibri"/>
          <w:b w:val="0"/>
          <w:i w:val="0"/>
          <w:color w:val="1F2937"/>
          <w:sz w:val="22"/>
        </w:rPr>
        <w:t>The hackathon product is an organization-backed Team Recovery workflow. The employee states the disruption once. Tavra reconstructs what the company already knows—identity, sizes, employee category, spending authority, evidence rules and prior outcomes—then requests only the remaining information needed to recover the trip safely.</w:t>
      </w:r>
    </w:p>
    <w:p>
      <w:pPr>
        <w:pStyle w:val="ListBullet"/>
        <w:spacing w:after="160" w:line="280" w:lineRule="auto"/>
        <w:ind w:left="720" w:hanging="360"/>
      </w:pPr>
      <w:r>
        <w:rPr>
          <w:rFonts w:ascii="Calibri" w:hAnsi="Calibri"/>
          <w:b w:val="0"/>
          <w:i w:val="0"/>
          <w:color w:val="1F2937"/>
          <w:sz w:val="22"/>
        </w:rPr>
        <w:t>In scope: employee identification, stored sizes and preferences, company policy, airline/airport evidence collection, merchant selection, exact approval, claim-ready evidence and verified outcome memory.</w:t>
      </w:r>
    </w:p>
    <w:p>
      <w:pPr>
        <w:pStyle w:val="ListBullet"/>
        <w:spacing w:after="160" w:line="280" w:lineRule="auto"/>
        <w:ind w:left="720" w:hanging="360"/>
      </w:pPr>
      <w:r>
        <w:rPr>
          <w:rFonts w:ascii="Calibri" w:hAnsi="Calibri"/>
          <w:b w:val="0"/>
          <w:i w:val="0"/>
          <w:color w:val="1F2937"/>
          <w:sz w:val="22"/>
        </w:rPr>
        <w:t>Out of scope: Personal Recovery, semantic identity guessing, unrestricted internet research, autonomous policy exceptions, card data in model context, and submitting reimbursement claims.</w:t>
      </w:r>
    </w:p>
    <w:p>
      <w:pPr>
        <w:pStyle w:val="ListBullet"/>
        <w:spacing w:after="160" w:line="280" w:lineRule="auto"/>
        <w:ind w:left="720" w:hanging="360"/>
      </w:pPr>
      <w:r>
        <w:rPr>
          <w:rFonts w:ascii="Calibri" w:hAnsi="Calibri"/>
          <w:b w:val="0"/>
          <w:i w:val="0"/>
          <w:color w:val="1F2937"/>
          <w:sz w:val="22"/>
        </w:rPr>
        <w:t>Unknown company phone numbers receive no employee information and no personal-mode fallback; they are routed to an organization-verification path.</w:t>
      </w:r>
    </w:p>
    <w:p>
      <w:pPr>
        <w:pStyle w:val="Heading1"/>
        <w:keepNext/>
      </w:pPr>
      <w:r>
        <w:t>2. Responsibility model</w:t>
      </w:r>
    </w:p>
    <w:tbl>
      <w:tblPr>
        <w:tblStyle w:val="TableGrid"/>
        <w:tblW w:type="dxa" w:w="9360"/>
        <w:jc w:val="left"/>
        <w:tblLayout w:type="fixed"/>
        <w:tblLook w:firstColumn="1" w:firstRow="1" w:lastColumn="0" w:lastRow="0" w:noHBand="0" w:noVBand="1" w:val="04A0"/>
        <w:tblInd w:w="120" w:type="dxa"/>
        <w:tblBorders>
          <w:top w:val="single" w:sz="5" w:color="D6DCE5"/>
          <w:left w:val="single" w:sz="5" w:color="D6DCE5"/>
          <w:bottom w:val="single" w:sz="5" w:color="D6DCE5"/>
          <w:right w:val="single" w:sz="5" w:color="D6DCE5"/>
          <w:insideH w:val="single" w:sz="5" w:color="D6DCE5"/>
          <w:insideV w:val="single" w:sz="5" w:color="D6DCE5"/>
        </w:tblBorders>
      </w:tblPr>
      <w:tblGrid>
        <w:gridCol w:w="1500"/>
        <w:gridCol w:w="3990"/>
        <w:gridCol w:w="3870"/>
      </w:tblGrid>
      <w:tr>
        <w:trPr>
          <w:tblHeader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9"/>
              </w:rPr>
              <w:t>Layer</w:t>
            </w:r>
          </w:p>
        </w:tc>
        <w:tc>
          <w:tcPr>
            <w:tcW w:type="dxa" w:w="3990"/>
            <w:shd w:fill="E8EEF5"/>
            <w:vAlign w:val="center"/>
            <w:tcMar>
              <w:top w:w="80" w:type="dxa"/>
              <w:start w:w="120" w:type="dxa"/>
              <w:bottom w:w="80" w:type="dxa"/>
              <w:end w:w="120" w:type="dxa"/>
            </w:tcMar>
          </w:tcPr>
          <w:p>
            <w:pPr>
              <w:spacing w:after="0"/>
            </w:pPr>
            <w:r>
              <w:rPr>
                <w:rFonts w:ascii="Calibri" w:hAnsi="Calibri"/>
                <w:b/>
                <w:i w:val="0"/>
                <w:color w:val="0B2545"/>
                <w:sz w:val="19"/>
              </w:rPr>
              <w:t>Owns</w:t>
            </w:r>
          </w:p>
        </w:tc>
        <w:tc>
          <w:tcPr>
            <w:tcW w:type="dxa" w:w="3870"/>
            <w:shd w:fill="E8EEF5"/>
            <w:vAlign w:val="center"/>
            <w:tcMar>
              <w:top w:w="80" w:type="dxa"/>
              <w:start w:w="120" w:type="dxa"/>
              <w:bottom w:w="80" w:type="dxa"/>
              <w:end w:w="120" w:type="dxa"/>
            </w:tcMar>
          </w:tcPr>
          <w:p>
            <w:pPr>
              <w:spacing w:after="0"/>
            </w:pPr>
            <w:r>
              <w:rPr>
                <w:rFonts w:ascii="Calibri" w:hAnsi="Calibri"/>
                <w:b/>
                <w:i w:val="0"/>
                <w:color w:val="0B2545"/>
                <w:sz w:val="19"/>
              </w:rPr>
              <w:t>Must not own</w:t>
            </w:r>
          </w:p>
        </w:tc>
      </w:tr>
      <w:tr>
        <w:tc>
          <w:tcPr>
            <w:tcW w:type="dxa" w:w="1500"/>
            <w:vAlign w:val="center"/>
            <w:tcMar>
              <w:top w:w="80" w:type="dxa"/>
              <w:start w:w="120" w:type="dxa"/>
              <w:bottom w:w="80" w:type="dxa"/>
              <w:end w:w="120" w:type="dxa"/>
            </w:tcMar>
          </w:tcPr>
          <w:p>
            <w:pPr>
              <w:spacing w:after="0" w:line="252" w:lineRule="auto"/>
            </w:pPr>
            <w:r>
              <w:rPr>
                <w:rFonts w:ascii="Calibri" w:hAnsi="Calibri"/>
                <w:b w:val="0"/>
                <w:i w:val="0"/>
                <w:color w:val="1F2937"/>
                <w:sz w:val="18"/>
              </w:rPr>
              <w:t>Linq</w:t>
            </w:r>
          </w:p>
        </w:tc>
        <w:tc>
          <w:tcPr>
            <w:tcW w:type="dxa" w:w="3990"/>
            <w:vAlign w:val="center"/>
            <w:tcMar>
              <w:top w:w="80" w:type="dxa"/>
              <w:start w:w="120" w:type="dxa"/>
              <w:bottom w:w="80" w:type="dxa"/>
              <w:end w:w="120" w:type="dxa"/>
            </w:tcMar>
          </w:tcPr>
          <w:p>
            <w:pPr>
              <w:spacing w:after="0" w:line="252" w:lineRule="auto"/>
            </w:pPr>
            <w:r>
              <w:rPr>
                <w:rFonts w:ascii="Calibri" w:hAnsi="Calibri"/>
                <w:b w:val="0"/>
                <w:i w:val="0"/>
                <w:color w:val="1F2937"/>
                <w:sz w:val="18"/>
              </w:rPr>
              <w:t>Inbound sender identity and iMessage delivery</w:t>
            </w:r>
          </w:p>
        </w:tc>
        <w:tc>
          <w:tcPr>
            <w:tcW w:type="dxa" w:w="3870"/>
            <w:vAlign w:val="center"/>
            <w:tcMar>
              <w:top w:w="80" w:type="dxa"/>
              <w:start w:w="120" w:type="dxa"/>
              <w:bottom w:w="80" w:type="dxa"/>
              <w:end w:w="120" w:type="dxa"/>
            </w:tcMar>
          </w:tcPr>
          <w:p>
            <w:pPr>
              <w:spacing w:after="0" w:line="252" w:lineRule="auto"/>
            </w:pPr>
            <w:r>
              <w:rPr>
                <w:rFonts w:ascii="Calibri" w:hAnsi="Calibri"/>
                <w:b w:val="0"/>
                <w:i w:val="0"/>
                <w:color w:val="1F2937"/>
                <w:sz w:val="18"/>
              </w:rPr>
              <w:t>Employee policy or payment authority</w:t>
            </w:r>
          </w:p>
        </w:tc>
      </w:tr>
      <w:tr>
        <w:tc>
          <w:tcPr>
            <w:tcW w:type="dxa" w:w="1500"/>
            <w:vAlign w:val="center"/>
            <w:tcMar>
              <w:top w:w="80" w:type="dxa"/>
              <w:start w:w="120" w:type="dxa"/>
              <w:bottom w:w="80" w:type="dxa"/>
              <w:end w:w="120" w:type="dxa"/>
            </w:tcMar>
          </w:tcPr>
          <w:p>
            <w:pPr>
              <w:spacing w:after="0" w:line="252" w:lineRule="auto"/>
            </w:pPr>
            <w:r>
              <w:rPr>
                <w:rFonts w:ascii="Calibri" w:hAnsi="Calibri"/>
                <w:b w:val="0"/>
                <w:i w:val="0"/>
                <w:color w:val="1F2937"/>
                <w:sz w:val="18"/>
              </w:rPr>
              <w:t>Tavra backend</w:t>
            </w:r>
          </w:p>
        </w:tc>
        <w:tc>
          <w:tcPr>
            <w:tcW w:type="dxa" w:w="3990"/>
            <w:vAlign w:val="center"/>
            <w:tcMar>
              <w:top w:w="80" w:type="dxa"/>
              <w:start w:w="120" w:type="dxa"/>
              <w:bottom w:w="80" w:type="dxa"/>
              <w:end w:w="120" w:type="dxa"/>
            </w:tcMar>
          </w:tcPr>
          <w:p>
            <w:pPr>
              <w:spacing w:after="0" w:line="252" w:lineRule="auto"/>
            </w:pPr>
            <w:r>
              <w:rPr>
                <w:rFonts w:ascii="Calibri" w:hAnsi="Calibri"/>
                <w:b w:val="0"/>
                <w:i w:val="0"/>
                <w:color w:val="1F2937"/>
                <w:sz w:val="18"/>
              </w:rPr>
              <w:t>Exact identity mapping, state, policy calculation, authorization and audit</w:t>
            </w:r>
          </w:p>
        </w:tc>
        <w:tc>
          <w:tcPr>
            <w:tcW w:type="dxa" w:w="3870"/>
            <w:vAlign w:val="center"/>
            <w:tcMar>
              <w:top w:w="80" w:type="dxa"/>
              <w:start w:w="120" w:type="dxa"/>
              <w:bottom w:w="80" w:type="dxa"/>
              <w:end w:w="120" w:type="dxa"/>
            </w:tcMar>
          </w:tcPr>
          <w:p>
            <w:pPr>
              <w:spacing w:after="0" w:line="252" w:lineRule="auto"/>
            </w:pPr>
            <w:r>
              <w:rPr>
                <w:rFonts w:ascii="Calibri" w:hAnsi="Calibri"/>
                <w:b w:val="0"/>
                <w:i w:val="0"/>
                <w:color w:val="1F2937"/>
                <w:sz w:val="18"/>
              </w:rPr>
              <w:t>Semantic answers or card credentials</w:t>
            </w:r>
          </w:p>
        </w:tc>
      </w:tr>
      <w:tr>
        <w:tc>
          <w:tcPr>
            <w:tcW w:type="dxa" w:w="1500"/>
            <w:vAlign w:val="center"/>
            <w:tcMar>
              <w:top w:w="80" w:type="dxa"/>
              <w:start w:w="120" w:type="dxa"/>
              <w:bottom w:w="80" w:type="dxa"/>
              <w:end w:w="120" w:type="dxa"/>
            </w:tcMar>
          </w:tcPr>
          <w:p>
            <w:pPr>
              <w:spacing w:after="0" w:line="252" w:lineRule="auto"/>
            </w:pPr>
            <w:r>
              <w:rPr>
                <w:rFonts w:ascii="Calibri" w:hAnsi="Calibri"/>
                <w:b w:val="0"/>
                <w:i w:val="0"/>
                <w:color w:val="1F2937"/>
                <w:sz w:val="18"/>
              </w:rPr>
              <w:t>OpenAI</w:t>
            </w:r>
          </w:p>
        </w:tc>
        <w:tc>
          <w:tcPr>
            <w:tcW w:type="dxa" w:w="3990"/>
            <w:vAlign w:val="center"/>
            <w:tcMar>
              <w:top w:w="80" w:type="dxa"/>
              <w:start w:w="120" w:type="dxa"/>
              <w:bottom w:w="80" w:type="dxa"/>
              <w:end w:w="120" w:type="dxa"/>
            </w:tcMar>
          </w:tcPr>
          <w:p>
            <w:pPr>
              <w:spacing w:after="0" w:line="252" w:lineRule="auto"/>
            </w:pPr>
            <w:r>
              <w:rPr>
                <w:rFonts w:ascii="Calibri" w:hAnsi="Calibri"/>
                <w:b w:val="0"/>
                <w:i w:val="0"/>
                <w:color w:val="1F2937"/>
                <w:sz w:val="18"/>
              </w:rPr>
              <w:t>Incident extraction, missing-field reasoning and concise explanations</w:t>
            </w:r>
          </w:p>
        </w:tc>
        <w:tc>
          <w:tcPr>
            <w:tcW w:type="dxa" w:w="3870"/>
            <w:vAlign w:val="center"/>
            <w:tcMar>
              <w:top w:w="80" w:type="dxa"/>
              <w:start w:w="120" w:type="dxa"/>
              <w:bottom w:w="80" w:type="dxa"/>
              <w:end w:w="120" w:type="dxa"/>
            </w:tcMar>
          </w:tcPr>
          <w:p>
            <w:pPr>
              <w:spacing w:after="0" w:line="252" w:lineRule="auto"/>
            </w:pPr>
            <w:r>
              <w:rPr>
                <w:rFonts w:ascii="Calibri" w:hAnsi="Calibri"/>
                <w:b w:val="0"/>
                <w:i w:val="0"/>
                <w:color w:val="1F2937"/>
                <w:sz w:val="18"/>
              </w:rPr>
              <w:t>Identity lookup, final spend decision or invented facts</w:t>
            </w:r>
          </w:p>
        </w:tc>
      </w:tr>
      <w:tr>
        <w:tc>
          <w:tcPr>
            <w:tcW w:type="dxa" w:w="1500"/>
            <w:vAlign w:val="center"/>
            <w:tcMar>
              <w:top w:w="80" w:type="dxa"/>
              <w:start w:w="120" w:type="dxa"/>
              <w:bottom w:w="80" w:type="dxa"/>
              <w:end w:w="120" w:type="dxa"/>
            </w:tcMar>
          </w:tcPr>
          <w:p>
            <w:pPr>
              <w:spacing w:after="0" w:line="252" w:lineRule="auto"/>
            </w:pPr>
            <w:r>
              <w:rPr>
                <w:rFonts w:ascii="Calibri" w:hAnsi="Calibri"/>
                <w:b w:val="0"/>
                <w:i w:val="0"/>
                <w:color w:val="1F2937"/>
                <w:sz w:val="18"/>
              </w:rPr>
              <w:t>Senso</w:t>
            </w:r>
          </w:p>
        </w:tc>
        <w:tc>
          <w:tcPr>
            <w:tcW w:type="dxa" w:w="3990"/>
            <w:vAlign w:val="center"/>
            <w:tcMar>
              <w:top w:w="80" w:type="dxa"/>
              <w:start w:w="120" w:type="dxa"/>
              <w:bottom w:w="80" w:type="dxa"/>
              <w:end w:w="120" w:type="dxa"/>
            </w:tcMar>
          </w:tcPr>
          <w:p>
            <w:pPr>
              <w:spacing w:after="0" w:line="252" w:lineRule="auto"/>
            </w:pPr>
            <w:r>
              <w:rPr>
                <w:rFonts w:ascii="Calibri" w:hAnsi="Calibri"/>
                <w:b w:val="0"/>
                <w:i w:val="0"/>
                <w:color w:val="1F2937"/>
                <w:sz w:val="18"/>
              </w:rPr>
              <w:t>Scoped employee/company context, cited evidence and verified outcome memory</w:t>
            </w:r>
          </w:p>
        </w:tc>
        <w:tc>
          <w:tcPr>
            <w:tcW w:type="dxa" w:w="3870"/>
            <w:vAlign w:val="center"/>
            <w:tcMar>
              <w:top w:w="80" w:type="dxa"/>
              <w:start w:w="120" w:type="dxa"/>
              <w:bottom w:w="80" w:type="dxa"/>
              <w:end w:w="120" w:type="dxa"/>
            </w:tcMar>
          </w:tcPr>
          <w:p>
            <w:pPr>
              <w:spacing w:after="0" w:line="252" w:lineRule="auto"/>
            </w:pPr>
            <w:r>
              <w:rPr>
                <w:rFonts w:ascii="Calibri" w:hAnsi="Calibri"/>
                <w:b w:val="0"/>
                <w:i w:val="0"/>
                <w:color w:val="1F2937"/>
                <w:sz w:val="18"/>
              </w:rPr>
              <w:t>Identity authentication, live truth or final payment decision</w:t>
            </w:r>
          </w:p>
        </w:tc>
      </w:tr>
      <w:tr>
        <w:tc>
          <w:tcPr>
            <w:tcW w:type="dxa" w:w="1500"/>
            <w:vAlign w:val="center"/>
            <w:tcMar>
              <w:top w:w="80" w:type="dxa"/>
              <w:start w:w="120" w:type="dxa"/>
              <w:bottom w:w="80" w:type="dxa"/>
              <w:end w:w="120" w:type="dxa"/>
            </w:tcMar>
          </w:tcPr>
          <w:p>
            <w:pPr>
              <w:spacing w:after="0" w:line="252" w:lineRule="auto"/>
            </w:pPr>
            <w:r>
              <w:rPr>
                <w:rFonts w:ascii="Calibri" w:hAnsi="Calibri"/>
                <w:b w:val="0"/>
                <w:i w:val="0"/>
                <w:color w:val="1F2937"/>
                <w:sz w:val="18"/>
              </w:rPr>
              <w:t>Prava</w:t>
            </w:r>
          </w:p>
        </w:tc>
        <w:tc>
          <w:tcPr>
            <w:tcW w:type="dxa" w:w="3990"/>
            <w:vAlign w:val="center"/>
            <w:tcMar>
              <w:top w:w="80" w:type="dxa"/>
              <w:start w:w="120" w:type="dxa"/>
              <w:bottom w:w="80" w:type="dxa"/>
              <w:end w:w="120" w:type="dxa"/>
            </w:tcMar>
          </w:tcPr>
          <w:p>
            <w:pPr>
              <w:spacing w:after="0" w:line="252" w:lineRule="auto"/>
            </w:pPr>
            <w:r>
              <w:rPr>
                <w:rFonts w:ascii="Calibri" w:hAnsi="Calibri"/>
                <w:b w:val="0"/>
                <w:i w:val="0"/>
                <w:color w:val="1F2937"/>
                <w:sz w:val="18"/>
              </w:rPr>
              <w:t>Passkey approval, scoped credentials and payment status</w:t>
            </w:r>
          </w:p>
        </w:tc>
        <w:tc>
          <w:tcPr>
            <w:tcW w:type="dxa" w:w="3870"/>
            <w:vAlign w:val="center"/>
            <w:tcMar>
              <w:top w:w="80" w:type="dxa"/>
              <w:start w:w="120" w:type="dxa"/>
              <w:bottom w:w="80" w:type="dxa"/>
              <w:end w:w="120" w:type="dxa"/>
            </w:tcMar>
          </w:tcPr>
          <w:p>
            <w:pPr>
              <w:spacing w:after="0" w:line="252" w:lineRule="auto"/>
            </w:pPr>
            <w:r>
              <w:rPr>
                <w:rFonts w:ascii="Calibri" w:hAnsi="Calibri"/>
                <w:b w:val="0"/>
                <w:i w:val="0"/>
                <w:color w:val="1F2937"/>
                <w:sz w:val="18"/>
              </w:rPr>
              <w:t>Product eligibility or delivery judgement</w:t>
            </w:r>
          </w:p>
        </w:tc>
      </w:tr>
    </w:tbl>
    <w:p>
      <w:pPr>
        <w:spacing w:after="40"/>
      </w:pPr>
    </w:p>
    <w:p>
      <w:pPr>
        <w:pStyle w:val="Heading1"/>
        <w:keepNext/>
      </w:pPr>
      <w:r>
        <w:t>3. Identity-aware request sequence</w:t>
      </w:r>
    </w:p>
    <w:tbl>
      <w:tblPr>
        <w:tblStyle w:val="TableGrid"/>
        <w:tblW w:type="dxa" w:w="9360"/>
        <w:jc w:val="left"/>
        <w:tblLayout w:type="fixed"/>
        <w:tblLook w:firstColumn="1" w:firstRow="1" w:lastColumn="0" w:lastRow="0" w:noHBand="0" w:noVBand="1" w:val="04A0"/>
        <w:tblInd w:w="120" w:type="dxa"/>
        <w:tblBorders>
          <w:top w:val="single" w:sz="4" w:color="D4D8DE"/>
          <w:left w:val="single" w:sz="4" w:color="D4D8DE"/>
          <w:bottom w:val="single" w:sz="4" w:color="D4D8DE"/>
          <w:right w:val="single" w:sz="4" w:color="D4D8DE"/>
          <w:insideH w:val="single" w:sz="4" w:color="D4D8DE"/>
          <w:insideV w:val="single" w:sz="4" w:color="D4D8DE"/>
        </w:tblBorders>
      </w:tblPr>
      <w:tblGrid>
        <w:gridCol w:w="9360"/>
      </w:tblGrid>
      <w:tr>
        <w:tc>
          <w:tcPr>
            <w:tcW w:type="dxa" w:w="9360"/>
            <w:vAlign w:val="center"/>
            <w:tcMar>
              <w:top w:w="80" w:type="dxa"/>
              <w:start w:w="120" w:type="dxa"/>
              <w:bottom w:w="80" w:type="dxa"/>
              <w:end w:w="120" w:type="dxa"/>
            </w:tcMar>
            <w:shd w:fill="F2F4F7"/>
          </w:tcPr>
          <w:p>
            <w:pPr>
              <w:spacing w:after="0" w:line="240" w:lineRule="auto"/>
            </w:pPr>
            <w:r>
              <w:rPr>
                <w:rFonts w:ascii="Courier New" w:hAnsi="Courier New"/>
                <w:b w:val="0"/>
                <w:i w:val="0"/>
                <w:color w:val="0B2545"/>
                <w:sz w:val="18"/>
              </w:rPr>
              <w:t>iMessage → Linq sender handle → exact Tavra employee lookup</w:t>
              <w:br/>
              <w:t xml:space="preserve">         → employee/profile/policy content IDs</w:t>
              <w:br/>
              <w:t xml:space="preserve">         → OpenAI incident extraction</w:t>
              <w:br/>
              <w:t xml:space="preserve">         → scoped Senso context retrieval</w:t>
              <w:br/>
              <w:t xml:space="preserve">         → deterministic missing-field + policy evaluation</w:t>
              <w:br/>
              <w:t xml:space="preserve">         → one concise confirmation message in iMessage</w:t>
            </w:r>
          </w:p>
        </w:tc>
      </w:tr>
    </w:tbl>
    <w:p>
      <w:pPr>
        <w:spacing w:after="40"/>
      </w:pPr>
    </w:p>
    <w:p>
      <w:pPr>
        <w:pStyle w:val="ListNumber"/>
        <w:numPr>
          <w:ilvl w:val="0"/>
          <w:numId w:val="10"/>
        </w:numPr>
        <w:spacing w:after="160" w:line="280" w:lineRule="auto"/>
        <w:ind w:left="720" w:hanging="360"/>
      </w:pPr>
      <w:r>
        <w:rPr>
          <w:rFonts w:ascii="Calibri" w:hAnsi="Calibri"/>
          <w:b w:val="0"/>
          <w:i w:val="0"/>
          <w:color w:val="1F2937"/>
          <w:sz w:val="22"/>
        </w:rPr>
        <w:t>Normalize the Linq sender number to E.164 and resolve it through a private exact mapping to company ID and employee ID.</w:t>
      </w:r>
    </w:p>
    <w:p>
      <w:pPr>
        <w:pStyle w:val="ListNumber"/>
        <w:numPr>
          <w:ilvl w:val="0"/>
          <w:numId w:val="10"/>
        </w:numPr>
        <w:spacing w:after="160" w:line="280" w:lineRule="auto"/>
        <w:ind w:left="720" w:hanging="360"/>
      </w:pPr>
      <w:r>
        <w:rPr>
          <w:rFonts w:ascii="Calibri" w:hAnsi="Calibri"/>
          <w:b w:val="0"/>
          <w:i w:val="0"/>
          <w:color w:val="1F2937"/>
          <w:sz w:val="22"/>
        </w:rPr>
        <w:t>Fetch the exact employee profile document and query only the permitted company policy content IDs. Never search all employees semantically.</w:t>
      </w:r>
    </w:p>
    <w:p>
      <w:pPr>
        <w:pStyle w:val="ListNumber"/>
        <w:numPr>
          <w:ilvl w:val="0"/>
          <w:numId w:val="10"/>
        </w:numPr>
        <w:spacing w:after="160" w:line="280" w:lineRule="auto"/>
        <w:ind w:left="720" w:hanging="360"/>
      </w:pPr>
      <w:r>
        <w:rPr>
          <w:rFonts w:ascii="Calibri" w:hAnsi="Calibri"/>
          <w:b w:val="0"/>
          <w:i w:val="0"/>
          <w:color w:val="1F2937"/>
          <w:sz w:val="22"/>
        </w:rPr>
        <w:t>Extract incident, business objective, deadline and destination from the message; treat omitted airline, airport and baggage reference as unknown.</w:t>
      </w:r>
    </w:p>
    <w:p>
      <w:pPr>
        <w:pStyle w:val="ListNumber"/>
        <w:numPr>
          <w:ilvl w:val="0"/>
          <w:numId w:val="10"/>
        </w:numPr>
        <w:spacing w:after="160" w:line="280" w:lineRule="auto"/>
        <w:ind w:left="720" w:hanging="360"/>
      </w:pPr>
      <w:r>
        <w:rPr>
          <w:rFonts w:ascii="Calibri" w:hAnsi="Calibri"/>
          <w:b w:val="0"/>
          <w:i w:val="0"/>
          <w:color w:val="1F2937"/>
          <w:sz w:val="22"/>
        </w:rPr>
        <w:t>Build a field matrix of known, missing, stale, conflicting and checkout-critical values.</w:t>
      </w:r>
    </w:p>
    <w:p>
      <w:pPr>
        <w:pStyle w:val="ListNumber"/>
        <w:numPr>
          <w:ilvl w:val="0"/>
          <w:numId w:val="10"/>
        </w:numPr>
        <w:spacing w:after="160" w:line="280" w:lineRule="auto"/>
        <w:ind w:left="720" w:hanging="360"/>
      </w:pPr>
      <w:r>
        <w:rPr>
          <w:rFonts w:ascii="Calibri" w:hAnsi="Calibri"/>
          <w:b w:val="0"/>
          <w:i w:val="0"/>
          <w:color w:val="1F2937"/>
          <w:sz w:val="22"/>
        </w:rPr>
        <w:t>Return known values, explain the applicable budget, and ask one bundled delta-only question for the remaining material fields.</w:t>
      </w:r>
    </w:p>
    <w:p>
      <w:pPr>
        <w:pStyle w:val="Heading1"/>
        <w:keepNext/>
      </w:pPr>
      <w:r>
        <w:t>4. Employee and policy knowledge model</w:t>
      </w:r>
    </w:p>
    <w:tbl>
      <w:tblPr>
        <w:tblStyle w:val="TableGrid"/>
        <w:tblW w:type="dxa" w:w="9360"/>
        <w:jc w:val="left"/>
        <w:tblLayout w:type="fixed"/>
        <w:tblLook w:firstColumn="1" w:firstRow="1" w:lastColumn="0" w:lastRow="0" w:noHBand="0" w:noVBand="1" w:val="04A0"/>
        <w:tblInd w:w="120" w:type="dxa"/>
        <w:tblBorders>
          <w:top w:val="single" w:sz="5" w:color="D6DCE5"/>
          <w:left w:val="single" w:sz="5" w:color="D6DCE5"/>
          <w:bottom w:val="single" w:sz="5" w:color="D6DCE5"/>
          <w:right w:val="single" w:sz="5" w:color="D6DCE5"/>
          <w:insideH w:val="single" w:sz="5" w:color="D6DCE5"/>
          <w:insideV w:val="single" w:sz="5" w:color="D6DCE5"/>
        </w:tblBorders>
      </w:tblPr>
      <w:tblGrid>
        <w:gridCol w:w="1500"/>
        <w:gridCol w:w="2490"/>
        <w:gridCol w:w="2280"/>
        <w:gridCol w:w="3090"/>
      </w:tblGrid>
      <w:tr>
        <w:trPr>
          <w:tblHeader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9"/>
              </w:rPr>
              <w:t>Domain</w:t>
            </w:r>
          </w:p>
        </w:tc>
        <w:tc>
          <w:tcPr>
            <w:tcW w:type="dxa" w:w="2490"/>
            <w:shd w:fill="E8EEF5"/>
            <w:vAlign w:val="center"/>
            <w:tcMar>
              <w:top w:w="80" w:type="dxa"/>
              <w:start w:w="120" w:type="dxa"/>
              <w:bottom w:w="80" w:type="dxa"/>
              <w:end w:w="120" w:type="dxa"/>
            </w:tcMar>
          </w:tcPr>
          <w:p>
            <w:pPr>
              <w:spacing w:after="0"/>
            </w:pPr>
            <w:r>
              <w:rPr>
                <w:rFonts w:ascii="Calibri" w:hAnsi="Calibri"/>
                <w:b/>
                <w:i w:val="0"/>
                <w:color w:val="0B2545"/>
                <w:sz w:val="19"/>
              </w:rPr>
              <w:t>Example facts</w:t>
            </w:r>
          </w:p>
        </w:tc>
        <w:tc>
          <w:tcPr>
            <w:tcW w:type="dxa" w:w="2280"/>
            <w:shd w:fill="E8EEF5"/>
            <w:vAlign w:val="center"/>
            <w:tcMar>
              <w:top w:w="80" w:type="dxa"/>
              <w:start w:w="120" w:type="dxa"/>
              <w:bottom w:w="80" w:type="dxa"/>
              <w:end w:w="120" w:type="dxa"/>
            </w:tcMar>
          </w:tcPr>
          <w:p>
            <w:pPr>
              <w:spacing w:after="0"/>
            </w:pPr>
            <w:r>
              <w:rPr>
                <w:rFonts w:ascii="Calibri" w:hAnsi="Calibri"/>
                <w:b/>
                <w:i w:val="0"/>
                <w:color w:val="0B2545"/>
                <w:sz w:val="19"/>
              </w:rPr>
              <w:t>Source</w:t>
            </w:r>
          </w:p>
        </w:tc>
        <w:tc>
          <w:tcPr>
            <w:tcW w:type="dxa" w:w="3090"/>
            <w:shd w:fill="E8EEF5"/>
            <w:vAlign w:val="center"/>
            <w:tcMar>
              <w:top w:w="80" w:type="dxa"/>
              <w:start w:w="120" w:type="dxa"/>
              <w:bottom w:w="80" w:type="dxa"/>
              <w:end w:w="120" w:type="dxa"/>
            </w:tcMar>
          </w:tcPr>
          <w:p>
            <w:pPr>
              <w:spacing w:after="0"/>
            </w:pPr>
            <w:r>
              <w:rPr>
                <w:rFonts w:ascii="Calibri" w:hAnsi="Calibri"/>
                <w:b/>
                <w:i w:val="0"/>
                <w:color w:val="0B2545"/>
                <w:sz w:val="19"/>
              </w:rPr>
              <w:t>Decision use</w:t>
            </w:r>
          </w:p>
        </w:tc>
      </w:tr>
      <w:tr>
        <w:tc>
          <w:tcPr>
            <w:tcW w:type="dxa" w:w="1500"/>
            <w:vAlign w:val="center"/>
            <w:tcMar>
              <w:top w:w="80" w:type="dxa"/>
              <w:start w:w="120" w:type="dxa"/>
              <w:bottom w:w="80" w:type="dxa"/>
              <w:end w:w="120" w:type="dxa"/>
            </w:tcMar>
          </w:tcPr>
          <w:p>
            <w:pPr>
              <w:spacing w:after="0" w:line="252" w:lineRule="auto"/>
            </w:pPr>
            <w:r>
              <w:rPr>
                <w:rFonts w:ascii="Calibri" w:hAnsi="Calibri"/>
                <w:b w:val="0"/>
                <w:i w:val="0"/>
                <w:color w:val="1F2937"/>
                <w:sz w:val="18"/>
              </w:rPr>
              <w:t>Employee profile</w:t>
            </w:r>
          </w:p>
        </w:tc>
        <w:tc>
          <w:tcPr>
            <w:tcW w:type="dxa" w:w="2490"/>
            <w:vAlign w:val="center"/>
            <w:tcMar>
              <w:top w:w="80" w:type="dxa"/>
              <w:start w:w="120" w:type="dxa"/>
              <w:bottom w:w="80" w:type="dxa"/>
              <w:end w:w="120" w:type="dxa"/>
            </w:tcMar>
          </w:tcPr>
          <w:p>
            <w:pPr>
              <w:spacing w:after="0" w:line="252" w:lineRule="auto"/>
            </w:pPr>
            <w:r>
              <w:rPr>
                <w:rFonts w:ascii="Calibri" w:hAnsi="Calibri"/>
                <w:b w:val="0"/>
                <w:i w:val="0"/>
                <w:color w:val="1F2937"/>
                <w:sz w:val="18"/>
              </w:rPr>
              <w:t>T-shirt M; waist 32; inseam missing; preferred fit</w:t>
            </w:r>
          </w:p>
        </w:tc>
        <w:tc>
          <w:tcPr>
            <w:tcW w:type="dxa" w:w="2280"/>
            <w:vAlign w:val="center"/>
            <w:tcMar>
              <w:top w:w="80" w:type="dxa"/>
              <w:start w:w="120" w:type="dxa"/>
              <w:bottom w:w="80" w:type="dxa"/>
              <w:end w:w="120" w:type="dxa"/>
            </w:tcMar>
          </w:tcPr>
          <w:p>
            <w:pPr>
              <w:spacing w:after="0" w:line="252" w:lineRule="auto"/>
            </w:pPr>
            <w:r>
              <w:rPr>
                <w:rFonts w:ascii="Calibri" w:hAnsi="Calibri"/>
                <w:b w:val="0"/>
                <w:i w:val="0"/>
                <w:color w:val="1F2937"/>
                <w:sz w:val="18"/>
              </w:rPr>
              <w:t>HR sync or employee-confirmed profile</w:t>
            </w:r>
          </w:p>
        </w:tc>
        <w:tc>
          <w:tcPr>
            <w:tcW w:type="dxa" w:w="3090"/>
            <w:vAlign w:val="center"/>
            <w:tcMar>
              <w:top w:w="80" w:type="dxa"/>
              <w:start w:w="120" w:type="dxa"/>
              <w:bottom w:w="80" w:type="dxa"/>
              <w:end w:w="120" w:type="dxa"/>
            </w:tcMar>
          </w:tcPr>
          <w:p>
            <w:pPr>
              <w:spacing w:after="0" w:line="252" w:lineRule="auto"/>
            </w:pPr>
            <w:r>
              <w:rPr>
                <w:rFonts w:ascii="Calibri" w:hAnsi="Calibri"/>
                <w:b w:val="0"/>
                <w:i w:val="0"/>
                <w:color w:val="1F2937"/>
                <w:sz w:val="18"/>
              </w:rPr>
              <w:t>Pre-fill variants and ask only for missing confirmation</w:t>
            </w:r>
          </w:p>
        </w:tc>
      </w:tr>
      <w:tr>
        <w:tc>
          <w:tcPr>
            <w:tcW w:type="dxa" w:w="1500"/>
            <w:vAlign w:val="center"/>
            <w:tcMar>
              <w:top w:w="80" w:type="dxa"/>
              <w:start w:w="120" w:type="dxa"/>
              <w:bottom w:w="80" w:type="dxa"/>
              <w:end w:w="120" w:type="dxa"/>
            </w:tcMar>
          </w:tcPr>
          <w:p>
            <w:pPr>
              <w:spacing w:after="0" w:line="252" w:lineRule="auto"/>
            </w:pPr>
            <w:r>
              <w:rPr>
                <w:rFonts w:ascii="Calibri" w:hAnsi="Calibri"/>
                <w:b w:val="0"/>
                <w:i w:val="0"/>
                <w:color w:val="1F2937"/>
                <w:sz w:val="18"/>
              </w:rPr>
              <w:t>Employee category</w:t>
            </w:r>
          </w:p>
        </w:tc>
        <w:tc>
          <w:tcPr>
            <w:tcW w:type="dxa" w:w="2490"/>
            <w:vAlign w:val="center"/>
            <w:tcMar>
              <w:top w:w="80" w:type="dxa"/>
              <w:start w:w="120" w:type="dxa"/>
              <w:bottom w:w="80" w:type="dxa"/>
              <w:end w:w="120" w:type="dxa"/>
            </w:tcMar>
          </w:tcPr>
          <w:p>
            <w:pPr>
              <w:spacing w:after="0" w:line="252" w:lineRule="auto"/>
            </w:pPr>
            <w:r>
              <w:rPr>
                <w:rFonts w:ascii="Calibri" w:hAnsi="Calibri"/>
                <w:b w:val="0"/>
                <w:i w:val="0"/>
                <w:color w:val="1F2937"/>
                <w:sz w:val="18"/>
              </w:rPr>
              <w:t>Client-facing traveller</w:t>
            </w:r>
          </w:p>
        </w:tc>
        <w:tc>
          <w:tcPr>
            <w:tcW w:type="dxa" w:w="2280"/>
            <w:vAlign w:val="center"/>
            <w:tcMar>
              <w:top w:w="80" w:type="dxa"/>
              <w:start w:w="120" w:type="dxa"/>
              <w:bottom w:w="80" w:type="dxa"/>
              <w:end w:w="120" w:type="dxa"/>
            </w:tcMar>
          </w:tcPr>
          <w:p>
            <w:pPr>
              <w:spacing w:after="0" w:line="252" w:lineRule="auto"/>
            </w:pPr>
            <w:r>
              <w:rPr>
                <w:rFonts w:ascii="Calibri" w:hAnsi="Calibri"/>
                <w:b w:val="0"/>
                <w:i w:val="0"/>
                <w:color w:val="1F2937"/>
                <w:sz w:val="18"/>
              </w:rPr>
              <w:t>Company directory</w:t>
            </w:r>
          </w:p>
        </w:tc>
        <w:tc>
          <w:tcPr>
            <w:tcW w:type="dxa" w:w="3090"/>
            <w:vAlign w:val="center"/>
            <w:tcMar>
              <w:top w:w="80" w:type="dxa"/>
              <w:start w:w="120" w:type="dxa"/>
              <w:bottom w:w="80" w:type="dxa"/>
              <w:end w:w="120" w:type="dxa"/>
            </w:tcMar>
          </w:tcPr>
          <w:p>
            <w:pPr>
              <w:spacing w:after="0" w:line="252" w:lineRule="auto"/>
            </w:pPr>
            <w:r>
              <w:rPr>
                <w:rFonts w:ascii="Calibri" w:hAnsi="Calibri"/>
                <w:b w:val="0"/>
                <w:i w:val="0"/>
                <w:color w:val="1F2937"/>
                <w:sz w:val="18"/>
              </w:rPr>
              <w:t>Select the applicable policy and approval route</w:t>
            </w:r>
          </w:p>
        </w:tc>
      </w:tr>
      <w:tr>
        <w:tc>
          <w:tcPr>
            <w:tcW w:type="dxa" w:w="1500"/>
            <w:vAlign w:val="center"/>
            <w:tcMar>
              <w:top w:w="80" w:type="dxa"/>
              <w:start w:w="120" w:type="dxa"/>
              <w:bottom w:w="80" w:type="dxa"/>
              <w:end w:w="120" w:type="dxa"/>
            </w:tcMar>
          </w:tcPr>
          <w:p>
            <w:pPr>
              <w:spacing w:after="0" w:line="252" w:lineRule="auto"/>
            </w:pPr>
            <w:r>
              <w:rPr>
                <w:rFonts w:ascii="Calibri" w:hAnsi="Calibri"/>
                <w:b w:val="0"/>
                <w:i w:val="0"/>
                <w:color w:val="1F2937"/>
                <w:sz w:val="18"/>
              </w:rPr>
              <w:t>Company policy</w:t>
            </w:r>
          </w:p>
        </w:tc>
        <w:tc>
          <w:tcPr>
            <w:tcW w:type="dxa" w:w="2490"/>
            <w:vAlign w:val="center"/>
            <w:tcMar>
              <w:top w:w="80" w:type="dxa"/>
              <w:start w:w="120" w:type="dxa"/>
              <w:bottom w:w="80" w:type="dxa"/>
              <w:end w:w="120" w:type="dxa"/>
            </w:tcMar>
          </w:tcPr>
          <w:p>
            <w:pPr>
              <w:spacing w:after="0" w:line="252" w:lineRule="auto"/>
            </w:pPr>
            <w:r>
              <w:rPr>
                <w:rFonts w:ascii="Calibri" w:hAnsi="Calibri"/>
                <w:b w:val="0"/>
                <w:i w:val="0"/>
                <w:color w:val="1F2937"/>
                <w:sz w:val="18"/>
              </w:rPr>
              <w:t>$175 incident ceiling; eligible categories</w:t>
            </w:r>
          </w:p>
        </w:tc>
        <w:tc>
          <w:tcPr>
            <w:tcW w:type="dxa" w:w="2280"/>
            <w:vAlign w:val="center"/>
            <w:tcMar>
              <w:top w:w="80" w:type="dxa"/>
              <w:start w:w="120" w:type="dxa"/>
              <w:bottom w:w="80" w:type="dxa"/>
              <w:end w:w="120" w:type="dxa"/>
            </w:tcMar>
          </w:tcPr>
          <w:p>
            <w:pPr>
              <w:spacing w:after="0" w:line="252" w:lineRule="auto"/>
            </w:pPr>
            <w:r>
              <w:rPr>
                <w:rFonts w:ascii="Calibri" w:hAnsi="Calibri"/>
                <w:b w:val="0"/>
                <w:i w:val="0"/>
                <w:color w:val="1F2937"/>
                <w:sz w:val="18"/>
              </w:rPr>
              <w:t>Company-owned policy</w:t>
            </w:r>
          </w:p>
        </w:tc>
        <w:tc>
          <w:tcPr>
            <w:tcW w:type="dxa" w:w="3090"/>
            <w:vAlign w:val="center"/>
            <w:tcMar>
              <w:top w:w="80" w:type="dxa"/>
              <w:start w:w="120" w:type="dxa"/>
              <w:bottom w:w="80" w:type="dxa"/>
              <w:end w:w="120" w:type="dxa"/>
            </w:tcMar>
          </w:tcPr>
          <w:p>
            <w:pPr>
              <w:spacing w:after="0" w:line="252" w:lineRule="auto"/>
            </w:pPr>
            <w:r>
              <w:rPr>
                <w:rFonts w:ascii="Calibri" w:hAnsi="Calibri"/>
                <w:b w:val="0"/>
                <w:i w:val="0"/>
                <w:color w:val="1F2937"/>
                <w:sz w:val="18"/>
              </w:rPr>
              <w:t>Deterministic ALLOW / REAUTHORIZE / DENY</w:t>
            </w:r>
          </w:p>
        </w:tc>
      </w:tr>
      <w:tr>
        <w:tc>
          <w:tcPr>
            <w:tcW w:type="dxa" w:w="1500"/>
            <w:vAlign w:val="center"/>
            <w:tcMar>
              <w:top w:w="80" w:type="dxa"/>
              <w:start w:w="120" w:type="dxa"/>
              <w:bottom w:w="80" w:type="dxa"/>
              <w:end w:w="120" w:type="dxa"/>
            </w:tcMar>
          </w:tcPr>
          <w:p>
            <w:pPr>
              <w:spacing w:after="0" w:line="252" w:lineRule="auto"/>
            </w:pPr>
            <w:r>
              <w:rPr>
                <w:rFonts w:ascii="Calibri" w:hAnsi="Calibri"/>
                <w:b w:val="0"/>
                <w:i w:val="0"/>
                <w:color w:val="1F2937"/>
                <w:sz w:val="18"/>
              </w:rPr>
              <w:t>External policy</w:t>
            </w:r>
          </w:p>
        </w:tc>
        <w:tc>
          <w:tcPr>
            <w:tcW w:type="dxa" w:w="2490"/>
            <w:vAlign w:val="center"/>
            <w:tcMar>
              <w:top w:w="80" w:type="dxa"/>
              <w:start w:w="120" w:type="dxa"/>
              <w:bottom w:w="80" w:type="dxa"/>
              <w:end w:w="120" w:type="dxa"/>
            </w:tcMar>
          </w:tcPr>
          <w:p>
            <w:pPr>
              <w:spacing w:after="0" w:line="252" w:lineRule="auto"/>
            </w:pPr>
            <w:r>
              <w:rPr>
                <w:rFonts w:ascii="Calibri" w:hAnsi="Calibri"/>
                <w:b w:val="0"/>
                <w:i w:val="0"/>
                <w:color w:val="1F2937"/>
                <w:sz w:val="18"/>
              </w:rPr>
              <w:t>Airline evidence and timing requirements</w:t>
            </w:r>
          </w:p>
        </w:tc>
        <w:tc>
          <w:tcPr>
            <w:tcW w:type="dxa" w:w="2280"/>
            <w:vAlign w:val="center"/>
            <w:tcMar>
              <w:top w:w="80" w:type="dxa"/>
              <w:start w:w="120" w:type="dxa"/>
              <w:bottom w:w="80" w:type="dxa"/>
              <w:end w:w="120" w:type="dxa"/>
            </w:tcMar>
          </w:tcPr>
          <w:p>
            <w:pPr>
              <w:spacing w:after="0" w:line="252" w:lineRule="auto"/>
            </w:pPr>
            <w:r>
              <w:rPr>
                <w:rFonts w:ascii="Calibri" w:hAnsi="Calibri"/>
                <w:b w:val="0"/>
                <w:i w:val="0"/>
                <w:color w:val="1F2937"/>
                <w:sz w:val="18"/>
              </w:rPr>
              <w:t>Official runtime web snapshot</w:t>
            </w:r>
          </w:p>
        </w:tc>
        <w:tc>
          <w:tcPr>
            <w:tcW w:type="dxa" w:w="3090"/>
            <w:vAlign w:val="center"/>
            <w:tcMar>
              <w:top w:w="80" w:type="dxa"/>
              <w:start w:w="120" w:type="dxa"/>
              <w:bottom w:w="80" w:type="dxa"/>
              <w:end w:w="120" w:type="dxa"/>
            </w:tcMar>
          </w:tcPr>
          <w:p>
            <w:pPr>
              <w:spacing w:after="0" w:line="252" w:lineRule="auto"/>
            </w:pPr>
            <w:r>
              <w:rPr>
                <w:rFonts w:ascii="Calibri" w:hAnsi="Calibri"/>
                <w:b w:val="0"/>
                <w:i w:val="0"/>
                <w:color w:val="1F2937"/>
                <w:sz w:val="18"/>
              </w:rPr>
              <w:t>Prepare claim-ready evidence and expose gaps</w:t>
            </w:r>
          </w:p>
        </w:tc>
      </w:tr>
      <w:tr>
        <w:tc>
          <w:tcPr>
            <w:tcW w:type="dxa" w:w="1500"/>
            <w:vAlign w:val="center"/>
            <w:tcMar>
              <w:top w:w="80" w:type="dxa"/>
              <w:start w:w="120" w:type="dxa"/>
              <w:bottom w:w="80" w:type="dxa"/>
              <w:end w:w="120" w:type="dxa"/>
            </w:tcMar>
          </w:tcPr>
          <w:p>
            <w:pPr>
              <w:spacing w:after="0" w:line="252" w:lineRule="auto"/>
            </w:pPr>
            <w:r>
              <w:rPr>
                <w:rFonts w:ascii="Calibri" w:hAnsi="Calibri"/>
                <w:b w:val="0"/>
                <w:i w:val="0"/>
                <w:color w:val="1F2937"/>
                <w:sz w:val="18"/>
              </w:rPr>
              <w:t>Merchant/product</w:t>
            </w:r>
          </w:p>
        </w:tc>
        <w:tc>
          <w:tcPr>
            <w:tcW w:type="dxa" w:w="2490"/>
            <w:vAlign w:val="center"/>
            <w:tcMar>
              <w:top w:w="80" w:type="dxa"/>
              <w:start w:w="120" w:type="dxa"/>
              <w:bottom w:w="80" w:type="dxa"/>
              <w:end w:w="120" w:type="dxa"/>
            </w:tcMar>
          </w:tcPr>
          <w:p>
            <w:pPr>
              <w:spacing w:after="0" w:line="252" w:lineRule="auto"/>
            </w:pPr>
            <w:r>
              <w:rPr>
                <w:rFonts w:ascii="Calibri" w:hAnsi="Calibri"/>
                <w:b w:val="0"/>
                <w:i w:val="0"/>
                <w:color w:val="1F2937"/>
                <w:sz w:val="18"/>
              </w:rPr>
              <w:t>Price, variant, condition, delivery and returns</w:t>
            </w:r>
          </w:p>
        </w:tc>
        <w:tc>
          <w:tcPr>
            <w:tcW w:type="dxa" w:w="2280"/>
            <w:vAlign w:val="center"/>
            <w:tcMar>
              <w:top w:w="80" w:type="dxa"/>
              <w:start w:w="120" w:type="dxa"/>
              <w:bottom w:w="80" w:type="dxa"/>
              <w:end w:w="120" w:type="dxa"/>
            </w:tcMar>
          </w:tcPr>
          <w:p>
            <w:pPr>
              <w:spacing w:after="0" w:line="252" w:lineRule="auto"/>
            </w:pPr>
            <w:r>
              <w:rPr>
                <w:rFonts w:ascii="Calibri" w:hAnsi="Calibri"/>
                <w:b w:val="0"/>
                <w:i w:val="0"/>
                <w:color w:val="1F2937"/>
                <w:sz w:val="18"/>
              </w:rPr>
              <w:t>Official live evidence or synthetic sandbox source</w:t>
            </w:r>
          </w:p>
        </w:tc>
        <w:tc>
          <w:tcPr>
            <w:tcW w:type="dxa" w:w="3090"/>
            <w:vAlign w:val="center"/>
            <w:tcMar>
              <w:top w:w="80" w:type="dxa"/>
              <w:start w:w="120" w:type="dxa"/>
              <w:bottom w:w="80" w:type="dxa"/>
              <w:end w:w="120" w:type="dxa"/>
            </w:tcMar>
          </w:tcPr>
          <w:p>
            <w:pPr>
              <w:spacing w:after="0" w:line="252" w:lineRule="auto"/>
            </w:pPr>
            <w:r>
              <w:rPr>
                <w:rFonts w:ascii="Calibri" w:hAnsi="Calibri"/>
                <w:b w:val="0"/>
                <w:i w:val="0"/>
                <w:color w:val="1F2937"/>
                <w:sz w:val="18"/>
              </w:rPr>
              <w:t>Rank, reject and reconcile candidates</w:t>
            </w:r>
          </w:p>
        </w:tc>
      </w:tr>
      <w:tr>
        <w:tc>
          <w:tcPr>
            <w:tcW w:type="dxa" w:w="1500"/>
            <w:vAlign w:val="center"/>
            <w:tcMar>
              <w:top w:w="80" w:type="dxa"/>
              <w:start w:w="120" w:type="dxa"/>
              <w:bottom w:w="80" w:type="dxa"/>
              <w:end w:w="120" w:type="dxa"/>
            </w:tcMar>
          </w:tcPr>
          <w:p>
            <w:pPr>
              <w:spacing w:after="0" w:line="252" w:lineRule="auto"/>
            </w:pPr>
            <w:r>
              <w:rPr>
                <w:rFonts w:ascii="Calibri" w:hAnsi="Calibri"/>
                <w:b w:val="0"/>
                <w:i w:val="0"/>
                <w:color w:val="1F2937"/>
                <w:sz w:val="18"/>
              </w:rPr>
              <w:t>Outcomes</w:t>
            </w:r>
          </w:p>
        </w:tc>
        <w:tc>
          <w:tcPr>
            <w:tcW w:type="dxa" w:w="2490"/>
            <w:vAlign w:val="center"/>
            <w:tcMar>
              <w:top w:w="80" w:type="dxa"/>
              <w:start w:w="120" w:type="dxa"/>
              <w:bottom w:w="80" w:type="dxa"/>
              <w:end w:w="120" w:type="dxa"/>
            </w:tcMar>
          </w:tcPr>
          <w:p>
            <w:pPr>
              <w:spacing w:after="0" w:line="252" w:lineRule="auto"/>
            </w:pPr>
            <w:r>
              <w:rPr>
                <w:rFonts w:ascii="Calibri" w:hAnsi="Calibri"/>
                <w:b w:val="0"/>
                <w:i w:val="0"/>
                <w:color w:val="1F2937"/>
                <w:sz w:val="18"/>
              </w:rPr>
              <w:t>Quote drift, item match and checkout status</w:t>
            </w:r>
          </w:p>
        </w:tc>
        <w:tc>
          <w:tcPr>
            <w:tcW w:type="dxa" w:w="2280"/>
            <w:vAlign w:val="center"/>
            <w:tcMar>
              <w:top w:w="80" w:type="dxa"/>
              <w:start w:w="120" w:type="dxa"/>
              <w:bottom w:w="80" w:type="dxa"/>
              <w:end w:w="120" w:type="dxa"/>
            </w:tcMar>
          </w:tcPr>
          <w:p>
            <w:pPr>
              <w:spacing w:after="0" w:line="252" w:lineRule="auto"/>
            </w:pPr>
            <w:r>
              <w:rPr>
                <w:rFonts w:ascii="Calibri" w:hAnsi="Calibri"/>
                <w:b w:val="0"/>
                <w:i w:val="0"/>
                <w:color w:val="1F2937"/>
                <w:sz w:val="18"/>
              </w:rPr>
              <w:t>Observed Tavra transaction</w:t>
            </w:r>
          </w:p>
        </w:tc>
        <w:tc>
          <w:tcPr>
            <w:tcW w:type="dxa" w:w="3090"/>
            <w:vAlign w:val="center"/>
            <w:tcMar>
              <w:top w:w="80" w:type="dxa"/>
              <w:start w:w="120" w:type="dxa"/>
              <w:bottom w:w="80" w:type="dxa"/>
              <w:end w:w="120" w:type="dxa"/>
            </w:tcMar>
          </w:tcPr>
          <w:p>
            <w:pPr>
              <w:spacing w:after="0" w:line="252" w:lineRule="auto"/>
            </w:pPr>
            <w:r>
              <w:rPr>
                <w:rFonts w:ascii="Calibri" w:hAnsi="Calibri"/>
                <w:b w:val="0"/>
                <w:i w:val="0"/>
                <w:color w:val="1F2937"/>
                <w:sz w:val="18"/>
              </w:rPr>
              <w:t>Improve later merchant decisions without overstating delivery</w:t>
            </w:r>
          </w:p>
        </w:tc>
      </w:tr>
    </w:tbl>
    <w:p>
      <w:pPr>
        <w:spacing w:after="40"/>
      </w:pPr>
    </w:p>
    <w:p>
      <w:pPr>
        <w:pStyle w:val="Heading2"/>
        <w:keepNext/>
      </w:pPr>
      <w:r>
        <w:t>Profile field states</w:t>
      </w:r>
    </w:p>
    <w:p>
      <w:pPr>
        <w:pStyle w:val="ListBullet"/>
        <w:spacing w:after="160" w:line="280" w:lineRule="auto"/>
        <w:ind w:left="720" w:hanging="360"/>
      </w:pPr>
      <w:r>
        <w:rPr>
          <w:rFonts w:ascii="Calibri" w:hAnsi="Calibri"/>
          <w:b w:val="0"/>
          <w:i w:val="0"/>
          <w:color w:val="1F2937"/>
          <w:sz w:val="22"/>
        </w:rPr>
        <w:t>Known and current: report the value; confirm again only when it becomes an approved item variant.</w:t>
      </w:r>
    </w:p>
    <w:p>
      <w:pPr>
        <w:pStyle w:val="ListBullet"/>
        <w:spacing w:after="160" w:line="280" w:lineRule="auto"/>
        <w:ind w:left="720" w:hanging="360"/>
      </w:pPr>
      <w:r>
        <w:rPr>
          <w:rFonts w:ascii="Calibri" w:hAnsi="Calibri"/>
          <w:b w:val="0"/>
          <w:i w:val="0"/>
          <w:color w:val="1F2937"/>
          <w:sz w:val="22"/>
        </w:rPr>
        <w:t>Known but stale: report the stored value and request confirmation.</w:t>
      </w:r>
    </w:p>
    <w:p>
      <w:pPr>
        <w:pStyle w:val="ListBullet"/>
        <w:spacing w:after="160" w:line="280" w:lineRule="auto"/>
        <w:ind w:left="720" w:hanging="360"/>
      </w:pPr>
      <w:r>
        <w:rPr>
          <w:rFonts w:ascii="Calibri" w:hAnsi="Calibri"/>
          <w:b w:val="0"/>
          <w:i w:val="0"/>
          <w:color w:val="1F2937"/>
          <w:sz w:val="22"/>
        </w:rPr>
        <w:t>Missing: explicitly say company data does not include it and ask for the value.</w:t>
      </w:r>
    </w:p>
    <w:p>
      <w:pPr>
        <w:pStyle w:val="ListBullet"/>
        <w:spacing w:after="160" w:line="280" w:lineRule="auto"/>
        <w:ind w:left="720" w:hanging="360"/>
      </w:pPr>
      <w:r>
        <w:rPr>
          <w:rFonts w:ascii="Calibri" w:hAnsi="Calibri"/>
          <w:b w:val="0"/>
          <w:i w:val="0"/>
          <w:color w:val="1F2937"/>
          <w:sz w:val="22"/>
        </w:rPr>
        <w:t>Conflicting: show the conflict without selecting a value.</w:t>
      </w:r>
    </w:p>
    <w:p>
      <w:pPr>
        <w:pStyle w:val="ListBullet"/>
        <w:spacing w:after="160" w:line="280" w:lineRule="auto"/>
        <w:ind w:left="720" w:hanging="360"/>
      </w:pPr>
      <w:r>
        <w:rPr>
          <w:rFonts w:ascii="Calibri" w:hAnsi="Calibri"/>
          <w:b w:val="0"/>
          <w:i w:val="0"/>
          <w:color w:val="1F2937"/>
          <w:sz w:val="22"/>
        </w:rPr>
        <w:t>Updated: write back only after explicit employee confirmation, with source and timestamp. Never infer a profile update from an order.</w:t>
      </w:r>
    </w:p>
    <w:p>
      <w:pPr>
        <w:pStyle w:val="Heading1"/>
        <w:keepNext/>
      </w:pPr>
      <w:r>
        <w:t>5. Delta-only conversation behavior</w:t>
      </w:r>
    </w:p>
    <w:p>
      <w:pPr>
        <w:spacing w:after="120" w:line="264" w:lineRule="auto"/>
      </w:pPr>
      <w:r>
        <w:rPr>
          <w:rFonts w:ascii="Calibri" w:hAnsi="Calibri"/>
          <w:b/>
          <w:i w:val="0"/>
          <w:color w:val="1F2937"/>
          <w:sz w:val="22"/>
        </w:rPr>
        <w:t>Employee message:</w:t>
      </w:r>
      <w:r>
        <w:rPr>
          <w:rFonts w:ascii="Calibri" w:hAnsi="Calibri"/>
          <w:b w:val="0"/>
          <w:i w:val="0"/>
          <w:color w:val="1F2937"/>
          <w:sz w:val="22"/>
        </w:rPr>
      </w:r>
    </w:p>
    <w:tbl>
      <w:tblPr>
        <w:tblStyle w:val="TableGrid"/>
        <w:tblW w:type="dxa" w:w="9360"/>
        <w:jc w:val="left"/>
        <w:tblLayout w:type="fixed"/>
        <w:tblLook w:firstColumn="1" w:firstRow="1" w:lastColumn="0" w:lastRow="0" w:noHBand="0" w:noVBand="1" w:val="04A0"/>
        <w:tblInd w:w="120" w:type="dxa"/>
        <w:tblBorders>
          <w:top w:val="single" w:sz="6" w:color="BCD4E6"/>
          <w:left w:val="single" w:sz="6" w:color="BCD4E6"/>
          <w:bottom w:val="single" w:sz="6" w:color="BCD4E6"/>
          <w:right w:val="single" w:sz="6" w:color="BCD4E6"/>
          <w:insideH w:val="single" w:sz="6" w:color="BCD4E6"/>
          <w:insideV w:val="single" w:sz="6" w:color="BCD4E6"/>
        </w:tblBorders>
      </w:tblPr>
      <w:tblGrid>
        <w:gridCol w:w="9360"/>
      </w:tblGrid>
      <w:tr>
        <w:tc>
          <w:tcPr>
            <w:tcW w:type="dxa" w:w="9360"/>
            <w:vAlign w:val="center"/>
            <w:tcMar>
              <w:top w:w="80" w:type="dxa"/>
              <w:start w:w="120" w:type="dxa"/>
              <w:bottom w:w="80" w:type="dxa"/>
              <w:end w:w="120" w:type="dxa"/>
            </w:tcMar>
            <w:shd w:fill="F7F8FA"/>
          </w:tcPr>
          <w:p>
            <w:pPr>
              <w:spacing w:after="60"/>
            </w:pPr>
            <w:r>
              <w:rPr>
                <w:rFonts w:ascii="Calibri" w:hAnsi="Calibri"/>
                <w:b/>
                <w:i w:val="0"/>
                <w:color w:val="0B2545"/>
                <w:sz w:val="22"/>
              </w:rPr>
              <w:t>Inbound</w:t>
            </w:r>
            <w:r>
              <w:rPr>
                <w:rFonts w:ascii="Calibri" w:hAnsi="Calibri"/>
                <w:b w:val="0"/>
                <w:i w:val="0"/>
                <w:color w:val="1F2937"/>
                <w:sz w:val="22"/>
              </w:rPr>
              <w:br/>
              <w:t>My bag is delayed. I have a client meeting at 8am in Boston.</w:t>
            </w:r>
          </w:p>
        </w:tc>
      </w:tr>
    </w:tbl>
    <w:p>
      <w:pPr>
        <w:spacing w:after="40"/>
      </w:pPr>
    </w:p>
    <w:p>
      <w:pPr>
        <w:spacing w:after="120" w:line="264" w:lineRule="auto"/>
      </w:pPr>
      <w:r>
        <w:rPr>
          <w:rFonts w:ascii="Calibri" w:hAnsi="Calibri"/>
          <w:b/>
          <w:i w:val="0"/>
          <w:color w:val="1F2937"/>
          <w:sz w:val="22"/>
        </w:rPr>
        <w:t>When an inseam is missing:</w:t>
      </w:r>
      <w:r>
        <w:rPr>
          <w:rFonts w:ascii="Calibri" w:hAnsi="Calibri"/>
          <w:b w:val="0"/>
          <w:i w:val="0"/>
          <w:color w:val="1F2937"/>
          <w:sz w:val="22"/>
        </w:rPr>
      </w:r>
    </w:p>
    <w:tbl>
      <w:tblPr>
        <w:tblStyle w:val="TableGrid"/>
        <w:tblW w:type="dxa" w:w="9360"/>
        <w:jc w:val="left"/>
        <w:tblLayout w:type="fixed"/>
        <w:tblLook w:firstColumn="1" w:firstRow="1" w:lastColumn="0" w:lastRow="0" w:noHBand="0" w:noVBand="1" w:val="04A0"/>
        <w:tblInd w:w="120" w:type="dxa"/>
        <w:tblBorders>
          <w:top w:val="single" w:sz="6" w:color="BCD4E6"/>
          <w:left w:val="single" w:sz="6" w:color="BCD4E6"/>
          <w:bottom w:val="single" w:sz="6" w:color="BCD4E6"/>
          <w:right w:val="single" w:sz="6" w:color="BCD4E6"/>
          <w:insideH w:val="single" w:sz="6" w:color="BCD4E6"/>
          <w:insideV w:val="single" w:sz="6" w:color="BCD4E6"/>
        </w:tblBorders>
      </w:tblPr>
      <w:tblGrid>
        <w:gridCol w:w="9360"/>
      </w:tblGrid>
      <w:tr>
        <w:tc>
          <w:tcPr>
            <w:tcW w:type="dxa" w:w="9360"/>
            <w:vAlign w:val="center"/>
            <w:tcMar>
              <w:top w:w="80" w:type="dxa"/>
              <w:start w:w="120" w:type="dxa"/>
              <w:bottom w:w="80" w:type="dxa"/>
              <w:end w:w="120" w:type="dxa"/>
            </w:tcMar>
            <w:shd w:fill="EEF5FB"/>
          </w:tcPr>
          <w:p>
            <w:pPr>
              <w:spacing w:after="60"/>
            </w:pPr>
            <w:r>
              <w:rPr>
                <w:rFonts w:ascii="Calibri" w:hAnsi="Calibri"/>
                <w:b/>
                <w:i w:val="0"/>
                <w:color w:val="0B2545"/>
                <w:sz w:val="22"/>
              </w:rPr>
              <w:t>Tavra</w:t>
            </w:r>
            <w:r>
              <w:rPr>
                <w:rFonts w:ascii="Calibri" w:hAnsi="Calibri"/>
                <w:b w:val="0"/>
                <w:i w:val="0"/>
                <w:color w:val="1F2937"/>
                <w:sz w:val="22"/>
              </w:rPr>
              <w:br/>
              <w:t>Sorry about the delay. I have a medium T-shirt and 32-inch trouser waist on file, but no inseam. Your policy allows up to $175 for essential clothing and toiletries. What inseam should I use, and which airline and arrival airport were involved?</w:t>
            </w:r>
          </w:p>
        </w:tc>
      </w:tr>
    </w:tbl>
    <w:p>
      <w:pPr>
        <w:spacing w:after="40"/>
      </w:pPr>
    </w:p>
    <w:p>
      <w:pPr>
        <w:spacing w:after="120" w:line="264" w:lineRule="auto"/>
      </w:pPr>
      <w:r>
        <w:rPr>
          <w:rFonts w:ascii="Calibri" w:hAnsi="Calibri"/>
          <w:b/>
          <w:i w:val="0"/>
          <w:color w:val="1F2937"/>
          <w:sz w:val="22"/>
        </w:rPr>
        <w:t>When both sizes exist:</w:t>
      </w:r>
      <w:r>
        <w:rPr>
          <w:rFonts w:ascii="Calibri" w:hAnsi="Calibri"/>
          <w:b w:val="0"/>
          <w:i w:val="0"/>
          <w:color w:val="1F2937"/>
          <w:sz w:val="22"/>
        </w:rPr>
      </w:r>
    </w:p>
    <w:tbl>
      <w:tblPr>
        <w:tblStyle w:val="TableGrid"/>
        <w:tblW w:type="dxa" w:w="9360"/>
        <w:jc w:val="left"/>
        <w:tblLayout w:type="fixed"/>
        <w:tblLook w:firstColumn="1" w:firstRow="1" w:lastColumn="0" w:lastRow="0" w:noHBand="0" w:noVBand="1" w:val="04A0"/>
        <w:tblInd w:w="120" w:type="dxa"/>
        <w:tblBorders>
          <w:top w:val="single" w:sz="6" w:color="BCD4E6"/>
          <w:left w:val="single" w:sz="6" w:color="BCD4E6"/>
          <w:bottom w:val="single" w:sz="6" w:color="BCD4E6"/>
          <w:right w:val="single" w:sz="6" w:color="BCD4E6"/>
          <w:insideH w:val="single" w:sz="6" w:color="BCD4E6"/>
          <w:insideV w:val="single" w:sz="6" w:color="BCD4E6"/>
        </w:tblBorders>
      </w:tblPr>
      <w:tblGrid>
        <w:gridCol w:w="9360"/>
      </w:tblGrid>
      <w:tr>
        <w:tc>
          <w:tcPr>
            <w:tcW w:type="dxa" w:w="9360"/>
            <w:vAlign w:val="center"/>
            <w:tcMar>
              <w:top w:w="80" w:type="dxa"/>
              <w:start w:w="120" w:type="dxa"/>
              <w:bottom w:w="80" w:type="dxa"/>
              <w:end w:w="120" w:type="dxa"/>
            </w:tcMar>
            <w:shd w:fill="EEF5FB"/>
          </w:tcPr>
          <w:p>
            <w:pPr>
              <w:spacing w:after="60"/>
            </w:pPr>
            <w:r>
              <w:rPr>
                <w:rFonts w:ascii="Calibri" w:hAnsi="Calibri"/>
                <w:b/>
                <w:i w:val="0"/>
                <w:color w:val="0B2545"/>
                <w:sz w:val="22"/>
              </w:rPr>
              <w:t>Tavra</w:t>
            </w:r>
            <w:r>
              <w:rPr>
                <w:rFonts w:ascii="Calibri" w:hAnsi="Calibri"/>
                <w:b w:val="0"/>
                <w:i w:val="0"/>
                <w:color w:val="1F2937"/>
                <w:sz w:val="22"/>
              </w:rPr>
              <w:br/>
              <w:t>Sorry about the delay. I have medium T-shirts and 32×30 trousers on file, and your policy allows up to $175 for essential clothing and toiletries. Are those sizes still correct, and which airline and arrival airport were involved?</w:t>
            </w:r>
          </w:p>
        </w:tc>
      </w:tr>
    </w:tbl>
    <w:p>
      <w:pPr>
        <w:spacing w:after="40"/>
      </w:pPr>
    </w:p>
    <w:p>
      <w:pPr>
        <w:spacing w:after="120" w:line="264" w:lineRule="auto"/>
      </w:pPr>
      <w:r>
        <w:rPr>
          <w:rFonts w:ascii="Calibri" w:hAnsi="Calibri"/>
          <w:b w:val="0"/>
          <w:i w:val="0"/>
          <w:color w:val="1F2937"/>
          <w:sz w:val="22"/>
        </w:rPr>
        <w:t>Boston is a destination, not proof of the arrival airport. Tavra must not infer BOS, an airline, or reimbursement rules. If itinerary data is not connected, it asks for the missing facts.</w:t>
      </w:r>
    </w:p>
    <w:p>
      <w:pPr>
        <w:pStyle w:val="Heading1"/>
        <w:keepNext/>
      </w:pPr>
      <w:r>
        <w:t>6. Policy and budget enforcement</w:t>
      </w:r>
    </w:p>
    <w:p>
      <w:pPr>
        <w:spacing w:after="120" w:line="264" w:lineRule="auto"/>
      </w:pPr>
      <w:r>
        <w:rPr>
          <w:rFonts w:ascii="Calibri" w:hAnsi="Calibri"/>
          <w:b w:val="0"/>
          <w:i w:val="0"/>
          <w:color w:val="1F2937"/>
          <w:sz w:val="22"/>
        </w:rPr>
        <w:t>Senso supplies the employee category and policy facts. Tavra code performs arithmetic and policy enforcement. The model may explain the result but cannot alter the ceiling or approval route.</w:t>
      </w:r>
    </w:p>
    <w:tbl>
      <w:tblPr>
        <w:tblStyle w:val="TableGrid"/>
        <w:tblW w:type="dxa" w:w="9360"/>
        <w:jc w:val="left"/>
        <w:tblLayout w:type="fixed"/>
        <w:tblLook w:firstColumn="1" w:firstRow="1" w:lastColumn="0" w:lastRow="0" w:noHBand="0" w:noVBand="1" w:val="04A0"/>
        <w:tblInd w:w="120" w:type="dxa"/>
        <w:tblBorders>
          <w:top w:val="single" w:sz="4" w:color="D4D8DE"/>
          <w:left w:val="single" w:sz="4" w:color="D4D8DE"/>
          <w:bottom w:val="single" w:sz="4" w:color="D4D8DE"/>
          <w:right w:val="single" w:sz="4" w:color="D4D8DE"/>
          <w:insideH w:val="single" w:sz="4" w:color="D4D8DE"/>
          <w:insideV w:val="single" w:sz="4" w:color="D4D8DE"/>
        </w:tblBorders>
      </w:tblPr>
      <w:tblGrid>
        <w:gridCol w:w="9360"/>
      </w:tblGrid>
      <w:tr>
        <w:tc>
          <w:tcPr>
            <w:tcW w:type="dxa" w:w="9360"/>
            <w:vAlign w:val="center"/>
            <w:tcMar>
              <w:top w:w="80" w:type="dxa"/>
              <w:start w:w="120" w:type="dxa"/>
              <w:bottom w:w="80" w:type="dxa"/>
              <w:end w:w="120" w:type="dxa"/>
            </w:tcMar>
            <w:shd w:fill="F2F4F7"/>
          </w:tcPr>
          <w:p>
            <w:pPr>
              <w:spacing w:after="0" w:line="240" w:lineRule="auto"/>
            </w:pPr>
            <w:r>
              <w:rPr>
                <w:rFonts w:ascii="Courier New" w:hAnsi="Courier New"/>
                <w:b w:val="0"/>
                <w:i w:val="0"/>
                <w:color w:val="0B2545"/>
                <w:sz w:val="18"/>
              </w:rPr>
              <w:t>employee_category: client_facing_traveller</w:t>
              <w:br/>
              <w:t>incident_allowance: USD 175 inclusive</w:t>
              <w:br/>
              <w:t>self_approval: total &lt;= 175 and all rules pass</w:t>
              <w:br/>
              <w:t>manager_reauthorization: 175 &lt; total &lt;= 300</w:t>
              <w:br/>
              <w:t>deny: total &gt; 300 or prohibited term change</w:t>
            </w:r>
          </w:p>
        </w:tc>
      </w:tr>
    </w:tbl>
    <w:p>
      <w:pPr>
        <w:spacing w:after="40"/>
      </w:pPr>
    </w:p>
    <w:p>
      <w:pPr>
        <w:pStyle w:val="ListBullet"/>
        <w:spacing w:after="160" w:line="280" w:lineRule="auto"/>
        <w:ind w:left="720" w:hanging="360"/>
      </w:pPr>
      <w:r>
        <w:rPr>
          <w:rFonts w:ascii="Calibri" w:hAnsi="Calibri"/>
          <w:b w:val="0"/>
          <w:i w:val="0"/>
          <w:color w:val="1F2937"/>
          <w:sz w:val="22"/>
        </w:rPr>
        <w:t>All taxes, delivery charges and fees count toward the ceiling.</w:t>
      </w:r>
    </w:p>
    <w:p>
      <w:pPr>
        <w:pStyle w:val="ListBullet"/>
        <w:spacing w:after="160" w:line="280" w:lineRule="auto"/>
        <w:ind w:left="720" w:hanging="360"/>
      </w:pPr>
      <w:r>
        <w:rPr>
          <w:rFonts w:ascii="Calibri" w:hAnsi="Calibri"/>
          <w:b w:val="0"/>
          <w:i w:val="0"/>
          <w:color w:val="1F2937"/>
          <w:sz w:val="22"/>
        </w:rPr>
        <w:t>Exact size, condition, quantity, merchant, delivery deadline and maximum total become part of the Recovery Authorization.</w:t>
      </w:r>
    </w:p>
    <w:p>
      <w:pPr>
        <w:pStyle w:val="ListBullet"/>
        <w:spacing w:after="160" w:line="280" w:lineRule="auto"/>
        <w:ind w:left="720" w:hanging="360"/>
      </w:pPr>
      <w:r>
        <w:rPr>
          <w:rFonts w:ascii="Calibri" w:hAnsi="Calibri"/>
          <w:b w:val="0"/>
          <w:i w:val="0"/>
          <w:color w:val="1F2937"/>
          <w:sz w:val="22"/>
        </w:rPr>
        <w:t>Any material checkout change invalidates the old authorization and produces REAUTHORIZE or DENY.</w:t>
      </w:r>
    </w:p>
    <w:p>
      <w:pPr>
        <w:pStyle w:val="Heading1"/>
        <w:keepNext/>
      </w:pPr>
      <w:r>
        <w:t>7. Static demo corpus versus runtime evidence</w:t>
      </w:r>
    </w:p>
    <w:tbl>
      <w:tblPr>
        <w:tblStyle w:val="TableGrid"/>
        <w:tblW w:type="dxa" w:w="9360"/>
        <w:jc w:val="left"/>
        <w:tblLayout w:type="fixed"/>
        <w:tblLook w:firstColumn="1" w:firstRow="1" w:lastColumn="0" w:lastRow="0" w:noHBand="0" w:noVBand="1" w:val="04A0"/>
        <w:tblInd w:w="120" w:type="dxa"/>
        <w:tblBorders>
          <w:top w:val="single" w:sz="5" w:color="D6DCE5"/>
          <w:left w:val="single" w:sz="5" w:color="D6DCE5"/>
          <w:bottom w:val="single" w:sz="5" w:color="D6DCE5"/>
          <w:right w:val="single" w:sz="5" w:color="D6DCE5"/>
          <w:insideH w:val="single" w:sz="5" w:color="D6DCE5"/>
          <w:insideV w:val="single" w:sz="5" w:color="D6DCE5"/>
        </w:tblBorders>
      </w:tblPr>
      <w:tblGrid>
        <w:gridCol w:w="2700"/>
        <w:gridCol w:w="3390"/>
        <w:gridCol w:w="3270"/>
      </w:tblGrid>
      <w:tr>
        <w:trPr>
          <w:tblHeader w:val="true"/>
        </w:trPr>
        <w:tc>
          <w:tcPr>
            <w:tcW w:type="dxa" w:w="2700"/>
            <w:shd w:fill="E8EEF5"/>
            <w:vAlign w:val="center"/>
            <w:tcMar>
              <w:top w:w="80" w:type="dxa"/>
              <w:start w:w="120" w:type="dxa"/>
              <w:bottom w:w="80" w:type="dxa"/>
              <w:end w:w="120" w:type="dxa"/>
            </w:tcMar>
          </w:tcPr>
          <w:p>
            <w:pPr>
              <w:spacing w:after="0"/>
            </w:pPr>
            <w:r>
              <w:rPr>
                <w:rFonts w:ascii="Calibri" w:hAnsi="Calibri"/>
                <w:b/>
                <w:i w:val="0"/>
                <w:color w:val="0B2545"/>
                <w:sz w:val="19"/>
              </w:rPr>
              <w:t>Generated before demo</w:t>
            </w:r>
          </w:p>
        </w:tc>
        <w:tc>
          <w:tcPr>
            <w:tcW w:type="dxa" w:w="3390"/>
            <w:shd w:fill="E8EEF5"/>
            <w:vAlign w:val="center"/>
            <w:tcMar>
              <w:top w:w="80" w:type="dxa"/>
              <w:start w:w="120" w:type="dxa"/>
              <w:bottom w:w="80" w:type="dxa"/>
              <w:end w:w="120" w:type="dxa"/>
            </w:tcMar>
          </w:tcPr>
          <w:p>
            <w:pPr>
              <w:spacing w:after="0"/>
            </w:pPr>
            <w:r>
              <w:rPr>
                <w:rFonts w:ascii="Calibri" w:hAnsi="Calibri"/>
                <w:b/>
                <w:i w:val="0"/>
                <w:color w:val="0B2545"/>
                <w:sz w:val="19"/>
              </w:rPr>
              <w:t>Retrieved during workflow</w:t>
            </w:r>
          </w:p>
        </w:tc>
        <w:tc>
          <w:tcPr>
            <w:tcW w:type="dxa" w:w="3270"/>
            <w:shd w:fill="E8EEF5"/>
            <w:vAlign w:val="center"/>
            <w:tcMar>
              <w:top w:w="80" w:type="dxa"/>
              <w:start w:w="120" w:type="dxa"/>
              <w:bottom w:w="80" w:type="dxa"/>
              <w:end w:w="120" w:type="dxa"/>
            </w:tcMar>
          </w:tcPr>
          <w:p>
            <w:pPr>
              <w:spacing w:after="0"/>
            </w:pPr>
            <w:r>
              <w:rPr>
                <w:rFonts w:ascii="Calibri" w:hAnsi="Calibri"/>
                <w:b/>
                <w:i w:val="0"/>
                <w:color w:val="0B2545"/>
                <w:sz w:val="19"/>
              </w:rPr>
              <w:t>Boundary</w:t>
            </w:r>
          </w:p>
        </w:tc>
      </w:tr>
      <w:tr>
        <w:tc>
          <w:tcPr>
            <w:tcW w:type="dxa" w:w="2700"/>
            <w:vAlign w:val="center"/>
            <w:tcMar>
              <w:top w:w="80" w:type="dxa"/>
              <w:start w:w="120" w:type="dxa"/>
              <w:bottom w:w="80" w:type="dxa"/>
              <w:end w:w="120" w:type="dxa"/>
            </w:tcMar>
          </w:tcPr>
          <w:p>
            <w:pPr>
              <w:spacing w:after="0" w:line="252" w:lineRule="auto"/>
            </w:pPr>
            <w:r>
              <w:rPr>
                <w:rFonts w:ascii="Calibri" w:hAnsi="Calibri"/>
                <w:b w:val="0"/>
                <w:i w:val="0"/>
                <w:color w:val="1F2937"/>
                <w:sz w:val="18"/>
              </w:rPr>
              <w:t>Synthetic employee profiles and identity linkage</w:t>
            </w:r>
          </w:p>
        </w:tc>
        <w:tc>
          <w:tcPr>
            <w:tcW w:type="dxa" w:w="3390"/>
            <w:vAlign w:val="center"/>
            <w:tcMar>
              <w:top w:w="80" w:type="dxa"/>
              <w:start w:w="120" w:type="dxa"/>
              <w:bottom w:w="80" w:type="dxa"/>
              <w:end w:w="120" w:type="dxa"/>
            </w:tcMar>
          </w:tcPr>
          <w:p>
            <w:pPr>
              <w:spacing w:after="0" w:line="252" w:lineRule="auto"/>
            </w:pPr>
            <w:r>
              <w:rPr>
                <w:rFonts w:ascii="Calibri" w:hAnsi="Calibri"/>
                <w:b w:val="0"/>
                <w:i w:val="0"/>
                <w:color w:val="1F2937"/>
                <w:sz w:val="18"/>
              </w:rPr>
              <w:t>Optional authoritative HR/profile refresh</w:t>
            </w:r>
          </w:p>
        </w:tc>
        <w:tc>
          <w:tcPr>
            <w:tcW w:type="dxa" w:w="3270"/>
            <w:vAlign w:val="center"/>
            <w:tcMar>
              <w:top w:w="80" w:type="dxa"/>
              <w:start w:w="120" w:type="dxa"/>
              <w:bottom w:w="80" w:type="dxa"/>
              <w:end w:w="120" w:type="dxa"/>
            </w:tcMar>
          </w:tcPr>
          <w:p>
            <w:pPr>
              <w:spacing w:after="0" w:line="252" w:lineRule="auto"/>
            </w:pPr>
            <w:r>
              <w:rPr>
                <w:rFonts w:ascii="Calibri" w:hAnsi="Calibri"/>
                <w:b w:val="0"/>
                <w:i w:val="0"/>
                <w:color w:val="1F2937"/>
                <w:sz w:val="18"/>
              </w:rPr>
              <w:t>Identity resolution remains exact and private</w:t>
            </w:r>
          </w:p>
        </w:tc>
      </w:tr>
      <w:tr>
        <w:tc>
          <w:tcPr>
            <w:tcW w:type="dxa" w:w="2700"/>
            <w:vAlign w:val="center"/>
            <w:tcMar>
              <w:top w:w="80" w:type="dxa"/>
              <w:start w:w="120" w:type="dxa"/>
              <w:bottom w:w="80" w:type="dxa"/>
              <w:end w:w="120" w:type="dxa"/>
            </w:tcMar>
          </w:tcPr>
          <w:p>
            <w:pPr>
              <w:spacing w:after="0" w:line="252" w:lineRule="auto"/>
            </w:pPr>
            <w:r>
              <w:rPr>
                <w:rFonts w:ascii="Calibri" w:hAnsi="Calibri"/>
                <w:b w:val="0"/>
                <w:i w:val="0"/>
                <w:color w:val="1F2937"/>
                <w:sz w:val="18"/>
              </w:rPr>
              <w:t>Synthetic company recovery and evidence policies</w:t>
            </w:r>
          </w:p>
        </w:tc>
        <w:tc>
          <w:tcPr>
            <w:tcW w:type="dxa" w:w="3390"/>
            <w:vAlign w:val="center"/>
            <w:tcMar>
              <w:top w:w="80" w:type="dxa"/>
              <w:start w:w="120" w:type="dxa"/>
              <w:bottom w:w="80" w:type="dxa"/>
              <w:end w:w="120" w:type="dxa"/>
            </w:tcMar>
          </w:tcPr>
          <w:p>
            <w:pPr>
              <w:spacing w:after="0" w:line="252" w:lineRule="auto"/>
            </w:pPr>
            <w:r>
              <w:rPr>
                <w:rFonts w:ascii="Calibri" w:hAnsi="Calibri"/>
                <w:b w:val="0"/>
                <w:i w:val="0"/>
                <w:color w:val="1F2937"/>
                <w:sz w:val="18"/>
              </w:rPr>
              <w:t>Real company policy only when supplied by the organization</w:t>
            </w:r>
          </w:p>
        </w:tc>
        <w:tc>
          <w:tcPr>
            <w:tcW w:type="dxa" w:w="3270"/>
            <w:vAlign w:val="center"/>
            <w:tcMar>
              <w:top w:w="80" w:type="dxa"/>
              <w:start w:w="120" w:type="dxa"/>
              <w:bottom w:w="80" w:type="dxa"/>
              <w:end w:w="120" w:type="dxa"/>
            </w:tcMar>
          </w:tcPr>
          <w:p>
            <w:pPr>
              <w:spacing w:after="0" w:line="252" w:lineRule="auto"/>
            </w:pPr>
            <w:r>
              <w:rPr>
                <w:rFonts w:ascii="Calibri" w:hAnsi="Calibri"/>
                <w:b w:val="0"/>
                <w:i w:val="0"/>
                <w:color w:val="1F2937"/>
                <w:sz w:val="18"/>
              </w:rPr>
              <w:t>Never present generated policy as a real employer rule</w:t>
            </w:r>
          </w:p>
        </w:tc>
      </w:tr>
      <w:tr>
        <w:tc>
          <w:tcPr>
            <w:tcW w:type="dxa" w:w="2700"/>
            <w:vAlign w:val="center"/>
            <w:tcMar>
              <w:top w:w="80" w:type="dxa"/>
              <w:start w:w="120" w:type="dxa"/>
              <w:bottom w:w="80" w:type="dxa"/>
              <w:end w:w="120" w:type="dxa"/>
            </w:tcMar>
          </w:tcPr>
          <w:p>
            <w:pPr>
              <w:spacing w:after="0" w:line="252" w:lineRule="auto"/>
            </w:pPr>
            <w:r>
              <w:rPr>
                <w:rFonts w:ascii="Calibri" w:hAnsi="Calibri"/>
                <w:b w:val="0"/>
                <w:i w:val="0"/>
                <w:color w:val="1F2937"/>
                <w:sz w:val="18"/>
              </w:rPr>
              <w:t>Fictional merchant A/B and product catalog</w:t>
            </w:r>
          </w:p>
        </w:tc>
        <w:tc>
          <w:tcPr>
            <w:tcW w:type="dxa" w:w="3390"/>
            <w:vAlign w:val="center"/>
            <w:tcMar>
              <w:top w:w="80" w:type="dxa"/>
              <w:start w:w="120" w:type="dxa"/>
              <w:bottom w:w="80" w:type="dxa"/>
              <w:end w:w="120" w:type="dxa"/>
            </w:tcMar>
          </w:tcPr>
          <w:p>
            <w:pPr>
              <w:spacing w:after="0" w:line="252" w:lineRule="auto"/>
            </w:pPr>
            <w:r>
              <w:rPr>
                <w:rFonts w:ascii="Calibri" w:hAnsi="Calibri"/>
                <w:b w:val="0"/>
                <w:i w:val="0"/>
                <w:color w:val="1F2937"/>
                <w:sz w:val="18"/>
              </w:rPr>
              <w:t>Real merchant price, inventory, delivery, returns and seller</w:t>
            </w:r>
          </w:p>
        </w:tc>
        <w:tc>
          <w:tcPr>
            <w:tcW w:type="dxa" w:w="3270"/>
            <w:vAlign w:val="center"/>
            <w:tcMar>
              <w:top w:w="80" w:type="dxa"/>
              <w:start w:w="120" w:type="dxa"/>
              <w:bottom w:w="80" w:type="dxa"/>
              <w:end w:w="120" w:type="dxa"/>
            </w:tcMar>
          </w:tcPr>
          <w:p>
            <w:pPr>
              <w:spacing w:after="0" w:line="252" w:lineRule="auto"/>
            </w:pPr>
            <w:r>
              <w:rPr>
                <w:rFonts w:ascii="Calibri" w:hAnsi="Calibri"/>
                <w:b w:val="0"/>
                <w:i w:val="0"/>
                <w:color w:val="1F2937"/>
                <w:sz w:val="18"/>
              </w:rPr>
              <w:t>Synthetic evidence is sandbox-only</w:t>
            </w:r>
          </w:p>
        </w:tc>
      </w:tr>
      <w:tr>
        <w:tc>
          <w:tcPr>
            <w:tcW w:type="dxa" w:w="2700"/>
            <w:vAlign w:val="center"/>
            <w:tcMar>
              <w:top w:w="80" w:type="dxa"/>
              <w:start w:w="120" w:type="dxa"/>
              <w:bottom w:w="80" w:type="dxa"/>
              <w:end w:w="120" w:type="dxa"/>
            </w:tcMar>
          </w:tcPr>
          <w:p>
            <w:pPr>
              <w:spacing w:after="0" w:line="252" w:lineRule="auto"/>
            </w:pPr>
            <w:r>
              <w:rPr>
                <w:rFonts w:ascii="Calibri" w:hAnsi="Calibri"/>
                <w:b w:val="0"/>
                <w:i w:val="0"/>
                <w:color w:val="1F2937"/>
                <w:sz w:val="18"/>
              </w:rPr>
              <w:t>Prior synthetic merchant outcome</w:t>
            </w:r>
          </w:p>
        </w:tc>
        <w:tc>
          <w:tcPr>
            <w:tcW w:type="dxa" w:w="3390"/>
            <w:vAlign w:val="center"/>
            <w:tcMar>
              <w:top w:w="80" w:type="dxa"/>
              <w:start w:w="120" w:type="dxa"/>
              <w:bottom w:w="80" w:type="dxa"/>
              <w:end w:w="120" w:type="dxa"/>
            </w:tcMar>
          </w:tcPr>
          <w:p>
            <w:pPr>
              <w:spacing w:after="0" w:line="252" w:lineRule="auto"/>
            </w:pPr>
            <w:r>
              <w:rPr>
                <w:rFonts w:ascii="Calibri" w:hAnsi="Calibri"/>
                <w:b w:val="0"/>
                <w:i w:val="0"/>
                <w:color w:val="1F2937"/>
                <w:sz w:val="18"/>
              </w:rPr>
              <w:t>Verified outcome from the completed checkout</w:t>
            </w:r>
          </w:p>
        </w:tc>
        <w:tc>
          <w:tcPr>
            <w:tcW w:type="dxa" w:w="3270"/>
            <w:vAlign w:val="center"/>
            <w:tcMar>
              <w:top w:w="80" w:type="dxa"/>
              <w:start w:w="120" w:type="dxa"/>
              <w:bottom w:w="80" w:type="dxa"/>
              <w:end w:w="120" w:type="dxa"/>
            </w:tcMar>
          </w:tcPr>
          <w:p>
            <w:pPr>
              <w:spacing w:after="0" w:line="252" w:lineRule="auto"/>
            </w:pPr>
            <w:r>
              <w:rPr>
                <w:rFonts w:ascii="Calibri" w:hAnsi="Calibri"/>
                <w:b w:val="0"/>
                <w:i w:val="0"/>
                <w:color w:val="1F2937"/>
                <w:sz w:val="18"/>
              </w:rPr>
              <w:t>Checkout does not prove delivery</w:t>
            </w:r>
          </w:p>
        </w:tc>
      </w:tr>
      <w:tr>
        <w:tc>
          <w:tcPr>
            <w:tcW w:type="dxa" w:w="2700"/>
            <w:vAlign w:val="center"/>
            <w:tcMar>
              <w:top w:w="80" w:type="dxa"/>
              <w:start w:w="120" w:type="dxa"/>
              <w:bottom w:w="80" w:type="dxa"/>
              <w:end w:w="120" w:type="dxa"/>
            </w:tcMar>
          </w:tcPr>
          <w:p>
            <w:pPr>
              <w:spacing w:after="0" w:line="252" w:lineRule="auto"/>
            </w:pPr>
            <w:r>
              <w:rPr>
                <w:rFonts w:ascii="Calibri" w:hAnsi="Calibri"/>
                <w:b w:val="0"/>
                <w:i w:val="0"/>
                <w:color w:val="1F2937"/>
                <w:sz w:val="18"/>
              </w:rPr>
              <w:t>Airline and merchant snapshot templates</w:t>
            </w:r>
          </w:p>
        </w:tc>
        <w:tc>
          <w:tcPr>
            <w:tcW w:type="dxa" w:w="3390"/>
            <w:vAlign w:val="center"/>
            <w:tcMar>
              <w:top w:w="80" w:type="dxa"/>
              <w:start w:w="120" w:type="dxa"/>
              <w:bottom w:w="80" w:type="dxa"/>
              <w:end w:w="120" w:type="dxa"/>
            </w:tcMar>
          </w:tcPr>
          <w:p>
            <w:pPr>
              <w:spacing w:after="0" w:line="252" w:lineRule="auto"/>
            </w:pPr>
            <w:r>
              <w:rPr>
                <w:rFonts w:ascii="Calibri" w:hAnsi="Calibri"/>
                <w:b w:val="0"/>
                <w:i w:val="0"/>
                <w:color w:val="1F2937"/>
                <w:sz w:val="18"/>
              </w:rPr>
              <w:t>Official airline, regulator, airport and merchant pages</w:t>
            </w:r>
          </w:p>
        </w:tc>
        <w:tc>
          <w:tcPr>
            <w:tcW w:type="dxa" w:w="3270"/>
            <w:vAlign w:val="center"/>
            <w:tcMar>
              <w:top w:w="80" w:type="dxa"/>
              <w:start w:w="120" w:type="dxa"/>
              <w:bottom w:w="80" w:type="dxa"/>
              <w:end w:w="120" w:type="dxa"/>
            </w:tcMar>
          </w:tcPr>
          <w:p>
            <w:pPr>
              <w:spacing w:after="0" w:line="252" w:lineRule="auto"/>
            </w:pPr>
            <w:r>
              <w:rPr>
                <w:rFonts w:ascii="Calibri" w:hAnsi="Calibri"/>
                <w:b w:val="0"/>
                <w:i w:val="0"/>
                <w:color w:val="1F2937"/>
                <w:sz w:val="18"/>
              </w:rPr>
              <w:t>Allowlist, timestamp and hash every external source</w:t>
            </w:r>
          </w:p>
        </w:tc>
      </w:tr>
    </w:tbl>
    <w:p>
      <w:pPr>
        <w:spacing w:after="40"/>
      </w:pPr>
    </w:p>
    <w:p>
      <w:pPr>
        <w:spacing w:after="120" w:line="264" w:lineRule="auto"/>
      </w:pPr>
      <w:r>
        <w:rPr>
          <w:rFonts w:ascii="Calibri" w:hAnsi="Calibri"/>
          <w:b w:val="0"/>
          <w:i w:val="0"/>
          <w:color w:val="1F2937"/>
          <w:sz w:val="22"/>
        </w:rPr>
        <w:t>For live evidence, Tavra fetches an allowlisted official page, records provenance and a content hash, fills a structured snapshot, ingests it into Senso, waits for compilation, and queries only that snapshot. If freshness or provenance fails, the fact remains unknown. The MVP prepares a claim-ready Recovery Receipt; it does not claim to submit reimbursement.</w:t>
      </w:r>
    </w:p>
    <w:p>
      <w:pPr>
        <w:pStyle w:val="Heading1"/>
        <w:keepNext/>
      </w:pPr>
      <w:r>
        <w:t>8. Senso outcome memory</w:t>
      </w:r>
    </w:p>
    <w:tbl>
      <w:tblPr>
        <w:tblStyle w:val="TableGrid"/>
        <w:tblW w:type="dxa" w:w="9360"/>
        <w:jc w:val="left"/>
        <w:tblLayout w:type="fixed"/>
        <w:tblLook w:firstColumn="1" w:firstRow="1" w:lastColumn="0" w:lastRow="0" w:noHBand="0" w:noVBand="1" w:val="04A0"/>
        <w:tblInd w:w="120" w:type="dxa"/>
        <w:tblBorders>
          <w:top w:val="single" w:sz="4" w:color="D4D8DE"/>
          <w:left w:val="single" w:sz="4" w:color="D4D8DE"/>
          <w:bottom w:val="single" w:sz="4" w:color="D4D8DE"/>
          <w:right w:val="single" w:sz="4" w:color="D4D8DE"/>
          <w:insideH w:val="single" w:sz="4" w:color="D4D8DE"/>
          <w:insideV w:val="single" w:sz="4" w:color="D4D8DE"/>
        </w:tblBorders>
      </w:tblPr>
      <w:tblGrid>
        <w:gridCol w:w="9360"/>
      </w:tblGrid>
      <w:tr>
        <w:tc>
          <w:tcPr>
            <w:tcW w:type="dxa" w:w="9360"/>
            <w:vAlign w:val="center"/>
            <w:tcMar>
              <w:top w:w="80" w:type="dxa"/>
              <w:start w:w="120" w:type="dxa"/>
              <w:bottom w:w="80" w:type="dxa"/>
              <w:end w:w="120" w:type="dxa"/>
            </w:tcMar>
            <w:shd w:fill="F2F4F7"/>
          </w:tcPr>
          <w:p>
            <w:pPr>
              <w:spacing w:after="0" w:line="240" w:lineRule="auto"/>
            </w:pPr>
            <w:r>
              <w:rPr>
                <w:rFonts w:ascii="Courier New" w:hAnsi="Courier New"/>
                <w:b w:val="0"/>
                <w:i w:val="0"/>
                <w:color w:val="0B2545"/>
                <w:sz w:val="18"/>
              </w:rPr>
              <w:t>Verified checkout → Merchant Outcome Record → Senso Outcomes folder</w:t>
              <w:br/>
              <w:t xml:space="preserve">                  → compilation complete → next scoped query</w:t>
              <w:br/>
              <w:t xml:space="preserve">                  → prior evidence influences the next merchant decision</w:t>
            </w:r>
          </w:p>
        </w:tc>
      </w:tr>
    </w:tbl>
    <w:p>
      <w:pPr>
        <w:spacing w:after="40"/>
      </w:pPr>
    </w:p>
    <w:p>
      <w:pPr>
        <w:pStyle w:val="ListBullet"/>
        <w:spacing w:after="160" w:line="280" w:lineRule="auto"/>
        <w:ind w:left="720" w:hanging="360"/>
      </w:pPr>
      <w:r>
        <w:rPr>
          <w:rFonts w:ascii="Calibri" w:hAnsi="Calibri"/>
          <w:b w:val="0"/>
          <w:i w:val="0"/>
          <w:color w:val="1F2937"/>
          <w:sz w:val="22"/>
        </w:rPr>
        <w:t>Store quoted and final totals, amount drift, approved-item match, add-ons, checkout state, order-ID presence and verification time.</w:t>
      </w:r>
    </w:p>
    <w:p>
      <w:pPr>
        <w:pStyle w:val="ListBullet"/>
        <w:spacing w:after="160" w:line="280" w:lineRule="auto"/>
        <w:ind w:left="720" w:hanging="360"/>
      </w:pPr>
      <w:r>
        <w:rPr>
          <w:rFonts w:ascii="Calibri" w:hAnsi="Calibri"/>
          <w:b w:val="0"/>
          <w:i w:val="0"/>
          <w:color w:val="1F2937"/>
          <w:sz w:val="22"/>
        </w:rPr>
        <w:t>Keep delivery status `not_verified` until an actual delivery event is observed.</w:t>
      </w:r>
    </w:p>
    <w:p>
      <w:pPr>
        <w:pStyle w:val="ListBullet"/>
        <w:spacing w:after="160" w:line="280" w:lineRule="auto"/>
        <w:ind w:left="720" w:hanging="360"/>
      </w:pPr>
      <w:r>
        <w:rPr>
          <w:rFonts w:ascii="Calibri" w:hAnsi="Calibri"/>
          <w:b w:val="0"/>
          <w:i w:val="0"/>
          <w:color w:val="1F2937"/>
          <w:sz w:val="22"/>
        </w:rPr>
        <w:t>Carry a single correlation ID through Linq events, Senso queries, OpenAI traces, Prava sessions, checkout records and the Recovery Receipt.</w:t>
      </w:r>
    </w:p>
    <w:p>
      <w:pPr>
        <w:pStyle w:val="Heading1"/>
        <w:keepNext/>
      </w:pPr>
      <w:r>
        <w:t>9. Hackathon corpus delivered with this brief</w:t>
      </w:r>
    </w:p>
    <w:tbl>
      <w:tblPr>
        <w:tblStyle w:val="TableGrid"/>
        <w:tblW w:type="dxa" w:w="9360"/>
        <w:jc w:val="left"/>
        <w:tblLayout w:type="fixed"/>
        <w:tblLook w:firstColumn="1" w:firstRow="1" w:lastColumn="0" w:lastRow="0" w:noHBand="0" w:noVBand="1" w:val="04A0"/>
        <w:tblInd w:w="120" w:type="dxa"/>
        <w:tblBorders>
          <w:top w:val="single" w:sz="5" w:color="D6DCE5"/>
          <w:left w:val="single" w:sz="5" w:color="D6DCE5"/>
          <w:bottom w:val="single" w:sz="5" w:color="D6DCE5"/>
          <w:right w:val="single" w:sz="5" w:color="D6DCE5"/>
          <w:insideH w:val="single" w:sz="5" w:color="D6DCE5"/>
          <w:insideV w:val="single" w:sz="5" w:color="D6DCE5"/>
        </w:tblBorders>
      </w:tblPr>
      <w:tblGrid>
        <w:gridCol w:w="2700"/>
        <w:gridCol w:w="4010"/>
        <w:gridCol w:w="2650"/>
      </w:tblGrid>
      <w:tr>
        <w:trPr>
          <w:tblHeader w:val="true"/>
        </w:trPr>
        <w:tc>
          <w:tcPr>
            <w:tcW w:type="dxa" w:w="2700"/>
            <w:shd w:fill="E8EEF5"/>
            <w:vAlign w:val="center"/>
            <w:tcMar>
              <w:top w:w="80" w:type="dxa"/>
              <w:start w:w="120" w:type="dxa"/>
              <w:bottom w:w="80" w:type="dxa"/>
              <w:end w:w="120" w:type="dxa"/>
            </w:tcMar>
          </w:tcPr>
          <w:p>
            <w:pPr>
              <w:spacing w:after="0"/>
            </w:pPr>
            <w:r>
              <w:rPr>
                <w:rFonts w:ascii="Calibri" w:hAnsi="Calibri"/>
                <w:b/>
                <w:i w:val="0"/>
                <w:color w:val="0B2545"/>
                <w:sz w:val="19"/>
              </w:rPr>
              <w:t>Package</w:t>
            </w:r>
          </w:p>
        </w:tc>
        <w:tc>
          <w:tcPr>
            <w:tcW w:type="dxa" w:w="4010"/>
            <w:shd w:fill="E8EEF5"/>
            <w:vAlign w:val="center"/>
            <w:tcMar>
              <w:top w:w="80" w:type="dxa"/>
              <w:start w:w="120" w:type="dxa"/>
              <w:bottom w:w="80" w:type="dxa"/>
              <w:end w:w="120" w:type="dxa"/>
            </w:tcMar>
          </w:tcPr>
          <w:p>
            <w:pPr>
              <w:spacing w:after="0"/>
            </w:pPr>
            <w:r>
              <w:rPr>
                <w:rFonts w:ascii="Calibri" w:hAnsi="Calibri"/>
                <w:b/>
                <w:i w:val="0"/>
                <w:color w:val="0B2545"/>
                <w:sz w:val="19"/>
              </w:rPr>
              <w:t>Purpose</w:t>
            </w:r>
          </w:p>
        </w:tc>
        <w:tc>
          <w:tcPr>
            <w:tcW w:type="dxa" w:w="2650"/>
            <w:shd w:fill="E8EEF5"/>
            <w:vAlign w:val="center"/>
            <w:tcMar>
              <w:top w:w="80" w:type="dxa"/>
              <w:start w:w="120" w:type="dxa"/>
              <w:bottom w:w="80" w:type="dxa"/>
              <w:end w:w="120" w:type="dxa"/>
            </w:tcMar>
          </w:tcPr>
          <w:p>
            <w:pPr>
              <w:spacing w:after="0"/>
            </w:pPr>
            <w:r>
              <w:rPr>
                <w:rFonts w:ascii="Calibri" w:hAnsi="Calibri"/>
                <w:b/>
                <w:i w:val="0"/>
                <w:color w:val="0B2545"/>
                <w:sz w:val="19"/>
              </w:rPr>
              <w:t>Trust</w:t>
            </w:r>
          </w:p>
        </w:tc>
      </w:tr>
      <w:tr>
        <w:tc>
          <w:tcPr>
            <w:tcW w:type="dxa" w:w="2700"/>
            <w:vAlign w:val="center"/>
            <w:tcMar>
              <w:top w:w="80" w:type="dxa"/>
              <w:start w:w="120" w:type="dxa"/>
              <w:bottom w:w="80" w:type="dxa"/>
              <w:end w:w="120" w:type="dxa"/>
            </w:tcMar>
          </w:tcPr>
          <w:p>
            <w:pPr>
              <w:spacing w:after="0" w:line="252" w:lineRule="auto"/>
            </w:pPr>
            <w:r>
              <w:rPr>
                <w:rFonts w:ascii="Calibri" w:hAnsi="Calibri"/>
                <w:b w:val="0"/>
                <w:i w:val="0"/>
                <w:color w:val="1F2937"/>
                <w:sz w:val="18"/>
              </w:rPr>
              <w:t>employees/emp_demo_001.md</w:t>
            </w:r>
          </w:p>
        </w:tc>
        <w:tc>
          <w:tcPr>
            <w:tcW w:type="dxa" w:w="4010"/>
            <w:vAlign w:val="center"/>
            <w:tcMar>
              <w:top w:w="80" w:type="dxa"/>
              <w:start w:w="120" w:type="dxa"/>
              <w:bottom w:w="80" w:type="dxa"/>
              <w:end w:w="120" w:type="dxa"/>
            </w:tcMar>
          </w:tcPr>
          <w:p>
            <w:pPr>
              <w:spacing w:after="0" w:line="252" w:lineRule="auto"/>
            </w:pPr>
            <w:r>
              <w:rPr>
                <w:rFonts w:ascii="Calibri" w:hAnsi="Calibri"/>
                <w:b w:val="0"/>
                <w:i w:val="0"/>
                <w:color w:val="1F2937"/>
                <w:sz w:val="18"/>
              </w:rPr>
              <w:t>Profile with known T-shirt/waist and missing inseam</w:t>
            </w:r>
          </w:p>
        </w:tc>
        <w:tc>
          <w:tcPr>
            <w:tcW w:type="dxa" w:w="2650"/>
            <w:vAlign w:val="center"/>
            <w:tcMar>
              <w:top w:w="80" w:type="dxa"/>
              <w:start w:w="120" w:type="dxa"/>
              <w:bottom w:w="80" w:type="dxa"/>
              <w:end w:w="120" w:type="dxa"/>
            </w:tcMar>
          </w:tcPr>
          <w:p>
            <w:pPr>
              <w:spacing w:after="0" w:line="252" w:lineRule="auto"/>
            </w:pPr>
            <w:r>
              <w:rPr>
                <w:rFonts w:ascii="Calibri" w:hAnsi="Calibri"/>
                <w:b w:val="0"/>
                <w:i w:val="0"/>
                <w:color w:val="1F2937"/>
                <w:sz w:val="18"/>
              </w:rPr>
              <w:t>Synthetic company authority</w:t>
            </w:r>
          </w:p>
        </w:tc>
      </w:tr>
      <w:tr>
        <w:tc>
          <w:tcPr>
            <w:tcW w:type="dxa" w:w="2700"/>
            <w:vAlign w:val="center"/>
            <w:tcMar>
              <w:top w:w="80" w:type="dxa"/>
              <w:start w:w="120" w:type="dxa"/>
              <w:bottom w:w="80" w:type="dxa"/>
              <w:end w:w="120" w:type="dxa"/>
            </w:tcMar>
          </w:tcPr>
          <w:p>
            <w:pPr>
              <w:spacing w:after="0" w:line="252" w:lineRule="auto"/>
            </w:pPr>
            <w:r>
              <w:rPr>
                <w:rFonts w:ascii="Calibri" w:hAnsi="Calibri"/>
                <w:b w:val="0"/>
                <w:i w:val="0"/>
                <w:color w:val="1F2937"/>
                <w:sz w:val="18"/>
              </w:rPr>
              <w:t>policies/*.md</w:t>
            </w:r>
          </w:p>
        </w:tc>
        <w:tc>
          <w:tcPr>
            <w:tcW w:type="dxa" w:w="4010"/>
            <w:vAlign w:val="center"/>
            <w:tcMar>
              <w:top w:w="80" w:type="dxa"/>
              <w:start w:w="120" w:type="dxa"/>
              <w:bottom w:w="80" w:type="dxa"/>
              <w:end w:w="120" w:type="dxa"/>
            </w:tcMar>
          </w:tcPr>
          <w:p>
            <w:pPr>
              <w:spacing w:after="0" w:line="252" w:lineRule="auto"/>
            </w:pPr>
            <w:r>
              <w:rPr>
                <w:rFonts w:ascii="Calibri" w:hAnsi="Calibri"/>
                <w:b w:val="0"/>
                <w:i w:val="0"/>
                <w:color w:val="1F2937"/>
                <w:sz w:val="18"/>
              </w:rPr>
              <w:t>Budget, categories, approval and evidence rules</w:t>
            </w:r>
          </w:p>
        </w:tc>
        <w:tc>
          <w:tcPr>
            <w:tcW w:type="dxa" w:w="2650"/>
            <w:vAlign w:val="center"/>
            <w:tcMar>
              <w:top w:w="80" w:type="dxa"/>
              <w:start w:w="120" w:type="dxa"/>
              <w:bottom w:w="80" w:type="dxa"/>
              <w:end w:w="120" w:type="dxa"/>
            </w:tcMar>
          </w:tcPr>
          <w:p>
            <w:pPr>
              <w:spacing w:after="0" w:line="252" w:lineRule="auto"/>
            </w:pPr>
            <w:r>
              <w:rPr>
                <w:rFonts w:ascii="Calibri" w:hAnsi="Calibri"/>
                <w:b w:val="0"/>
                <w:i w:val="0"/>
                <w:color w:val="1F2937"/>
                <w:sz w:val="18"/>
              </w:rPr>
              <w:t>Synthetic company authority</w:t>
            </w:r>
          </w:p>
        </w:tc>
      </w:tr>
      <w:tr>
        <w:tc>
          <w:tcPr>
            <w:tcW w:type="dxa" w:w="2700"/>
            <w:vAlign w:val="center"/>
            <w:tcMar>
              <w:top w:w="80" w:type="dxa"/>
              <w:start w:w="120" w:type="dxa"/>
              <w:bottom w:w="80" w:type="dxa"/>
              <w:end w:w="120" w:type="dxa"/>
            </w:tcMar>
          </w:tcPr>
          <w:p>
            <w:pPr>
              <w:spacing w:after="0" w:line="252" w:lineRule="auto"/>
            </w:pPr>
            <w:r>
              <w:rPr>
                <w:rFonts w:ascii="Calibri" w:hAnsi="Calibri"/>
                <w:b w:val="0"/>
                <w:i w:val="0"/>
                <w:color w:val="1F2937"/>
                <w:sz w:val="18"/>
              </w:rPr>
              <w:t>merchants/*.md + products/*.json</w:t>
            </w:r>
          </w:p>
        </w:tc>
        <w:tc>
          <w:tcPr>
            <w:tcW w:type="dxa" w:w="4010"/>
            <w:vAlign w:val="center"/>
            <w:tcMar>
              <w:top w:w="80" w:type="dxa"/>
              <w:start w:w="120" w:type="dxa"/>
              <w:bottom w:w="80" w:type="dxa"/>
              <w:end w:w="120" w:type="dxa"/>
            </w:tcMar>
          </w:tcPr>
          <w:p>
            <w:pPr>
              <w:spacing w:after="0" w:line="252" w:lineRule="auto"/>
            </w:pPr>
            <w:r>
              <w:rPr>
                <w:rFonts w:ascii="Calibri" w:hAnsi="Calibri"/>
                <w:b w:val="0"/>
                <w:i w:val="0"/>
                <w:color w:val="1F2937"/>
                <w:sz w:val="18"/>
              </w:rPr>
              <w:t>Cheaper rejected option and trusted selected option</w:t>
            </w:r>
          </w:p>
        </w:tc>
        <w:tc>
          <w:tcPr>
            <w:tcW w:type="dxa" w:w="2650"/>
            <w:vAlign w:val="center"/>
            <w:tcMar>
              <w:top w:w="80" w:type="dxa"/>
              <w:start w:w="120" w:type="dxa"/>
              <w:bottom w:w="80" w:type="dxa"/>
              <w:end w:w="120" w:type="dxa"/>
            </w:tcMar>
          </w:tcPr>
          <w:p>
            <w:pPr>
              <w:spacing w:after="0" w:line="252" w:lineRule="auto"/>
            </w:pPr>
            <w:r>
              <w:rPr>
                <w:rFonts w:ascii="Calibri" w:hAnsi="Calibri"/>
                <w:b w:val="0"/>
                <w:i w:val="0"/>
                <w:color w:val="1F2937"/>
                <w:sz w:val="18"/>
              </w:rPr>
              <w:t>Synthetic sandbox evidence</w:t>
            </w:r>
          </w:p>
        </w:tc>
      </w:tr>
      <w:tr>
        <w:tc>
          <w:tcPr>
            <w:tcW w:type="dxa" w:w="2700"/>
            <w:vAlign w:val="center"/>
            <w:tcMar>
              <w:top w:w="80" w:type="dxa"/>
              <w:start w:w="120" w:type="dxa"/>
              <w:bottom w:w="80" w:type="dxa"/>
              <w:end w:w="120" w:type="dxa"/>
            </w:tcMar>
          </w:tcPr>
          <w:p>
            <w:pPr>
              <w:spacing w:after="0" w:line="252" w:lineRule="auto"/>
            </w:pPr>
            <w:r>
              <w:rPr>
                <w:rFonts w:ascii="Calibri" w:hAnsi="Calibri"/>
                <w:b w:val="0"/>
                <w:i w:val="0"/>
                <w:color w:val="1F2937"/>
                <w:sz w:val="18"/>
              </w:rPr>
              <w:t>outcomes/*.json</w:t>
            </w:r>
          </w:p>
        </w:tc>
        <w:tc>
          <w:tcPr>
            <w:tcW w:type="dxa" w:w="4010"/>
            <w:vAlign w:val="center"/>
            <w:tcMar>
              <w:top w:w="80" w:type="dxa"/>
              <w:start w:w="120" w:type="dxa"/>
              <w:bottom w:w="80" w:type="dxa"/>
              <w:end w:w="120" w:type="dxa"/>
            </w:tcMar>
          </w:tcPr>
          <w:p>
            <w:pPr>
              <w:spacing w:after="0" w:line="252" w:lineRule="auto"/>
            </w:pPr>
            <w:r>
              <w:rPr>
                <w:rFonts w:ascii="Calibri" w:hAnsi="Calibri"/>
                <w:b w:val="0"/>
                <w:i w:val="0"/>
                <w:color w:val="1F2937"/>
                <w:sz w:val="18"/>
              </w:rPr>
              <w:t>Prior verified checkout-shaped memory</w:t>
            </w:r>
          </w:p>
        </w:tc>
        <w:tc>
          <w:tcPr>
            <w:tcW w:type="dxa" w:w="2650"/>
            <w:vAlign w:val="center"/>
            <w:tcMar>
              <w:top w:w="80" w:type="dxa"/>
              <w:start w:w="120" w:type="dxa"/>
              <w:bottom w:w="80" w:type="dxa"/>
              <w:end w:w="120" w:type="dxa"/>
            </w:tcMar>
          </w:tcPr>
          <w:p>
            <w:pPr>
              <w:spacing w:after="0" w:line="252" w:lineRule="auto"/>
            </w:pPr>
            <w:r>
              <w:rPr>
                <w:rFonts w:ascii="Calibri" w:hAnsi="Calibri"/>
                <w:b w:val="0"/>
                <w:i w:val="0"/>
                <w:color w:val="1F2937"/>
                <w:sz w:val="18"/>
              </w:rPr>
              <w:t>Synthetic outcome for retrieval demo</w:t>
            </w:r>
          </w:p>
        </w:tc>
      </w:tr>
      <w:tr>
        <w:tc>
          <w:tcPr>
            <w:tcW w:type="dxa" w:w="2700"/>
            <w:vAlign w:val="center"/>
            <w:tcMar>
              <w:top w:w="80" w:type="dxa"/>
              <w:start w:w="120" w:type="dxa"/>
              <w:bottom w:w="80" w:type="dxa"/>
              <w:end w:w="120" w:type="dxa"/>
            </w:tcMar>
          </w:tcPr>
          <w:p>
            <w:pPr>
              <w:spacing w:after="0" w:line="252" w:lineRule="auto"/>
            </w:pPr>
            <w:r>
              <w:rPr>
                <w:rFonts w:ascii="Calibri" w:hAnsi="Calibri"/>
                <w:b w:val="0"/>
                <w:i w:val="0"/>
                <w:color w:val="1F2937"/>
                <w:sz w:val="18"/>
              </w:rPr>
              <w:t>templates/*</w:t>
            </w:r>
          </w:p>
        </w:tc>
        <w:tc>
          <w:tcPr>
            <w:tcW w:type="dxa" w:w="4010"/>
            <w:vAlign w:val="center"/>
            <w:tcMar>
              <w:top w:w="80" w:type="dxa"/>
              <w:start w:w="120" w:type="dxa"/>
              <w:bottom w:w="80" w:type="dxa"/>
              <w:end w:w="120" w:type="dxa"/>
            </w:tcMar>
          </w:tcPr>
          <w:p>
            <w:pPr>
              <w:spacing w:after="0" w:line="252" w:lineRule="auto"/>
            </w:pPr>
            <w:r>
              <w:rPr>
                <w:rFonts w:ascii="Calibri" w:hAnsi="Calibri"/>
                <w:b w:val="0"/>
                <w:i w:val="0"/>
                <w:color w:val="1F2937"/>
                <w:sz w:val="18"/>
              </w:rPr>
              <w:t>Runtime airline, merchant and outcome records</w:t>
            </w:r>
          </w:p>
        </w:tc>
        <w:tc>
          <w:tcPr>
            <w:tcW w:type="dxa" w:w="2650"/>
            <w:vAlign w:val="center"/>
            <w:tcMar>
              <w:top w:w="80" w:type="dxa"/>
              <w:start w:w="120" w:type="dxa"/>
              <w:bottom w:w="80" w:type="dxa"/>
              <w:end w:w="120" w:type="dxa"/>
            </w:tcMar>
          </w:tcPr>
          <w:p>
            <w:pPr>
              <w:spacing w:after="0" w:line="252" w:lineRule="auto"/>
            </w:pPr>
            <w:r>
              <w:rPr>
                <w:rFonts w:ascii="Calibri" w:hAnsi="Calibri"/>
                <w:b w:val="0"/>
                <w:i w:val="0"/>
                <w:color w:val="1F2937"/>
                <w:sz w:val="18"/>
              </w:rPr>
              <w:t>Not evidence until populated</w:t>
            </w:r>
          </w:p>
        </w:tc>
      </w:tr>
      <w:tr>
        <w:tc>
          <w:tcPr>
            <w:tcW w:type="dxa" w:w="2700"/>
            <w:vAlign w:val="center"/>
            <w:tcMar>
              <w:top w:w="80" w:type="dxa"/>
              <w:start w:w="120" w:type="dxa"/>
              <w:bottom w:w="80" w:type="dxa"/>
              <w:end w:w="120" w:type="dxa"/>
            </w:tcMar>
          </w:tcPr>
          <w:p>
            <w:pPr>
              <w:spacing w:after="0" w:line="252" w:lineRule="auto"/>
            </w:pPr>
            <w:r>
              <w:rPr>
                <w:rFonts w:ascii="Calibri" w:hAnsi="Calibri"/>
                <w:b w:val="0"/>
                <w:i w:val="0"/>
                <w:color w:val="1F2937"/>
                <w:sz w:val="18"/>
              </w:rPr>
              <w:t>queries/retrieval-playbook.md</w:t>
            </w:r>
          </w:p>
        </w:tc>
        <w:tc>
          <w:tcPr>
            <w:tcW w:type="dxa" w:w="4010"/>
            <w:vAlign w:val="center"/>
            <w:tcMar>
              <w:top w:w="80" w:type="dxa"/>
              <w:start w:w="120" w:type="dxa"/>
              <w:bottom w:w="80" w:type="dxa"/>
              <w:end w:w="120" w:type="dxa"/>
            </w:tcMar>
          </w:tcPr>
          <w:p>
            <w:pPr>
              <w:spacing w:after="0" w:line="252" w:lineRule="auto"/>
            </w:pPr>
            <w:r>
              <w:rPr>
                <w:rFonts w:ascii="Calibri" w:hAnsi="Calibri"/>
                <w:b w:val="0"/>
                <w:i w:val="0"/>
                <w:color w:val="1F2937"/>
                <w:sz w:val="18"/>
              </w:rPr>
              <w:t>Scoped prompts and delta-only behavior</w:t>
            </w:r>
          </w:p>
        </w:tc>
        <w:tc>
          <w:tcPr>
            <w:tcW w:type="dxa" w:w="2650"/>
            <w:vAlign w:val="center"/>
            <w:tcMar>
              <w:top w:w="80" w:type="dxa"/>
              <w:start w:w="120" w:type="dxa"/>
              <w:bottom w:w="80" w:type="dxa"/>
              <w:end w:w="120" w:type="dxa"/>
            </w:tcMar>
          </w:tcPr>
          <w:p>
            <w:pPr>
              <w:spacing w:after="0" w:line="252" w:lineRule="auto"/>
            </w:pPr>
            <w:r>
              <w:rPr>
                <w:rFonts w:ascii="Calibri" w:hAnsi="Calibri"/>
                <w:b w:val="0"/>
                <w:i w:val="0"/>
                <w:color w:val="1F2937"/>
                <w:sz w:val="18"/>
              </w:rPr>
              <w:t>Application-owned instructions</w:t>
            </w:r>
          </w:p>
        </w:tc>
      </w:tr>
      <w:tr>
        <w:tc>
          <w:tcPr>
            <w:tcW w:type="dxa" w:w="2700"/>
            <w:vAlign w:val="center"/>
            <w:tcMar>
              <w:top w:w="80" w:type="dxa"/>
              <w:start w:w="120" w:type="dxa"/>
              <w:bottom w:w="80" w:type="dxa"/>
              <w:end w:w="120" w:type="dxa"/>
            </w:tcMar>
          </w:tcPr>
          <w:p>
            <w:pPr>
              <w:spacing w:after="0" w:line="252" w:lineRule="auto"/>
            </w:pPr>
            <w:r>
              <w:rPr>
                <w:rFonts w:ascii="Calibri" w:hAnsi="Calibri"/>
                <w:b w:val="0"/>
                <w:i w:val="0"/>
                <w:color w:val="1F2937"/>
                <w:sz w:val="18"/>
              </w:rPr>
              <w:t>demo-config/identity-map.example.json</w:t>
            </w:r>
          </w:p>
        </w:tc>
        <w:tc>
          <w:tcPr>
            <w:tcW w:type="dxa" w:w="4010"/>
            <w:vAlign w:val="center"/>
            <w:tcMar>
              <w:top w:w="80" w:type="dxa"/>
              <w:start w:w="120" w:type="dxa"/>
              <w:bottom w:w="80" w:type="dxa"/>
              <w:end w:w="120" w:type="dxa"/>
            </w:tcMar>
          </w:tcPr>
          <w:p>
            <w:pPr>
              <w:spacing w:after="0" w:line="252" w:lineRule="auto"/>
            </w:pPr>
            <w:r>
              <w:rPr>
                <w:rFonts w:ascii="Calibri" w:hAnsi="Calibri"/>
                <w:b w:val="0"/>
                <w:i w:val="0"/>
                <w:color w:val="1F2937"/>
                <w:sz w:val="18"/>
              </w:rPr>
              <w:t>Exact phone-to-employee mapping placeholder</w:t>
            </w:r>
          </w:p>
        </w:tc>
        <w:tc>
          <w:tcPr>
            <w:tcW w:type="dxa" w:w="2650"/>
            <w:vAlign w:val="center"/>
            <w:tcMar>
              <w:top w:w="80" w:type="dxa"/>
              <w:start w:w="120" w:type="dxa"/>
              <w:bottom w:w="80" w:type="dxa"/>
              <w:end w:w="120" w:type="dxa"/>
            </w:tcMar>
          </w:tcPr>
          <w:p>
            <w:pPr>
              <w:spacing w:after="0" w:line="252" w:lineRule="auto"/>
            </w:pPr>
            <w:r>
              <w:rPr>
                <w:rFonts w:ascii="Calibri" w:hAnsi="Calibri"/>
                <w:b w:val="0"/>
                <w:i w:val="0"/>
                <w:color w:val="1F2937"/>
                <w:sz w:val="18"/>
              </w:rPr>
              <w:t>Private backend configuration</w:t>
            </w:r>
          </w:p>
        </w:tc>
      </w:tr>
    </w:tbl>
    <w:p>
      <w:pPr>
        <w:spacing w:after="40"/>
      </w:pPr>
    </w:p>
    <w:p>
      <w:pPr>
        <w:spacing w:after="120" w:line="264" w:lineRule="auto"/>
      </w:pPr>
      <w:r>
        <w:rPr>
          <w:rFonts w:ascii="Calibri" w:hAnsi="Calibri"/>
          <w:b w:val="0"/>
          <w:i w:val="0"/>
          <w:color w:val="1F2937"/>
          <w:sz w:val="22"/>
        </w:rPr>
        <w:t>Repository location: `senso/demo-corpus/` with private demo identity configuration under `senso/demo-config/`.</w:t>
      </w:r>
    </w:p>
    <w:p>
      <w:pPr>
        <w:pStyle w:val="Heading1"/>
        <w:keepNext/>
      </w:pPr>
      <w:r>
        <w:t>10. Security and privacy controls</w:t>
      </w:r>
    </w:p>
    <w:p>
      <w:pPr>
        <w:pStyle w:val="ListBullet"/>
        <w:spacing w:after="160" w:line="280" w:lineRule="auto"/>
        <w:ind w:left="720" w:hanging="360"/>
      </w:pPr>
      <w:r>
        <w:rPr>
          <w:rFonts w:ascii="Calibri" w:hAnsi="Calibri"/>
          <w:b w:val="0"/>
          <w:i w:val="0"/>
          <w:color w:val="1F2937"/>
          <w:sz w:val="22"/>
        </w:rPr>
        <w:t>Do not place raw phone numbers in Senso employee documents. Map phone to employee/profile content ID in Tavra.</w:t>
      </w:r>
    </w:p>
    <w:p>
      <w:pPr>
        <w:pStyle w:val="ListBullet"/>
        <w:spacing w:after="160" w:line="280" w:lineRule="auto"/>
        <w:ind w:left="720" w:hanging="360"/>
      </w:pPr>
      <w:r>
        <w:rPr>
          <w:rFonts w:ascii="Calibri" w:hAnsi="Calibri"/>
          <w:b w:val="0"/>
          <w:i w:val="0"/>
          <w:color w:val="1F2937"/>
          <w:sz w:val="22"/>
        </w:rPr>
        <w:t>Restrict retrieval using the exact employee profile content ID and permitted policy IDs; never issue an organization-wide employee query.</w:t>
      </w:r>
    </w:p>
    <w:p>
      <w:pPr>
        <w:pStyle w:val="ListBullet"/>
        <w:spacing w:after="160" w:line="280" w:lineRule="auto"/>
        <w:ind w:left="720" w:hanging="360"/>
      </w:pPr>
      <w:r>
        <w:rPr>
          <w:rFonts w:ascii="Calibri" w:hAnsi="Calibri"/>
          <w:b w:val="0"/>
          <w:i w:val="0"/>
          <w:color w:val="1F2937"/>
          <w:sz w:val="22"/>
        </w:rPr>
        <w:t>Use separate Senso credentials: viewer access for retrieval and editor access only for controlled outcome/profile writes.</w:t>
      </w:r>
    </w:p>
    <w:p>
      <w:pPr>
        <w:pStyle w:val="ListBullet"/>
        <w:spacing w:after="160" w:line="280" w:lineRule="auto"/>
        <w:ind w:left="720" w:hanging="360"/>
      </w:pPr>
      <w:r>
        <w:rPr>
          <w:rFonts w:ascii="Calibri" w:hAnsi="Calibri"/>
          <w:b w:val="0"/>
          <w:i w:val="0"/>
          <w:color w:val="1F2937"/>
          <w:sz w:val="22"/>
        </w:rPr>
        <w:t>Do not expose one employee's profile, policy attachments or outcome history to another employee.</w:t>
      </w:r>
    </w:p>
    <w:p>
      <w:pPr>
        <w:pStyle w:val="ListBullet"/>
        <w:spacing w:after="160" w:line="280" w:lineRule="auto"/>
        <w:ind w:left="720" w:hanging="360"/>
      </w:pPr>
      <w:r>
        <w:rPr>
          <w:rFonts w:ascii="Calibri" w:hAnsi="Calibri"/>
          <w:b w:val="0"/>
          <w:i w:val="0"/>
          <w:color w:val="1F2937"/>
          <w:sz w:val="22"/>
        </w:rPr>
        <w:t>Do not store card credentials, one-time payment credentials, passwords, medical details or unnecessary personal data in Senso or OpenAI context.</w:t>
      </w:r>
    </w:p>
    <w:p>
      <w:pPr>
        <w:pStyle w:val="ListBullet"/>
        <w:spacing w:after="160" w:line="280" w:lineRule="auto"/>
        <w:ind w:left="720" w:hanging="360"/>
      </w:pPr>
      <w:r>
        <w:rPr>
          <w:rFonts w:ascii="Calibri" w:hAnsi="Calibri"/>
          <w:b w:val="0"/>
          <w:i w:val="0"/>
          <w:color w:val="1F2937"/>
          <w:sz w:val="22"/>
        </w:rPr>
        <w:t>Log source IDs and decisions, not message bodies or personal profile values.</w:t>
      </w:r>
    </w:p>
    <w:p>
      <w:pPr>
        <w:pStyle w:val="Heading1"/>
        <w:keepNext/>
      </w:pPr>
      <w:r>
        <w:t>11. Demo acceptance criteria</w:t>
      </w:r>
    </w:p>
    <w:tbl>
      <w:tblPr>
        <w:tblStyle w:val="TableGrid"/>
        <w:tblW w:type="dxa" w:w="9360"/>
        <w:jc w:val="left"/>
        <w:tblLayout w:type="fixed"/>
        <w:tblLook w:firstColumn="1" w:firstRow="1" w:lastColumn="0" w:lastRow="0" w:noHBand="0" w:noVBand="1" w:val="04A0"/>
        <w:tblInd w:w="120" w:type="dxa"/>
        <w:tblBorders>
          <w:top w:val="single" w:sz="5" w:color="D6DCE5"/>
          <w:left w:val="single" w:sz="5" w:color="D6DCE5"/>
          <w:bottom w:val="single" w:sz="5" w:color="D6DCE5"/>
          <w:right w:val="single" w:sz="5" w:color="D6DCE5"/>
          <w:insideH w:val="single" w:sz="5" w:color="D6DCE5"/>
          <w:insideV w:val="single" w:sz="5" w:color="D6DCE5"/>
        </w:tblBorders>
      </w:tblPr>
      <w:tblGrid>
        <w:gridCol w:w="2500"/>
        <w:gridCol w:w="6860"/>
      </w:tblGrid>
      <w:tr>
        <w:trPr>
          <w:tblHeader w:val="true"/>
        </w:trPr>
        <w:tc>
          <w:tcPr>
            <w:tcW w:type="dxa" w:w="2500"/>
            <w:shd w:fill="E8EEF5"/>
            <w:vAlign w:val="center"/>
            <w:tcMar>
              <w:top w:w="80" w:type="dxa"/>
              <w:start w:w="120" w:type="dxa"/>
              <w:bottom w:w="80" w:type="dxa"/>
              <w:end w:w="120" w:type="dxa"/>
            </w:tcMar>
          </w:tcPr>
          <w:p>
            <w:pPr>
              <w:spacing w:after="0"/>
            </w:pPr>
            <w:r>
              <w:rPr>
                <w:rFonts w:ascii="Calibri" w:hAnsi="Calibri"/>
                <w:b/>
                <w:i w:val="0"/>
                <w:color w:val="0B2545"/>
                <w:sz w:val="19"/>
              </w:rPr>
              <w:t>Proof</w:t>
            </w:r>
          </w:p>
        </w:tc>
        <w:tc>
          <w:tcPr>
            <w:tcW w:type="dxa" w:w="6860"/>
            <w:shd w:fill="E8EEF5"/>
            <w:vAlign w:val="center"/>
            <w:tcMar>
              <w:top w:w="80" w:type="dxa"/>
              <w:start w:w="120" w:type="dxa"/>
              <w:bottom w:w="80" w:type="dxa"/>
              <w:end w:w="120" w:type="dxa"/>
            </w:tcMar>
          </w:tcPr>
          <w:p>
            <w:pPr>
              <w:spacing w:after="0"/>
            </w:pPr>
            <w:r>
              <w:rPr>
                <w:rFonts w:ascii="Calibri" w:hAnsi="Calibri"/>
                <w:b/>
                <w:i w:val="0"/>
                <w:color w:val="0B2545"/>
                <w:sz w:val="19"/>
              </w:rPr>
              <w:t>Required visible behavior</w:t>
            </w:r>
          </w:p>
        </w:tc>
      </w:tr>
      <w:tr>
        <w:tc>
          <w:tcPr>
            <w:tcW w:type="dxa" w:w="2500"/>
            <w:vAlign w:val="center"/>
            <w:tcMar>
              <w:top w:w="80" w:type="dxa"/>
              <w:start w:w="120" w:type="dxa"/>
              <w:bottom w:w="80" w:type="dxa"/>
              <w:end w:w="120" w:type="dxa"/>
            </w:tcMar>
          </w:tcPr>
          <w:p>
            <w:pPr>
              <w:spacing w:after="0" w:line="252" w:lineRule="auto"/>
            </w:pPr>
            <w:r>
              <w:rPr>
                <w:rFonts w:ascii="Calibri" w:hAnsi="Calibri"/>
                <w:b w:val="0"/>
                <w:i w:val="0"/>
                <w:color w:val="1F2937"/>
                <w:sz w:val="18"/>
              </w:rPr>
              <w:t>Exact identity</w:t>
            </w:r>
          </w:p>
        </w:tc>
        <w:tc>
          <w:tcPr>
            <w:tcW w:type="dxa" w:w="6860"/>
            <w:vAlign w:val="center"/>
            <w:tcMar>
              <w:top w:w="80" w:type="dxa"/>
              <w:start w:w="120" w:type="dxa"/>
              <w:bottom w:w="80" w:type="dxa"/>
              <w:end w:w="120" w:type="dxa"/>
            </w:tcMar>
          </w:tcPr>
          <w:p>
            <w:pPr>
              <w:spacing w:after="0" w:line="252" w:lineRule="auto"/>
            </w:pPr>
            <w:r>
              <w:rPr>
                <w:rFonts w:ascii="Calibri" w:hAnsi="Calibri"/>
                <w:b w:val="0"/>
                <w:i w:val="0"/>
                <w:color w:val="1F2937"/>
                <w:sz w:val="18"/>
              </w:rPr>
              <w:t>Known Linq sender resolves to one employee; unknown number reveals no profile</w:t>
            </w:r>
          </w:p>
        </w:tc>
      </w:tr>
      <w:tr>
        <w:tc>
          <w:tcPr>
            <w:tcW w:type="dxa" w:w="2500"/>
            <w:vAlign w:val="center"/>
            <w:tcMar>
              <w:top w:w="80" w:type="dxa"/>
              <w:start w:w="120" w:type="dxa"/>
              <w:bottom w:w="80" w:type="dxa"/>
              <w:end w:w="120" w:type="dxa"/>
            </w:tcMar>
          </w:tcPr>
          <w:p>
            <w:pPr>
              <w:spacing w:after="0" w:line="252" w:lineRule="auto"/>
            </w:pPr>
            <w:r>
              <w:rPr>
                <w:rFonts w:ascii="Calibri" w:hAnsi="Calibri"/>
                <w:b w:val="0"/>
                <w:i w:val="0"/>
                <w:color w:val="1F2937"/>
                <w:sz w:val="18"/>
              </w:rPr>
              <w:t>Profile reuse</w:t>
            </w:r>
          </w:p>
        </w:tc>
        <w:tc>
          <w:tcPr>
            <w:tcW w:type="dxa" w:w="6860"/>
            <w:vAlign w:val="center"/>
            <w:tcMar>
              <w:top w:w="80" w:type="dxa"/>
              <w:start w:w="120" w:type="dxa"/>
              <w:bottom w:w="80" w:type="dxa"/>
              <w:end w:w="120" w:type="dxa"/>
            </w:tcMar>
          </w:tcPr>
          <w:p>
            <w:pPr>
              <w:spacing w:after="0" w:line="252" w:lineRule="auto"/>
            </w:pPr>
            <w:r>
              <w:rPr>
                <w:rFonts w:ascii="Calibri" w:hAnsi="Calibri"/>
                <w:b w:val="0"/>
                <w:i w:val="0"/>
                <w:color w:val="1F2937"/>
                <w:sz w:val="18"/>
              </w:rPr>
              <w:t>Tavra reports stored size and asks only for the missing inseam</w:t>
            </w:r>
          </w:p>
        </w:tc>
      </w:tr>
      <w:tr>
        <w:tc>
          <w:tcPr>
            <w:tcW w:type="dxa" w:w="2500"/>
            <w:vAlign w:val="center"/>
            <w:tcMar>
              <w:top w:w="80" w:type="dxa"/>
              <w:start w:w="120" w:type="dxa"/>
              <w:bottom w:w="80" w:type="dxa"/>
              <w:end w:w="120" w:type="dxa"/>
            </w:tcMar>
          </w:tcPr>
          <w:p>
            <w:pPr>
              <w:spacing w:after="0" w:line="252" w:lineRule="auto"/>
            </w:pPr>
            <w:r>
              <w:rPr>
                <w:rFonts w:ascii="Calibri" w:hAnsi="Calibri"/>
                <w:b w:val="0"/>
                <w:i w:val="0"/>
                <w:color w:val="1F2937"/>
                <w:sz w:val="18"/>
              </w:rPr>
              <w:t>Policy grounding</w:t>
            </w:r>
          </w:p>
        </w:tc>
        <w:tc>
          <w:tcPr>
            <w:tcW w:type="dxa" w:w="6860"/>
            <w:vAlign w:val="center"/>
            <w:tcMar>
              <w:top w:w="80" w:type="dxa"/>
              <w:start w:w="120" w:type="dxa"/>
              <w:bottom w:w="80" w:type="dxa"/>
              <w:end w:w="120" w:type="dxa"/>
            </w:tcMar>
          </w:tcPr>
          <w:p>
            <w:pPr>
              <w:spacing w:after="0" w:line="252" w:lineRule="auto"/>
            </w:pPr>
            <w:r>
              <w:rPr>
                <w:rFonts w:ascii="Calibri" w:hAnsi="Calibri"/>
                <w:b w:val="0"/>
                <w:i w:val="0"/>
                <w:color w:val="1F2937"/>
                <w:sz w:val="18"/>
              </w:rPr>
              <w:t>The $175 limit and eligible categories come from the correct company policy</w:t>
            </w:r>
          </w:p>
        </w:tc>
      </w:tr>
      <w:tr>
        <w:tc>
          <w:tcPr>
            <w:tcW w:type="dxa" w:w="2500"/>
            <w:vAlign w:val="center"/>
            <w:tcMar>
              <w:top w:w="80" w:type="dxa"/>
              <w:start w:w="120" w:type="dxa"/>
              <w:bottom w:w="80" w:type="dxa"/>
              <w:end w:w="120" w:type="dxa"/>
            </w:tcMar>
          </w:tcPr>
          <w:p>
            <w:pPr>
              <w:spacing w:after="0" w:line="252" w:lineRule="auto"/>
            </w:pPr>
            <w:r>
              <w:rPr>
                <w:rFonts w:ascii="Calibri" w:hAnsi="Calibri"/>
                <w:b w:val="0"/>
                <w:i w:val="0"/>
                <w:color w:val="1F2937"/>
                <w:sz w:val="18"/>
              </w:rPr>
              <w:t>Context changes action</w:t>
            </w:r>
          </w:p>
        </w:tc>
        <w:tc>
          <w:tcPr>
            <w:tcW w:type="dxa" w:w="6860"/>
            <w:vAlign w:val="center"/>
            <w:tcMar>
              <w:top w:w="80" w:type="dxa"/>
              <w:start w:w="120" w:type="dxa"/>
              <w:bottom w:w="80" w:type="dxa"/>
              <w:end w:w="120" w:type="dxa"/>
            </w:tcMar>
          </w:tcPr>
          <w:p>
            <w:pPr>
              <w:spacing w:after="0" w:line="252" w:lineRule="auto"/>
            </w:pPr>
            <w:r>
              <w:rPr>
                <w:rFonts w:ascii="Calibri" w:hAnsi="Calibri"/>
                <w:b w:val="0"/>
                <w:i w:val="0"/>
                <w:color w:val="1F2937"/>
                <w:sz w:val="18"/>
              </w:rPr>
              <w:t>Cheaper Merchant A is rejected because evidence is insufficient</w:t>
            </w:r>
          </w:p>
        </w:tc>
      </w:tr>
      <w:tr>
        <w:tc>
          <w:tcPr>
            <w:tcW w:type="dxa" w:w="2500"/>
            <w:vAlign w:val="center"/>
            <w:tcMar>
              <w:top w:w="80" w:type="dxa"/>
              <w:start w:w="120" w:type="dxa"/>
              <w:bottom w:w="80" w:type="dxa"/>
              <w:end w:w="120" w:type="dxa"/>
            </w:tcMar>
          </w:tcPr>
          <w:p>
            <w:pPr>
              <w:spacing w:after="0" w:line="252" w:lineRule="auto"/>
            </w:pPr>
            <w:r>
              <w:rPr>
                <w:rFonts w:ascii="Calibri" w:hAnsi="Calibri"/>
                <w:b w:val="0"/>
                <w:i w:val="0"/>
                <w:color w:val="1F2937"/>
                <w:sz w:val="18"/>
              </w:rPr>
              <w:t>Safe approval</w:t>
            </w:r>
          </w:p>
        </w:tc>
        <w:tc>
          <w:tcPr>
            <w:tcW w:type="dxa" w:w="6860"/>
            <w:vAlign w:val="center"/>
            <w:tcMar>
              <w:top w:w="80" w:type="dxa"/>
              <w:start w:w="120" w:type="dxa"/>
              <w:bottom w:w="80" w:type="dxa"/>
              <w:end w:w="120" w:type="dxa"/>
            </w:tcMar>
          </w:tcPr>
          <w:p>
            <w:pPr>
              <w:spacing w:after="0" w:line="252" w:lineRule="auto"/>
            </w:pPr>
            <w:r>
              <w:rPr>
                <w:rFonts w:ascii="Calibri" w:hAnsi="Calibri"/>
                <w:b w:val="0"/>
                <w:i w:val="0"/>
                <w:color w:val="1F2937"/>
                <w:sz w:val="18"/>
              </w:rPr>
              <w:t>A changed amount or term triggers reauthorization or denial</w:t>
            </w:r>
          </w:p>
        </w:tc>
      </w:tr>
      <w:tr>
        <w:tc>
          <w:tcPr>
            <w:tcW w:type="dxa" w:w="2500"/>
            <w:vAlign w:val="center"/>
            <w:tcMar>
              <w:top w:w="80" w:type="dxa"/>
              <w:start w:w="120" w:type="dxa"/>
              <w:bottom w:w="80" w:type="dxa"/>
              <w:end w:w="120" w:type="dxa"/>
            </w:tcMar>
          </w:tcPr>
          <w:p>
            <w:pPr>
              <w:spacing w:after="0" w:line="252" w:lineRule="auto"/>
            </w:pPr>
            <w:r>
              <w:rPr>
                <w:rFonts w:ascii="Calibri" w:hAnsi="Calibri"/>
                <w:b w:val="0"/>
                <w:i w:val="0"/>
                <w:color w:val="1F2937"/>
                <w:sz w:val="18"/>
              </w:rPr>
              <w:t>Outcome memory</w:t>
            </w:r>
          </w:p>
        </w:tc>
        <w:tc>
          <w:tcPr>
            <w:tcW w:type="dxa" w:w="6860"/>
            <w:vAlign w:val="center"/>
            <w:tcMar>
              <w:top w:w="80" w:type="dxa"/>
              <w:start w:w="120" w:type="dxa"/>
              <w:bottom w:w="80" w:type="dxa"/>
              <w:end w:w="120" w:type="dxa"/>
            </w:tcMar>
          </w:tcPr>
          <w:p>
            <w:pPr>
              <w:spacing w:after="0" w:line="252" w:lineRule="auto"/>
            </w:pPr>
            <w:r>
              <w:rPr>
                <w:rFonts w:ascii="Calibri" w:hAnsi="Calibri"/>
                <w:b w:val="0"/>
                <w:i w:val="0"/>
                <w:color w:val="1F2937"/>
                <w:sz w:val="18"/>
              </w:rPr>
              <w:t>The Merchant Outcome Record is written, compiled and returned by a second query</w:t>
            </w:r>
          </w:p>
        </w:tc>
      </w:tr>
      <w:tr>
        <w:tc>
          <w:tcPr>
            <w:tcW w:type="dxa" w:w="2500"/>
            <w:vAlign w:val="center"/>
            <w:tcMar>
              <w:top w:w="80" w:type="dxa"/>
              <w:start w:w="120" w:type="dxa"/>
              <w:bottom w:w="80" w:type="dxa"/>
              <w:end w:w="120" w:type="dxa"/>
            </w:tcMar>
          </w:tcPr>
          <w:p>
            <w:pPr>
              <w:spacing w:after="0" w:line="252" w:lineRule="auto"/>
            </w:pPr>
            <w:r>
              <w:rPr>
                <w:rFonts w:ascii="Calibri" w:hAnsi="Calibri"/>
                <w:b w:val="0"/>
                <w:i w:val="0"/>
                <w:color w:val="1F2937"/>
                <w:sz w:val="18"/>
              </w:rPr>
              <w:t>Truthful reimbursement</w:t>
            </w:r>
          </w:p>
        </w:tc>
        <w:tc>
          <w:tcPr>
            <w:tcW w:type="dxa" w:w="6860"/>
            <w:vAlign w:val="center"/>
            <w:tcMar>
              <w:top w:w="80" w:type="dxa"/>
              <w:start w:w="120" w:type="dxa"/>
              <w:bottom w:w="80" w:type="dxa"/>
              <w:end w:w="120" w:type="dxa"/>
            </w:tcMar>
          </w:tcPr>
          <w:p>
            <w:pPr>
              <w:spacing w:after="0" w:line="252" w:lineRule="auto"/>
            </w:pPr>
            <w:r>
              <w:rPr>
                <w:rFonts w:ascii="Calibri" w:hAnsi="Calibri"/>
                <w:b w:val="0"/>
                <w:i w:val="0"/>
                <w:color w:val="1F2937"/>
                <w:sz w:val="18"/>
              </w:rPr>
              <w:t>Receipt is claim-ready; no claim-submission or delivery claim is fabricated</w:t>
            </w:r>
          </w:p>
        </w:tc>
      </w:tr>
    </w:tbl>
    <w:p>
      <w:pPr>
        <w:spacing w:after="40"/>
      </w:pPr>
    </w:p>
    <w:p>
      <w:pPr>
        <w:pStyle w:val="Heading1"/>
        <w:keepNext/>
      </w:pPr>
      <w:r>
        <w:t>12. Recommended implementation order</w:t>
      </w:r>
    </w:p>
    <w:p>
      <w:pPr>
        <w:pStyle w:val="ListNumber"/>
        <w:numPr>
          <w:ilvl w:val="0"/>
          <w:numId w:val="11"/>
        </w:numPr>
        <w:spacing w:after="160" w:line="280" w:lineRule="auto"/>
        <w:ind w:left="720" w:hanging="360"/>
      </w:pPr>
      <w:r>
        <w:rPr>
          <w:rFonts w:ascii="Calibri" w:hAnsi="Calibri"/>
          <w:b w:val="0"/>
          <w:i w:val="0"/>
          <w:color w:val="1F2937"/>
          <w:sz w:val="22"/>
        </w:rPr>
        <w:t>Create the Tavra identity map and exact employee resolver using the Linq sender handle.</w:t>
      </w:r>
    </w:p>
    <w:p>
      <w:pPr>
        <w:pStyle w:val="ListNumber"/>
        <w:numPr>
          <w:ilvl w:val="0"/>
          <w:numId w:val="11"/>
        </w:numPr>
        <w:spacing w:after="160" w:line="280" w:lineRule="auto"/>
        <w:ind w:left="720" w:hanging="360"/>
      </w:pPr>
      <w:r>
        <w:rPr>
          <w:rFonts w:ascii="Calibri" w:hAnsi="Calibri"/>
          <w:b w:val="0"/>
          <w:i w:val="0"/>
          <w:color w:val="1F2937"/>
          <w:sz w:val="22"/>
        </w:rPr>
        <w:t>Create Senso folders, ingest the generated seed corpus and capture each content ID.</w:t>
      </w:r>
    </w:p>
    <w:p>
      <w:pPr>
        <w:pStyle w:val="ListNumber"/>
        <w:numPr>
          <w:ilvl w:val="0"/>
          <w:numId w:val="11"/>
        </w:numPr>
        <w:spacing w:after="160" w:line="280" w:lineRule="auto"/>
        <w:ind w:left="720" w:hanging="360"/>
      </w:pPr>
      <w:r>
        <w:rPr>
          <w:rFonts w:ascii="Calibri" w:hAnsi="Calibri"/>
          <w:b w:val="0"/>
          <w:i w:val="0"/>
          <w:color w:val="1F2937"/>
          <w:sz w:val="22"/>
        </w:rPr>
        <w:t>Implement exact profile retrieval and policy queries restricted to known content IDs.</w:t>
      </w:r>
    </w:p>
    <w:p>
      <w:pPr>
        <w:pStyle w:val="ListNumber"/>
        <w:numPr>
          <w:ilvl w:val="0"/>
          <w:numId w:val="11"/>
        </w:numPr>
        <w:spacing w:after="160" w:line="280" w:lineRule="auto"/>
        <w:ind w:left="720" w:hanging="360"/>
      </w:pPr>
      <w:r>
        <w:rPr>
          <w:rFonts w:ascii="Calibri" w:hAnsi="Calibri"/>
          <w:b w:val="0"/>
          <w:i w:val="0"/>
          <w:color w:val="1F2937"/>
          <w:sz w:val="22"/>
        </w:rPr>
        <w:t>Add the deterministic field-state and delta-only clarification builder.</w:t>
      </w:r>
    </w:p>
    <w:p>
      <w:pPr>
        <w:pStyle w:val="ListNumber"/>
        <w:numPr>
          <w:ilvl w:val="0"/>
          <w:numId w:val="11"/>
        </w:numPr>
        <w:spacing w:after="160" w:line="280" w:lineRule="auto"/>
        <w:ind w:left="720" w:hanging="360"/>
      </w:pPr>
      <w:r>
        <w:rPr>
          <w:rFonts w:ascii="Calibri" w:hAnsi="Calibri"/>
          <w:b w:val="0"/>
          <w:i w:val="0"/>
          <w:color w:val="1F2937"/>
          <w:sz w:val="22"/>
        </w:rPr>
        <w:t>Add allowlisted official-source retrieval and runtime Senso snapshot ingestion.</w:t>
      </w:r>
    </w:p>
    <w:p>
      <w:pPr>
        <w:pStyle w:val="ListNumber"/>
        <w:numPr>
          <w:ilvl w:val="0"/>
          <w:numId w:val="11"/>
        </w:numPr>
        <w:spacing w:after="160" w:line="280" w:lineRule="auto"/>
        <w:ind w:left="720" w:hanging="360"/>
      </w:pPr>
      <w:r>
        <w:rPr>
          <w:rFonts w:ascii="Calibri" w:hAnsi="Calibri"/>
          <w:b w:val="0"/>
          <w:i w:val="0"/>
          <w:color w:val="1F2937"/>
          <w:sz w:val="22"/>
        </w:rPr>
        <w:t>Add merchant candidate evaluation, Recovery Authorization and Prava checkout guardrails.</w:t>
      </w:r>
    </w:p>
    <w:p>
      <w:pPr>
        <w:pStyle w:val="ListNumber"/>
        <w:numPr>
          <w:ilvl w:val="0"/>
          <w:numId w:val="11"/>
        </w:numPr>
        <w:spacing w:after="160" w:line="280" w:lineRule="auto"/>
        <w:ind w:left="720" w:hanging="360"/>
      </w:pPr>
      <w:r>
        <w:rPr>
          <w:rFonts w:ascii="Calibri" w:hAnsi="Calibri"/>
          <w:b w:val="0"/>
          <w:i w:val="0"/>
          <w:color w:val="1F2937"/>
          <w:sz w:val="22"/>
        </w:rPr>
        <w:t>Write the verified Merchant Outcome Record, wait for compilation and demonstrate the second query.</w:t>
      </w:r>
    </w:p>
    <w:p>
      <w:pPr>
        <w:pStyle w:val="Heading1"/>
        <w:keepNext/>
      </w:pPr>
      <w:r>
        <w:t>Official platform references</w:t>
      </w:r>
    </w:p>
    <w:p>
      <w:pPr>
        <w:pStyle w:val="ListBullet"/>
        <w:spacing w:after="120"/>
        <w:ind w:left="720" w:hanging="360"/>
      </w:pPr>
      <w:hyperlink r:id="rId11">
        <w:r>
          <w:rPr>
            <w:color w:val="2E74B5"/>
            <w:u w:val="single"/>
          </w:rPr>
          <w:t>Senso introduction</w:t>
        </w:r>
      </w:hyperlink>
    </w:p>
    <w:p>
      <w:pPr>
        <w:pStyle w:val="ListBullet"/>
        <w:spacing w:after="120"/>
        <w:ind w:left="720" w:hanging="360"/>
      </w:pPr>
      <w:hyperlink r:id="rId12">
        <w:r>
          <w:rPr>
            <w:color w:val="2E74B5"/>
            <w:u w:val="single"/>
          </w:rPr>
          <w:t>Senso core concepts: ingest, compile and query</w:t>
        </w:r>
      </w:hyperlink>
    </w:p>
    <w:p>
      <w:pPr>
        <w:pStyle w:val="ListBullet"/>
        <w:spacing w:after="120"/>
        <w:ind w:left="720" w:hanging="360"/>
      </w:pPr>
      <w:hyperlink r:id="rId13">
        <w:r>
          <w:rPr>
            <w:color w:val="2E74B5"/>
            <w:u w:val="single"/>
          </w:rPr>
          <w:t>Senso knowledge base</w:t>
        </w:r>
      </w:hyperlink>
    </w:p>
    <w:p>
      <w:pPr>
        <w:pStyle w:val="ListBullet"/>
        <w:spacing w:after="120"/>
        <w:ind w:left="720" w:hanging="360"/>
      </w:pPr>
      <w:hyperlink r:id="rId14">
        <w:r>
          <w:rPr>
            <w:color w:val="2E74B5"/>
            <w:u w:val="single"/>
          </w:rPr>
          <w:t>Senso permissions and API-key scoping</w:t>
        </w:r>
      </w:hyperlink>
    </w:p>
    <w:p>
      <w:pPr>
        <w:pStyle w:val="ListBullet"/>
        <w:spacing w:after="120"/>
        <w:ind w:left="720" w:hanging="360"/>
      </w:pPr>
      <w:r>
        <w:rPr>
          <w:rFonts w:ascii="Calibri" w:hAnsi="Calibri"/>
          <w:b w:val="0"/>
          <w:i w:val="0"/>
          <w:color w:val="1F2937"/>
          <w:sz w:val="22"/>
        </w:rPr>
        <w:t>Tavra project plan: plan/plan.docx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right="173"/>
      <w:jc w:val="right"/>
    </w:pPr>
    <w:r>
      <w:rPr>
        <w:rFonts w:ascii="Calibri" w:hAnsi="Calibri"/>
        <w:b w:val="0"/>
        <w:i w:val="0"/>
        <w:color w:val="5B6574"/>
        <w:sz w:val="18"/>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574"/>
        <w:sz w:val="17"/>
      </w:rPr>
      <w:t>TAVRA  |  TEAM RECOVERY CONTEXT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16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enso.ai/docs/introduction" TargetMode="External"/><Relationship Id="rId12" Type="http://schemas.openxmlformats.org/officeDocument/2006/relationships/hyperlink" Target="https://docs.senso.ai/docs/concepts" TargetMode="External"/><Relationship Id="rId13" Type="http://schemas.openxmlformats.org/officeDocument/2006/relationships/hyperlink" Target="https://docs.senso.ai/docs/knowledge-base" TargetMode="External"/><Relationship Id="rId14" Type="http://schemas.openxmlformats.org/officeDocument/2006/relationships/hyperlink" Target="https://docs.senso.ai/docs/per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Tavra × Senso — Team Recovery Context and Knowledge Design</dc:title>
  <dc:subject>Identity-aware Team Recovery use case and Senso demo corpus</dc:subject>
  <dc:creator>Tavra</dc:creator>
  <cp:keywords>Tavra, Senso, Team Recovery, Linq, OpenAI, Prava</cp:keywords>
  <dc:description>generated by python-docx</dc:description>
  <cp:lastModifiedBy/>
  <cp:revision>1</cp:revision>
  <dcterms:created xsi:type="dcterms:W3CDTF">2013-12-23T23:15:00Z</dcterms:created>
  <dcterms:modified xsi:type="dcterms:W3CDTF">2013-12-23T23:15:00Z</dcterms:modified>
  <cp:category/>
</cp:coreProperties>
</file>