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4761B8">
      <w:pPr>
        <w:spacing w:before="1440" w:after="240"/>
        <w:jc w:val="center"/>
      </w:pPr>
      <w:bookmarkStart w:id="0" w:name="_GoBack"/>
      <w:bookmarkEnd w:id="0"/>
      <w:r>
        <w:rPr>
          <w:rFonts w:ascii="Arial" w:hAnsi="Arial" w:eastAsia="Arial" w:cs="Arial"/>
          <w:b/>
          <w:bCs/>
          <w:color w:val="1F4E79"/>
          <w:sz w:val="52"/>
          <w:szCs w:val="52"/>
        </w:rPr>
        <w:t>Pharma Demand Forecasting</w:t>
      </w:r>
    </w:p>
    <w:p w14:paraId="48F9F784">
      <w:pPr>
        <w:spacing w:before="0" w:after="120"/>
        <w:jc w:val="center"/>
      </w:pPr>
      <w:r>
        <w:rPr>
          <w:rFonts w:ascii="Arial" w:hAnsi="Arial" w:eastAsia="Arial" w:cs="Arial"/>
          <w:color w:val="2E75B6"/>
          <w:sz w:val="32"/>
          <w:szCs w:val="32"/>
        </w:rPr>
        <w:t>Case Study Report — Updated Edition</w:t>
      </w:r>
    </w:p>
    <w:p w14:paraId="52D778BA">
      <w:pPr>
        <w:pBdr>
          <w:bottom w:val="single" w:color="2E75B6" w:sz="4" w:space="1"/>
        </w:pBdr>
        <w:spacing w:before="120" w:after="120"/>
      </w:pPr>
    </w:p>
    <w:p w14:paraId="4FACA197">
      <w:pPr>
        <w:spacing w:before="80" w:after="80"/>
        <w:jc w:val="center"/>
      </w:pPr>
      <w:r>
        <w:rPr>
          <w:rFonts w:ascii="Arial" w:hAnsi="Arial" w:eastAsia="Arial" w:cs="Arial"/>
          <w:b/>
          <w:bCs/>
          <w:color w:val="000000"/>
          <w:sz w:val="22"/>
          <w:szCs w:val="22"/>
        </w:rPr>
        <w:t>Prepared by: Aman Kumar Jalan</w:t>
      </w:r>
    </w:p>
    <w:p w14:paraId="2DFF5536">
      <w:pPr>
        <w:spacing w:before="80" w:after="80"/>
        <w:jc w:val="center"/>
      </w:pPr>
      <w:r>
        <w:rPr>
          <w:rFonts w:ascii="Arial" w:hAnsi="Arial" w:eastAsia="Arial" w:cs="Arial"/>
          <w:b w:val="0"/>
          <w:bCs w:val="0"/>
          <w:color w:val="555555"/>
          <w:sz w:val="20"/>
          <w:szCs w:val="20"/>
        </w:rPr>
        <w:t>Dataset: salesdaily.csv  |  Models: Naive, Moving Average, Holt-Winters, ARIMA, SARIMA, LSTM</w:t>
      </w:r>
    </w:p>
    <w:p w14:paraId="1B65B660">
      <w:pPr>
        <w:spacing w:before="80" w:after="80"/>
        <w:jc w:val="center"/>
      </w:pPr>
      <w:r>
        <w:rPr>
          <w:rFonts w:ascii="Arial" w:hAnsi="Arial" w:eastAsia="Arial" w:cs="Arial"/>
          <w:b w:val="0"/>
          <w:bCs w:val="0"/>
          <w:color w:val="555555"/>
          <w:sz w:val="20"/>
          <w:szCs w:val="20"/>
        </w:rPr>
        <w:t>All models run on actual data with held-out test set (last 24 weeks)</w:t>
      </w:r>
    </w:p>
    <w:p w14:paraId="0738BD14">
      <w:r>
        <w:br w:type="page"/>
      </w:r>
    </w:p>
    <w:p w14:paraId="4976DF13">
      <w:pPr>
        <w:pStyle w:val="2"/>
        <w:spacing w:before="320" w:after="160"/>
      </w:pPr>
      <w:r>
        <w:rPr>
          <w:rFonts w:ascii="Arial" w:hAnsi="Arial" w:eastAsia="Arial" w:cs="Arial"/>
          <w:b/>
          <w:bCs/>
          <w:color w:val="1F4E79"/>
          <w:sz w:val="32"/>
          <w:szCs w:val="32"/>
        </w:rPr>
        <w:t>1. Business Problem Statement</w:t>
      </w:r>
    </w:p>
    <w:p w14:paraId="517E6AA4">
      <w:pPr>
        <w:spacing w:before="80" w:after="80"/>
        <w:jc w:val="left"/>
      </w:pPr>
      <w:r>
        <w:rPr>
          <w:rFonts w:ascii="Arial" w:hAnsi="Arial" w:eastAsia="Arial" w:cs="Arial"/>
          <w:b w:val="0"/>
          <w:bCs w:val="0"/>
          <w:color w:val="000000"/>
          <w:sz w:val="20"/>
          <w:szCs w:val="20"/>
        </w:rPr>
        <w:t>For a pharmaceutical business, poor demand forecasting creates two expensive problems. If demand is underestimated, the pharmacy faces stockouts and lost sales. If demand is overestimated, the business carries excess inventory, higher holding cost, and potential expiry risk.</w:t>
      </w:r>
    </w:p>
    <w:p w14:paraId="697BBAEF">
      <w:pPr>
        <w:spacing w:before="80" w:after="80"/>
        <w:jc w:val="left"/>
      </w:pPr>
      <w:r>
        <w:rPr>
          <w:rFonts w:ascii="Arial" w:hAnsi="Arial" w:eastAsia="Arial" w:cs="Arial"/>
          <w:b w:val="0"/>
          <w:bCs w:val="0"/>
          <w:color w:val="000000"/>
          <w:sz w:val="20"/>
          <w:szCs w:val="20"/>
        </w:rPr>
        <w:t>This case study uses 2,106 daily observations of eight pharmaceutical product groups to build and compare six forecasting methods — from simple naive baselines to SARIMA seasonal models and LSTM neural networks — and identify which approach best supports weekly procurement decisions.</w:t>
      </w:r>
    </w:p>
    <w:p w14:paraId="5F84F0AC">
      <w:pPr>
        <w:spacing w:before="80" w:after="80"/>
        <w:jc w:val="left"/>
      </w:pPr>
      <w:r>
        <w:rPr>
          <w:rFonts w:ascii="Arial" w:hAnsi="Arial" w:eastAsia="Arial" w:cs="Arial"/>
          <w:b/>
          <w:bCs/>
          <w:color w:val="000000"/>
          <w:sz w:val="20"/>
          <w:szCs w:val="20"/>
        </w:rPr>
        <w:t>Key business goals:</w:t>
      </w:r>
    </w:p>
    <w:p w14:paraId="05C59964">
      <w:pPr>
        <w:pStyle w:val="16"/>
        <w:numPr>
          <w:ilvl w:val="0"/>
          <w:numId w:val="1"/>
        </w:numPr>
        <w:spacing w:before="60" w:after="60"/>
      </w:pPr>
      <w:r>
        <w:rPr>
          <w:rFonts w:ascii="Arial" w:hAnsi="Arial" w:eastAsia="Arial" w:cs="Arial"/>
          <w:sz w:val="20"/>
          <w:szCs w:val="20"/>
        </w:rPr>
        <w:t>Reduce overstocking and stockout risk through accurate weekly demand forecasts</w:t>
      </w:r>
    </w:p>
    <w:p w14:paraId="67C28E56">
      <w:pPr>
        <w:pStyle w:val="16"/>
        <w:numPr>
          <w:ilvl w:val="0"/>
          <w:numId w:val="1"/>
        </w:numPr>
        <w:spacing w:before="60" w:after="60"/>
      </w:pPr>
      <w:r>
        <w:rPr>
          <w:rFonts w:ascii="Arial" w:hAnsi="Arial" w:eastAsia="Arial" w:cs="Arial"/>
          <w:sz w:val="20"/>
          <w:szCs w:val="20"/>
        </w:rPr>
        <w:t>Identify which model type is most reliable for each product category</w:t>
      </w:r>
    </w:p>
    <w:p w14:paraId="7375B323">
      <w:pPr>
        <w:pStyle w:val="16"/>
        <w:numPr>
          <w:ilvl w:val="0"/>
          <w:numId w:val="1"/>
        </w:numPr>
        <w:spacing w:before="60" w:after="60"/>
      </w:pPr>
      <w:r>
        <w:rPr>
          <w:rFonts w:ascii="Arial" w:hAnsi="Arial" w:eastAsia="Arial" w:cs="Arial"/>
          <w:sz w:val="20"/>
          <w:szCs w:val="20"/>
        </w:rPr>
        <w:t>Provide a 15-day forward demand estimate to guide near-term procurement</w:t>
      </w:r>
    </w:p>
    <w:p w14:paraId="78761ABE">
      <w:pPr>
        <w:pStyle w:val="2"/>
        <w:spacing w:before="320" w:after="160"/>
      </w:pPr>
      <w:r>
        <w:rPr>
          <w:rFonts w:ascii="Arial" w:hAnsi="Arial" w:eastAsia="Arial" w:cs="Arial"/>
          <w:b/>
          <w:bCs/>
          <w:color w:val="1F4E79"/>
          <w:sz w:val="32"/>
          <w:szCs w:val="32"/>
        </w:rPr>
        <w:t>2. Data Understanding</w:t>
      </w:r>
    </w:p>
    <w:p w14:paraId="797846E3">
      <w:pPr>
        <w:spacing w:before="80" w:after="80"/>
        <w:jc w:val="left"/>
      </w:pPr>
      <w:r>
        <w:rPr>
          <w:rFonts w:ascii="Arial" w:hAnsi="Arial" w:eastAsia="Arial" w:cs="Arial"/>
          <w:b w:val="0"/>
          <w:bCs w:val="0"/>
          <w:color w:val="000000"/>
          <w:sz w:val="20"/>
          <w:szCs w:val="20"/>
        </w:rPr>
        <w:t>The dataset contains daily sales for eight pharmaceutical product categories spanning January 2014 to October 2019 — 2,106 daily observations in total.</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10"/>
        <w:gridCol w:w="2829"/>
        <w:gridCol w:w="1277"/>
        <w:gridCol w:w="1379"/>
        <w:gridCol w:w="1317"/>
        <w:gridCol w:w="1248"/>
      </w:tblGrid>
      <w:tr w14:paraId="5AAC3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vAlign w:val="center"/>
          </w:tcPr>
          <w:p w14:paraId="1029A9AE">
            <w:pPr>
              <w:jc w:val="left"/>
            </w:pPr>
            <w:r>
              <w:rPr>
                <w:rFonts w:ascii="Arial" w:hAnsi="Arial" w:eastAsia="Arial" w:cs="Arial"/>
                <w:b/>
                <w:bCs/>
                <w:color w:val="FFFFFF"/>
                <w:sz w:val="20"/>
                <w:szCs w:val="20"/>
              </w:rPr>
              <w:t>Product</w:t>
            </w:r>
          </w:p>
        </w:tc>
        <w:tc>
          <w:tcPr>
            <w:tcW w:w="320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vAlign w:val="center"/>
          </w:tcPr>
          <w:p w14:paraId="04003634">
            <w:pPr>
              <w:jc w:val="left"/>
            </w:pPr>
            <w:r>
              <w:rPr>
                <w:rFonts w:ascii="Arial" w:hAnsi="Arial" w:eastAsia="Arial" w:cs="Arial"/>
                <w:b/>
                <w:bCs/>
                <w:color w:val="FFFFFF"/>
                <w:sz w:val="20"/>
                <w:szCs w:val="20"/>
              </w:rPr>
              <w:t>Business Meaning</w:t>
            </w:r>
          </w:p>
        </w:tc>
        <w:tc>
          <w:tcPr>
            <w:tcW w:w="140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vAlign w:val="center"/>
          </w:tcPr>
          <w:p w14:paraId="5D1684EE">
            <w:pPr>
              <w:jc w:val="left"/>
            </w:pPr>
            <w:r>
              <w:rPr>
                <w:rFonts w:ascii="Arial" w:hAnsi="Arial" w:eastAsia="Arial" w:cs="Arial"/>
                <w:b/>
                <w:bCs/>
                <w:color w:val="FFFFFF"/>
                <w:sz w:val="20"/>
                <w:szCs w:val="20"/>
              </w:rPr>
              <w:t>Total Sales</w:t>
            </w:r>
          </w:p>
        </w:tc>
        <w:tc>
          <w:tcPr>
            <w:tcW w:w="156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vAlign w:val="center"/>
          </w:tcPr>
          <w:p w14:paraId="32232D56">
            <w:pPr>
              <w:jc w:val="left"/>
            </w:pPr>
            <w:r>
              <w:rPr>
                <w:rFonts w:ascii="Arial" w:hAnsi="Arial" w:eastAsia="Arial" w:cs="Arial"/>
                <w:b/>
                <w:bCs/>
                <w:color w:val="FFFFFF"/>
                <w:sz w:val="20"/>
                <w:szCs w:val="20"/>
              </w:rPr>
              <w:t>Mean Daily</w:t>
            </w:r>
          </w:p>
        </w:tc>
        <w:tc>
          <w:tcPr>
            <w:tcW w:w="140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vAlign w:val="center"/>
          </w:tcPr>
          <w:p w14:paraId="0C59BC6C">
            <w:pPr>
              <w:jc w:val="left"/>
            </w:pPr>
            <w:r>
              <w:rPr>
                <w:rFonts w:ascii="Arial" w:hAnsi="Arial" w:eastAsia="Arial" w:cs="Arial"/>
                <w:b/>
                <w:bCs/>
                <w:color w:val="FFFFFF"/>
                <w:sz w:val="20"/>
                <w:szCs w:val="20"/>
              </w:rPr>
              <w:t>Share %</w:t>
            </w:r>
          </w:p>
        </w:tc>
        <w:tc>
          <w:tcPr>
            <w:tcW w:w="140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vAlign w:val="center"/>
          </w:tcPr>
          <w:p w14:paraId="7B9DEE82">
            <w:pPr>
              <w:jc w:val="left"/>
            </w:pPr>
            <w:r>
              <w:rPr>
                <w:rFonts w:ascii="Arial" w:hAnsi="Arial" w:eastAsia="Arial" w:cs="Arial"/>
                <w:b/>
                <w:bCs/>
                <w:color w:val="FFFFFF"/>
                <w:sz w:val="20"/>
                <w:szCs w:val="20"/>
              </w:rPr>
              <w:t>Zero Days</w:t>
            </w:r>
          </w:p>
        </w:tc>
      </w:tr>
      <w:tr w14:paraId="328D39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vAlign w:val="center"/>
          </w:tcPr>
          <w:p w14:paraId="0DFAC351">
            <w:pPr>
              <w:jc w:val="left"/>
            </w:pPr>
            <w:r>
              <w:rPr>
                <w:rFonts w:ascii="Arial" w:hAnsi="Arial" w:eastAsia="Arial" w:cs="Arial"/>
                <w:b w:val="0"/>
                <w:bCs w:val="0"/>
                <w:color w:val="000000"/>
                <w:sz w:val="20"/>
                <w:szCs w:val="20"/>
              </w:rPr>
              <w:t>M01AB</w:t>
            </w:r>
          </w:p>
        </w:tc>
        <w:tc>
          <w:tcPr>
            <w:tcW w:w="32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vAlign w:val="center"/>
          </w:tcPr>
          <w:p w14:paraId="7CA69FE3">
            <w:pPr>
              <w:jc w:val="left"/>
            </w:pPr>
            <w:r>
              <w:rPr>
                <w:rFonts w:ascii="Arial" w:hAnsi="Arial" w:eastAsia="Arial" w:cs="Arial"/>
                <w:b w:val="0"/>
                <w:bCs w:val="0"/>
                <w:color w:val="000000"/>
                <w:sz w:val="20"/>
                <w:szCs w:val="20"/>
              </w:rPr>
              <w:t>Anti-inflammatory / antirheumatic</w:t>
            </w:r>
          </w:p>
        </w:tc>
        <w:tc>
          <w:tcPr>
            <w:tcW w:w="14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vAlign w:val="center"/>
          </w:tcPr>
          <w:p w14:paraId="2C464A05">
            <w:pPr>
              <w:jc w:val="left"/>
            </w:pPr>
            <w:r>
              <w:rPr>
                <w:rFonts w:ascii="Arial" w:hAnsi="Arial" w:eastAsia="Arial" w:cs="Arial"/>
                <w:b w:val="0"/>
                <w:bCs w:val="0"/>
                <w:color w:val="000000"/>
                <w:sz w:val="20"/>
                <w:szCs w:val="20"/>
              </w:rPr>
              <w:t>10,601</w:t>
            </w:r>
          </w:p>
        </w:tc>
        <w:tc>
          <w:tcPr>
            <w:tcW w:w="156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vAlign w:val="center"/>
          </w:tcPr>
          <w:p w14:paraId="77D4998D">
            <w:pPr>
              <w:jc w:val="left"/>
            </w:pPr>
            <w:r>
              <w:rPr>
                <w:rFonts w:ascii="Arial" w:hAnsi="Arial" w:eastAsia="Arial" w:cs="Arial"/>
                <w:b w:val="0"/>
                <w:bCs w:val="0"/>
                <w:color w:val="000000"/>
                <w:sz w:val="20"/>
                <w:szCs w:val="20"/>
              </w:rPr>
              <w:t>5.03</w:t>
            </w:r>
          </w:p>
        </w:tc>
        <w:tc>
          <w:tcPr>
            <w:tcW w:w="14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vAlign w:val="center"/>
          </w:tcPr>
          <w:p w14:paraId="32265303">
            <w:pPr>
              <w:jc w:val="left"/>
            </w:pPr>
            <w:r>
              <w:rPr>
                <w:rFonts w:ascii="Arial" w:hAnsi="Arial" w:eastAsia="Arial" w:cs="Arial"/>
                <w:b w:val="0"/>
                <w:bCs w:val="0"/>
                <w:color w:val="000000"/>
                <w:sz w:val="20"/>
                <w:szCs w:val="20"/>
              </w:rPr>
              <w:t>8.3%</w:t>
            </w:r>
          </w:p>
        </w:tc>
        <w:tc>
          <w:tcPr>
            <w:tcW w:w="14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vAlign w:val="center"/>
          </w:tcPr>
          <w:p w14:paraId="401146E8">
            <w:pPr>
              <w:jc w:val="left"/>
            </w:pPr>
            <w:r>
              <w:rPr>
                <w:rFonts w:ascii="Arial" w:hAnsi="Arial" w:eastAsia="Arial" w:cs="Arial"/>
                <w:b w:val="0"/>
                <w:bCs w:val="0"/>
                <w:color w:val="000000"/>
                <w:sz w:val="20"/>
                <w:szCs w:val="20"/>
              </w:rPr>
              <w:t>40</w:t>
            </w:r>
          </w:p>
        </w:tc>
      </w:tr>
      <w:tr w14:paraId="2D8611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6AA386B">
            <w:pPr>
              <w:jc w:val="left"/>
            </w:pPr>
            <w:r>
              <w:rPr>
                <w:rFonts w:ascii="Arial" w:hAnsi="Arial" w:eastAsia="Arial" w:cs="Arial"/>
                <w:b w:val="0"/>
                <w:bCs w:val="0"/>
                <w:color w:val="000000"/>
                <w:sz w:val="20"/>
                <w:szCs w:val="20"/>
              </w:rPr>
              <w:t>M01AE</w:t>
            </w:r>
          </w:p>
        </w:tc>
        <w:tc>
          <w:tcPr>
            <w:tcW w:w="3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38E0F8F">
            <w:pPr>
              <w:jc w:val="left"/>
            </w:pPr>
            <w:r>
              <w:rPr>
                <w:rFonts w:ascii="Arial" w:hAnsi="Arial" w:eastAsia="Arial" w:cs="Arial"/>
                <w:b w:val="0"/>
                <w:bCs w:val="0"/>
                <w:color w:val="000000"/>
                <w:sz w:val="20"/>
                <w:szCs w:val="20"/>
              </w:rPr>
              <w:t>Anti-inflammatory / propionic acid</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98380E5">
            <w:pPr>
              <w:jc w:val="left"/>
            </w:pPr>
            <w:r>
              <w:rPr>
                <w:rFonts w:ascii="Arial" w:hAnsi="Arial" w:eastAsia="Arial" w:cs="Arial"/>
                <w:b w:val="0"/>
                <w:bCs w:val="0"/>
                <w:color w:val="000000"/>
                <w:sz w:val="20"/>
                <w:szCs w:val="20"/>
              </w:rPr>
              <w:t>8,205</w:t>
            </w:r>
          </w:p>
        </w:tc>
        <w:tc>
          <w:tcPr>
            <w:tcW w:w="1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08A3210">
            <w:pPr>
              <w:jc w:val="left"/>
            </w:pPr>
            <w:r>
              <w:rPr>
                <w:rFonts w:ascii="Arial" w:hAnsi="Arial" w:eastAsia="Arial" w:cs="Arial"/>
                <w:b w:val="0"/>
                <w:bCs w:val="0"/>
                <w:color w:val="000000"/>
                <w:sz w:val="20"/>
                <w:szCs w:val="20"/>
              </w:rPr>
              <w:t>3.90</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FB4EBA1">
            <w:pPr>
              <w:jc w:val="left"/>
            </w:pPr>
            <w:r>
              <w:rPr>
                <w:rFonts w:ascii="Arial" w:hAnsi="Arial" w:eastAsia="Arial" w:cs="Arial"/>
                <w:b w:val="0"/>
                <w:bCs w:val="0"/>
                <w:color w:val="000000"/>
                <w:sz w:val="20"/>
                <w:szCs w:val="20"/>
              </w:rPr>
              <w:t>6.4%</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91D3AAC">
            <w:pPr>
              <w:jc w:val="left"/>
            </w:pPr>
            <w:r>
              <w:rPr>
                <w:rFonts w:ascii="Arial" w:hAnsi="Arial" w:eastAsia="Arial" w:cs="Arial"/>
                <w:b w:val="0"/>
                <w:bCs w:val="0"/>
                <w:color w:val="000000"/>
                <w:sz w:val="20"/>
                <w:szCs w:val="20"/>
              </w:rPr>
              <w:t>36</w:t>
            </w:r>
          </w:p>
        </w:tc>
      </w:tr>
      <w:tr w14:paraId="41D01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vAlign w:val="center"/>
          </w:tcPr>
          <w:p w14:paraId="3863F86C">
            <w:pPr>
              <w:jc w:val="left"/>
            </w:pPr>
            <w:r>
              <w:rPr>
                <w:rFonts w:ascii="Arial" w:hAnsi="Arial" w:eastAsia="Arial" w:cs="Arial"/>
                <w:b w:val="0"/>
                <w:bCs w:val="0"/>
                <w:color w:val="000000"/>
                <w:sz w:val="20"/>
                <w:szCs w:val="20"/>
              </w:rPr>
              <w:t>N02BA</w:t>
            </w:r>
          </w:p>
        </w:tc>
        <w:tc>
          <w:tcPr>
            <w:tcW w:w="32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vAlign w:val="center"/>
          </w:tcPr>
          <w:p w14:paraId="2CD2505A">
            <w:pPr>
              <w:jc w:val="left"/>
            </w:pPr>
            <w:r>
              <w:rPr>
                <w:rFonts w:ascii="Arial" w:hAnsi="Arial" w:eastAsia="Arial" w:cs="Arial"/>
                <w:b w:val="0"/>
                <w:bCs w:val="0"/>
                <w:color w:val="000000"/>
                <w:sz w:val="20"/>
                <w:szCs w:val="20"/>
              </w:rPr>
              <w:t>Analgesics / salicylic acid (aspirin)</w:t>
            </w:r>
          </w:p>
        </w:tc>
        <w:tc>
          <w:tcPr>
            <w:tcW w:w="14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vAlign w:val="center"/>
          </w:tcPr>
          <w:p w14:paraId="6E709C92">
            <w:pPr>
              <w:jc w:val="left"/>
            </w:pPr>
            <w:r>
              <w:rPr>
                <w:rFonts w:ascii="Arial" w:hAnsi="Arial" w:eastAsia="Arial" w:cs="Arial"/>
                <w:b w:val="0"/>
                <w:bCs w:val="0"/>
                <w:color w:val="000000"/>
                <w:sz w:val="20"/>
                <w:szCs w:val="20"/>
              </w:rPr>
              <w:t>8,172</w:t>
            </w:r>
          </w:p>
        </w:tc>
        <w:tc>
          <w:tcPr>
            <w:tcW w:w="156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vAlign w:val="center"/>
          </w:tcPr>
          <w:p w14:paraId="755882BE">
            <w:pPr>
              <w:jc w:val="left"/>
            </w:pPr>
            <w:r>
              <w:rPr>
                <w:rFonts w:ascii="Arial" w:hAnsi="Arial" w:eastAsia="Arial" w:cs="Arial"/>
                <w:b w:val="0"/>
                <w:bCs w:val="0"/>
                <w:color w:val="000000"/>
                <w:sz w:val="20"/>
                <w:szCs w:val="20"/>
              </w:rPr>
              <w:t>3.88</w:t>
            </w:r>
          </w:p>
        </w:tc>
        <w:tc>
          <w:tcPr>
            <w:tcW w:w="14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vAlign w:val="center"/>
          </w:tcPr>
          <w:p w14:paraId="627B9E14">
            <w:pPr>
              <w:jc w:val="left"/>
            </w:pPr>
            <w:r>
              <w:rPr>
                <w:rFonts w:ascii="Arial" w:hAnsi="Arial" w:eastAsia="Arial" w:cs="Arial"/>
                <w:b w:val="0"/>
                <w:bCs w:val="0"/>
                <w:color w:val="000000"/>
                <w:sz w:val="20"/>
                <w:szCs w:val="20"/>
              </w:rPr>
              <w:t>6.4%</w:t>
            </w:r>
          </w:p>
        </w:tc>
        <w:tc>
          <w:tcPr>
            <w:tcW w:w="14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vAlign w:val="center"/>
          </w:tcPr>
          <w:p w14:paraId="272A32F9">
            <w:pPr>
              <w:jc w:val="left"/>
            </w:pPr>
            <w:r>
              <w:rPr>
                <w:rFonts w:ascii="Arial" w:hAnsi="Arial" w:eastAsia="Arial" w:cs="Arial"/>
                <w:b w:val="0"/>
                <w:bCs w:val="0"/>
                <w:color w:val="000000"/>
                <w:sz w:val="20"/>
                <w:szCs w:val="20"/>
              </w:rPr>
              <w:t>78</w:t>
            </w:r>
          </w:p>
        </w:tc>
      </w:tr>
      <w:tr w14:paraId="4EC7B3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6B63A77">
            <w:pPr>
              <w:jc w:val="left"/>
            </w:pPr>
            <w:r>
              <w:rPr>
                <w:rFonts w:ascii="Arial" w:hAnsi="Arial" w:eastAsia="Arial" w:cs="Arial"/>
                <w:b w:val="0"/>
                <w:bCs w:val="0"/>
                <w:color w:val="000000"/>
                <w:sz w:val="20"/>
                <w:szCs w:val="20"/>
              </w:rPr>
              <w:t>N02BE</w:t>
            </w:r>
          </w:p>
        </w:tc>
        <w:tc>
          <w:tcPr>
            <w:tcW w:w="3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D44A370">
            <w:pPr>
              <w:jc w:val="left"/>
            </w:pPr>
            <w:r>
              <w:rPr>
                <w:rFonts w:ascii="Arial" w:hAnsi="Arial" w:eastAsia="Arial" w:cs="Arial"/>
                <w:b w:val="0"/>
                <w:bCs w:val="0"/>
                <w:color w:val="000000"/>
                <w:sz w:val="20"/>
                <w:szCs w:val="20"/>
              </w:rPr>
              <w:t>Analgesics / anilides (paracetamol)</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5ECB7C8">
            <w:pPr>
              <w:jc w:val="left"/>
            </w:pPr>
            <w:r>
              <w:rPr>
                <w:rFonts w:ascii="Arial" w:hAnsi="Arial" w:eastAsia="Arial" w:cs="Arial"/>
                <w:b w:val="0"/>
                <w:bCs w:val="0"/>
                <w:color w:val="000000"/>
                <w:sz w:val="20"/>
                <w:szCs w:val="20"/>
              </w:rPr>
              <w:t>63,005</w:t>
            </w:r>
          </w:p>
        </w:tc>
        <w:tc>
          <w:tcPr>
            <w:tcW w:w="1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DF78B3A">
            <w:pPr>
              <w:jc w:val="left"/>
            </w:pPr>
            <w:r>
              <w:rPr>
                <w:rFonts w:ascii="Arial" w:hAnsi="Arial" w:eastAsia="Arial" w:cs="Arial"/>
                <w:b w:val="0"/>
                <w:bCs w:val="0"/>
                <w:color w:val="000000"/>
                <w:sz w:val="20"/>
                <w:szCs w:val="20"/>
              </w:rPr>
              <w:t>29.92</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1A5E9D9">
            <w:pPr>
              <w:jc w:val="left"/>
            </w:pPr>
            <w:r>
              <w:rPr>
                <w:rFonts w:ascii="Arial" w:hAnsi="Arial" w:eastAsia="Arial" w:cs="Arial"/>
                <w:b w:val="0"/>
                <w:bCs w:val="0"/>
                <w:color w:val="000000"/>
                <w:sz w:val="20"/>
                <w:szCs w:val="20"/>
              </w:rPr>
              <w:t>49.4%</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34DC152">
            <w:pPr>
              <w:jc w:val="left"/>
            </w:pPr>
            <w:r>
              <w:rPr>
                <w:rFonts w:ascii="Arial" w:hAnsi="Arial" w:eastAsia="Arial" w:cs="Arial"/>
                <w:b w:val="0"/>
                <w:bCs w:val="0"/>
                <w:color w:val="000000"/>
                <w:sz w:val="20"/>
                <w:szCs w:val="20"/>
              </w:rPr>
              <w:t>26</w:t>
            </w:r>
          </w:p>
        </w:tc>
      </w:tr>
      <w:tr w14:paraId="55D80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vAlign w:val="center"/>
          </w:tcPr>
          <w:p w14:paraId="3B55648C">
            <w:pPr>
              <w:jc w:val="left"/>
            </w:pPr>
            <w:r>
              <w:rPr>
                <w:rFonts w:ascii="Arial" w:hAnsi="Arial" w:eastAsia="Arial" w:cs="Arial"/>
                <w:b w:val="0"/>
                <w:bCs w:val="0"/>
                <w:color w:val="000000"/>
                <w:sz w:val="20"/>
                <w:szCs w:val="20"/>
              </w:rPr>
              <w:t>N05B</w:t>
            </w:r>
          </w:p>
        </w:tc>
        <w:tc>
          <w:tcPr>
            <w:tcW w:w="32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vAlign w:val="center"/>
          </w:tcPr>
          <w:p w14:paraId="61ADF984">
            <w:pPr>
              <w:jc w:val="left"/>
            </w:pPr>
            <w:r>
              <w:rPr>
                <w:rFonts w:ascii="Arial" w:hAnsi="Arial" w:eastAsia="Arial" w:cs="Arial"/>
                <w:b w:val="0"/>
                <w:bCs w:val="0"/>
                <w:color w:val="000000"/>
                <w:sz w:val="20"/>
                <w:szCs w:val="20"/>
              </w:rPr>
              <w:t>Anxiolytics</w:t>
            </w:r>
          </w:p>
        </w:tc>
        <w:tc>
          <w:tcPr>
            <w:tcW w:w="14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vAlign w:val="center"/>
          </w:tcPr>
          <w:p w14:paraId="48708BFC">
            <w:pPr>
              <w:jc w:val="left"/>
            </w:pPr>
            <w:r>
              <w:rPr>
                <w:rFonts w:ascii="Arial" w:hAnsi="Arial" w:eastAsia="Arial" w:cs="Arial"/>
                <w:b w:val="0"/>
                <w:bCs w:val="0"/>
                <w:color w:val="000000"/>
                <w:sz w:val="20"/>
                <w:szCs w:val="20"/>
              </w:rPr>
              <w:t>18,646</w:t>
            </w:r>
          </w:p>
        </w:tc>
        <w:tc>
          <w:tcPr>
            <w:tcW w:w="156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vAlign w:val="center"/>
          </w:tcPr>
          <w:p w14:paraId="24174989">
            <w:pPr>
              <w:jc w:val="left"/>
            </w:pPr>
            <w:r>
              <w:rPr>
                <w:rFonts w:ascii="Arial" w:hAnsi="Arial" w:eastAsia="Arial" w:cs="Arial"/>
                <w:b w:val="0"/>
                <w:bCs w:val="0"/>
                <w:color w:val="000000"/>
                <w:sz w:val="20"/>
                <w:szCs w:val="20"/>
              </w:rPr>
              <w:t>8.85</w:t>
            </w:r>
          </w:p>
        </w:tc>
        <w:tc>
          <w:tcPr>
            <w:tcW w:w="14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vAlign w:val="center"/>
          </w:tcPr>
          <w:p w14:paraId="3AF158D6">
            <w:pPr>
              <w:jc w:val="left"/>
            </w:pPr>
            <w:r>
              <w:rPr>
                <w:rFonts w:ascii="Arial" w:hAnsi="Arial" w:eastAsia="Arial" w:cs="Arial"/>
                <w:b w:val="0"/>
                <w:bCs w:val="0"/>
                <w:color w:val="000000"/>
                <w:sz w:val="20"/>
                <w:szCs w:val="20"/>
              </w:rPr>
              <w:t>14.6%</w:t>
            </w:r>
          </w:p>
        </w:tc>
        <w:tc>
          <w:tcPr>
            <w:tcW w:w="14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vAlign w:val="center"/>
          </w:tcPr>
          <w:p w14:paraId="532A41D7">
            <w:pPr>
              <w:jc w:val="left"/>
            </w:pPr>
            <w:r>
              <w:rPr>
                <w:rFonts w:ascii="Arial" w:hAnsi="Arial" w:eastAsia="Arial" w:cs="Arial"/>
                <w:b w:val="0"/>
                <w:bCs w:val="0"/>
                <w:color w:val="000000"/>
                <w:sz w:val="20"/>
                <w:szCs w:val="20"/>
              </w:rPr>
              <w:t>43</w:t>
            </w:r>
          </w:p>
        </w:tc>
      </w:tr>
      <w:tr w14:paraId="3E2AD4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D810B80">
            <w:pPr>
              <w:jc w:val="left"/>
            </w:pPr>
            <w:r>
              <w:rPr>
                <w:rFonts w:ascii="Arial" w:hAnsi="Arial" w:eastAsia="Arial" w:cs="Arial"/>
                <w:b w:val="0"/>
                <w:bCs w:val="0"/>
                <w:color w:val="000000"/>
                <w:sz w:val="20"/>
                <w:szCs w:val="20"/>
              </w:rPr>
              <w:t>N05C</w:t>
            </w:r>
          </w:p>
        </w:tc>
        <w:tc>
          <w:tcPr>
            <w:tcW w:w="3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5ADB819">
            <w:pPr>
              <w:jc w:val="left"/>
            </w:pPr>
            <w:r>
              <w:rPr>
                <w:rFonts w:ascii="Arial" w:hAnsi="Arial" w:eastAsia="Arial" w:cs="Arial"/>
                <w:b w:val="0"/>
                <w:bCs w:val="0"/>
                <w:color w:val="000000"/>
                <w:sz w:val="20"/>
                <w:szCs w:val="20"/>
              </w:rPr>
              <w:t>Hypnotics and sedatives</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EBD6288">
            <w:pPr>
              <w:jc w:val="left"/>
            </w:pPr>
            <w:r>
              <w:rPr>
                <w:rFonts w:ascii="Arial" w:hAnsi="Arial" w:eastAsia="Arial" w:cs="Arial"/>
                <w:b w:val="0"/>
                <w:bCs w:val="0"/>
                <w:color w:val="000000"/>
                <w:sz w:val="20"/>
                <w:szCs w:val="20"/>
              </w:rPr>
              <w:t>1,250</w:t>
            </w:r>
          </w:p>
        </w:tc>
        <w:tc>
          <w:tcPr>
            <w:tcW w:w="1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C22369D">
            <w:pPr>
              <w:jc w:val="left"/>
            </w:pPr>
            <w:r>
              <w:rPr>
                <w:rFonts w:ascii="Arial" w:hAnsi="Arial" w:eastAsia="Arial" w:cs="Arial"/>
                <w:b w:val="0"/>
                <w:bCs w:val="0"/>
                <w:color w:val="000000"/>
                <w:sz w:val="20"/>
                <w:szCs w:val="20"/>
              </w:rPr>
              <w:t>0.59</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04F5789">
            <w:pPr>
              <w:jc w:val="left"/>
            </w:pPr>
            <w:r>
              <w:rPr>
                <w:rFonts w:ascii="Arial" w:hAnsi="Arial" w:eastAsia="Arial" w:cs="Arial"/>
                <w:b w:val="0"/>
                <w:bCs w:val="0"/>
                <w:color w:val="000000"/>
                <w:sz w:val="20"/>
                <w:szCs w:val="20"/>
              </w:rPr>
              <w:t>1.0%</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7E73C92">
            <w:pPr>
              <w:jc w:val="left"/>
            </w:pPr>
            <w:r>
              <w:rPr>
                <w:rFonts w:ascii="Arial" w:hAnsi="Arial" w:eastAsia="Arial" w:cs="Arial"/>
                <w:b w:val="0"/>
                <w:bCs w:val="0"/>
                <w:color w:val="000000"/>
                <w:sz w:val="20"/>
                <w:szCs w:val="20"/>
              </w:rPr>
              <w:t>1430</w:t>
            </w:r>
          </w:p>
        </w:tc>
      </w:tr>
      <w:tr w14:paraId="72A79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vAlign w:val="center"/>
          </w:tcPr>
          <w:p w14:paraId="6D7C08C1">
            <w:pPr>
              <w:jc w:val="left"/>
            </w:pPr>
            <w:r>
              <w:rPr>
                <w:rFonts w:ascii="Arial" w:hAnsi="Arial" w:eastAsia="Arial" w:cs="Arial"/>
                <w:b w:val="0"/>
                <w:bCs w:val="0"/>
                <w:color w:val="000000"/>
                <w:sz w:val="20"/>
                <w:szCs w:val="20"/>
              </w:rPr>
              <w:t>R03</w:t>
            </w:r>
          </w:p>
        </w:tc>
        <w:tc>
          <w:tcPr>
            <w:tcW w:w="32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vAlign w:val="center"/>
          </w:tcPr>
          <w:p w14:paraId="5B716479">
            <w:pPr>
              <w:jc w:val="left"/>
            </w:pPr>
            <w:r>
              <w:rPr>
                <w:rFonts w:ascii="Arial" w:hAnsi="Arial" w:eastAsia="Arial" w:cs="Arial"/>
                <w:b w:val="0"/>
                <w:bCs w:val="0"/>
                <w:color w:val="000000"/>
                <w:sz w:val="20"/>
                <w:szCs w:val="20"/>
              </w:rPr>
              <w:t>Obstructive airway disease drugs</w:t>
            </w:r>
          </w:p>
        </w:tc>
        <w:tc>
          <w:tcPr>
            <w:tcW w:w="14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vAlign w:val="center"/>
          </w:tcPr>
          <w:p w14:paraId="0D69FF06">
            <w:pPr>
              <w:jc w:val="left"/>
            </w:pPr>
            <w:r>
              <w:rPr>
                <w:rFonts w:ascii="Arial" w:hAnsi="Arial" w:eastAsia="Arial" w:cs="Arial"/>
                <w:b w:val="0"/>
                <w:bCs w:val="0"/>
                <w:color w:val="000000"/>
                <w:sz w:val="20"/>
                <w:szCs w:val="20"/>
              </w:rPr>
              <w:t>11,609</w:t>
            </w:r>
          </w:p>
        </w:tc>
        <w:tc>
          <w:tcPr>
            <w:tcW w:w="156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vAlign w:val="center"/>
          </w:tcPr>
          <w:p w14:paraId="65293806">
            <w:pPr>
              <w:jc w:val="left"/>
            </w:pPr>
            <w:r>
              <w:rPr>
                <w:rFonts w:ascii="Arial" w:hAnsi="Arial" w:eastAsia="Arial" w:cs="Arial"/>
                <w:b w:val="0"/>
                <w:bCs w:val="0"/>
                <w:color w:val="000000"/>
                <w:sz w:val="20"/>
                <w:szCs w:val="20"/>
              </w:rPr>
              <w:t>5.51</w:t>
            </w:r>
          </w:p>
        </w:tc>
        <w:tc>
          <w:tcPr>
            <w:tcW w:w="14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vAlign w:val="center"/>
          </w:tcPr>
          <w:p w14:paraId="5183F48F">
            <w:pPr>
              <w:jc w:val="left"/>
            </w:pPr>
            <w:r>
              <w:rPr>
                <w:rFonts w:ascii="Arial" w:hAnsi="Arial" w:eastAsia="Arial" w:cs="Arial"/>
                <w:b w:val="0"/>
                <w:bCs w:val="0"/>
                <w:color w:val="000000"/>
                <w:sz w:val="20"/>
                <w:szCs w:val="20"/>
              </w:rPr>
              <w:t>9.1%</w:t>
            </w:r>
          </w:p>
        </w:tc>
        <w:tc>
          <w:tcPr>
            <w:tcW w:w="14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vAlign w:val="center"/>
          </w:tcPr>
          <w:p w14:paraId="4B40ADD9">
            <w:pPr>
              <w:jc w:val="left"/>
            </w:pPr>
            <w:r>
              <w:rPr>
                <w:rFonts w:ascii="Arial" w:hAnsi="Arial" w:eastAsia="Arial" w:cs="Arial"/>
                <w:b w:val="0"/>
                <w:bCs w:val="0"/>
                <w:color w:val="000000"/>
                <w:sz w:val="20"/>
                <w:szCs w:val="20"/>
              </w:rPr>
              <w:t>484</w:t>
            </w:r>
          </w:p>
        </w:tc>
      </w:tr>
      <w:tr w14:paraId="76A43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6814567">
            <w:pPr>
              <w:jc w:val="left"/>
            </w:pPr>
            <w:r>
              <w:rPr>
                <w:rFonts w:ascii="Arial" w:hAnsi="Arial" w:eastAsia="Arial" w:cs="Arial"/>
                <w:b w:val="0"/>
                <w:bCs w:val="0"/>
                <w:color w:val="000000"/>
                <w:sz w:val="20"/>
                <w:szCs w:val="20"/>
              </w:rPr>
              <w:t>R06</w:t>
            </w:r>
          </w:p>
        </w:tc>
        <w:tc>
          <w:tcPr>
            <w:tcW w:w="3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AB18262">
            <w:pPr>
              <w:jc w:val="left"/>
            </w:pPr>
            <w:r>
              <w:rPr>
                <w:rFonts w:ascii="Arial" w:hAnsi="Arial" w:eastAsia="Arial" w:cs="Arial"/>
                <w:b w:val="0"/>
                <w:bCs w:val="0"/>
                <w:color w:val="000000"/>
                <w:sz w:val="20"/>
                <w:szCs w:val="20"/>
              </w:rPr>
              <w:t>Antihistamines</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65B0F3B">
            <w:pPr>
              <w:jc w:val="left"/>
            </w:pPr>
            <w:r>
              <w:rPr>
                <w:rFonts w:ascii="Arial" w:hAnsi="Arial" w:eastAsia="Arial" w:cs="Arial"/>
                <w:b w:val="0"/>
                <w:bCs w:val="0"/>
                <w:color w:val="000000"/>
                <w:sz w:val="20"/>
                <w:szCs w:val="20"/>
              </w:rPr>
              <w:t>6,108</w:t>
            </w:r>
          </w:p>
        </w:tc>
        <w:tc>
          <w:tcPr>
            <w:tcW w:w="1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EE4C12A">
            <w:pPr>
              <w:jc w:val="left"/>
            </w:pPr>
            <w:r>
              <w:rPr>
                <w:rFonts w:ascii="Arial" w:hAnsi="Arial" w:eastAsia="Arial" w:cs="Arial"/>
                <w:b w:val="0"/>
                <w:bCs w:val="0"/>
                <w:color w:val="000000"/>
                <w:sz w:val="20"/>
                <w:szCs w:val="20"/>
              </w:rPr>
              <w:t>2.90</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31BB93A">
            <w:pPr>
              <w:jc w:val="left"/>
            </w:pPr>
            <w:r>
              <w:rPr>
                <w:rFonts w:ascii="Arial" w:hAnsi="Arial" w:eastAsia="Arial" w:cs="Arial"/>
                <w:b w:val="0"/>
                <w:bCs w:val="0"/>
                <w:color w:val="000000"/>
                <w:sz w:val="20"/>
                <w:szCs w:val="20"/>
              </w:rPr>
              <w:t>4.8%</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70DB925">
            <w:pPr>
              <w:jc w:val="left"/>
            </w:pPr>
            <w:r>
              <w:rPr>
                <w:rFonts w:ascii="Arial" w:hAnsi="Arial" w:eastAsia="Arial" w:cs="Arial"/>
                <w:b w:val="0"/>
                <w:bCs w:val="0"/>
                <w:color w:val="000000"/>
                <w:sz w:val="20"/>
                <w:szCs w:val="20"/>
              </w:rPr>
              <w:t>256</w:t>
            </w:r>
          </w:p>
        </w:tc>
      </w:tr>
    </w:tbl>
    <w:p w14:paraId="0ADF2A70">
      <w:pPr>
        <w:spacing w:before="80" w:after="80"/>
        <w:jc w:val="left"/>
      </w:pPr>
    </w:p>
    <w:p w14:paraId="53805679">
      <w:pPr>
        <w:spacing w:before="80" w:after="80"/>
        <w:jc w:val="left"/>
      </w:pPr>
      <w:r>
        <w:rPr>
          <w:rFonts w:ascii="Arial" w:hAnsi="Arial" w:eastAsia="Arial" w:cs="Arial"/>
          <w:b w:val="0"/>
          <w:bCs w:val="0"/>
          <w:color w:val="555555"/>
          <w:sz w:val="20"/>
          <w:szCs w:val="20"/>
        </w:rPr>
        <w:t>Key insight: N02BE (paracetamol-type analgesics) accounts for nearly 50% of all sales volume. Forecasting error in this category has the highest financial impact. N05C and R06 show very high zero-sales days, indicating intermittent demand that challenges standard models.</w:t>
      </w:r>
    </w:p>
    <w:p w14:paraId="380F219A">
      <w:pPr>
        <w:pStyle w:val="2"/>
        <w:spacing w:before="320" w:after="160"/>
      </w:pPr>
      <w:r>
        <w:rPr>
          <w:rFonts w:ascii="Arial" w:hAnsi="Arial" w:eastAsia="Arial" w:cs="Arial"/>
          <w:b/>
          <w:bCs/>
          <w:color w:val="1F4E79"/>
          <w:sz w:val="32"/>
          <w:szCs w:val="32"/>
        </w:rPr>
        <w:t>3. Data Cleaning</w:t>
      </w:r>
    </w:p>
    <w:p w14:paraId="77E1AF12">
      <w:pPr>
        <w:spacing w:before="80" w:after="80"/>
        <w:jc w:val="left"/>
      </w:pPr>
      <w:r>
        <w:rPr>
          <w:rFonts w:ascii="Arial" w:hAnsi="Arial" w:eastAsia="Arial" w:cs="Arial"/>
          <w:b w:val="0"/>
          <w:bCs w:val="0"/>
          <w:color w:val="000000"/>
          <w:sz w:val="20"/>
          <w:szCs w:val="20"/>
        </w:rPr>
        <w:t>The dataset was validated for structural integrity before any modelling. The cleaning pipeline checks date validity, duplicates, negative values, missing periods, and numeric consistency.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00"/>
        <w:gridCol w:w="1880"/>
        <w:gridCol w:w="1880"/>
        <w:gridCol w:w="2000"/>
      </w:tblGrid>
      <w:tr w14:paraId="67172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vAlign w:val="center"/>
          </w:tcPr>
          <w:p w14:paraId="38D49526">
            <w:pPr>
              <w:jc w:val="left"/>
            </w:pPr>
            <w:r>
              <w:rPr>
                <w:rFonts w:ascii="Arial" w:hAnsi="Arial" w:eastAsia="Arial" w:cs="Arial"/>
                <w:b/>
                <w:bCs/>
                <w:color w:val="FFFFFF"/>
                <w:sz w:val="20"/>
                <w:szCs w:val="20"/>
              </w:rPr>
              <w:t>Quality Check</w:t>
            </w:r>
          </w:p>
        </w:tc>
        <w:tc>
          <w:tcPr>
            <w:tcW w:w="188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vAlign w:val="center"/>
          </w:tcPr>
          <w:p w14:paraId="3F7E331B">
            <w:pPr>
              <w:jc w:val="center"/>
            </w:pPr>
            <w:r>
              <w:rPr>
                <w:rFonts w:ascii="Arial" w:hAnsi="Arial" w:eastAsia="Arial" w:cs="Arial"/>
                <w:b/>
                <w:bCs/>
                <w:color w:val="FFFFFF"/>
                <w:sz w:val="20"/>
                <w:szCs w:val="20"/>
              </w:rPr>
              <w:t>Before</w:t>
            </w:r>
          </w:p>
        </w:tc>
        <w:tc>
          <w:tcPr>
            <w:tcW w:w="188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vAlign w:val="center"/>
          </w:tcPr>
          <w:p w14:paraId="10C6ECAC">
            <w:pPr>
              <w:jc w:val="center"/>
            </w:pPr>
            <w:r>
              <w:rPr>
                <w:rFonts w:ascii="Arial" w:hAnsi="Arial" w:eastAsia="Arial" w:cs="Arial"/>
                <w:b/>
                <w:bCs/>
                <w:color w:val="FFFFFF"/>
                <w:sz w:val="20"/>
                <w:szCs w:val="20"/>
              </w:rPr>
              <w:t>After</w:t>
            </w:r>
          </w:p>
        </w:tc>
        <w:tc>
          <w:tcPr>
            <w:tcW w:w="200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vAlign w:val="center"/>
          </w:tcPr>
          <w:p w14:paraId="35F35085">
            <w:pPr>
              <w:jc w:val="left"/>
            </w:pPr>
            <w:r>
              <w:rPr>
                <w:rFonts w:ascii="Arial" w:hAnsi="Arial" w:eastAsia="Arial" w:cs="Arial"/>
                <w:b/>
                <w:bCs/>
                <w:color w:val="FFFFFF"/>
                <w:sz w:val="20"/>
                <w:szCs w:val="20"/>
              </w:rPr>
              <w:t>Status</w:t>
            </w:r>
          </w:p>
        </w:tc>
      </w:tr>
      <w:tr w14:paraId="6A110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vAlign w:val="center"/>
          </w:tcPr>
          <w:p w14:paraId="4C3F6963">
            <w:pPr>
              <w:jc w:val="left"/>
            </w:pPr>
            <w:r>
              <w:rPr>
                <w:rFonts w:ascii="Arial" w:hAnsi="Arial" w:eastAsia="Arial" w:cs="Arial"/>
                <w:b w:val="0"/>
                <w:bCs w:val="0"/>
                <w:color w:val="000000"/>
                <w:sz w:val="20"/>
                <w:szCs w:val="20"/>
              </w:rPr>
              <w:t>Duplicate dates</w:t>
            </w:r>
          </w:p>
        </w:tc>
        <w:tc>
          <w:tcPr>
            <w:tcW w:w="188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vAlign w:val="center"/>
          </w:tcPr>
          <w:p w14:paraId="7E1A08E9">
            <w:pPr>
              <w:jc w:val="center"/>
            </w:pPr>
            <w:r>
              <w:rPr>
                <w:rFonts w:ascii="Arial" w:hAnsi="Arial" w:eastAsia="Arial" w:cs="Arial"/>
                <w:b w:val="0"/>
                <w:bCs w:val="0"/>
                <w:color w:val="000000"/>
                <w:sz w:val="20"/>
                <w:szCs w:val="20"/>
              </w:rPr>
              <w:t>0</w:t>
            </w:r>
          </w:p>
        </w:tc>
        <w:tc>
          <w:tcPr>
            <w:tcW w:w="188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vAlign w:val="center"/>
          </w:tcPr>
          <w:p w14:paraId="24AAB9B6">
            <w:pPr>
              <w:jc w:val="center"/>
            </w:pPr>
            <w:r>
              <w:rPr>
                <w:rFonts w:ascii="Arial" w:hAnsi="Arial" w:eastAsia="Arial" w:cs="Arial"/>
                <w:b w:val="0"/>
                <w:bCs w:val="0"/>
                <w:color w:val="000000"/>
                <w:sz w:val="20"/>
                <w:szCs w:val="20"/>
              </w:rPr>
              <w:t>0</w:t>
            </w:r>
          </w:p>
        </w:tc>
        <w:tc>
          <w:tcPr>
            <w:tcW w:w="20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vAlign w:val="center"/>
          </w:tcPr>
          <w:p w14:paraId="09713EC4">
            <w:pPr>
              <w:jc w:val="left"/>
            </w:pPr>
            <w:r>
              <w:rPr>
                <w:rFonts w:ascii="Arial" w:hAnsi="Arial" w:eastAsia="Arial" w:cs="Arial"/>
                <w:b w:val="0"/>
                <w:bCs w:val="0"/>
                <w:color w:val="1A7A1A"/>
                <w:sz w:val="20"/>
                <w:szCs w:val="20"/>
              </w:rPr>
              <w:t>Clean</w:t>
            </w:r>
          </w:p>
        </w:tc>
      </w:tr>
      <w:tr w14:paraId="1E5EE4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B97D096">
            <w:pPr>
              <w:jc w:val="left"/>
            </w:pPr>
            <w:r>
              <w:rPr>
                <w:rFonts w:ascii="Arial" w:hAnsi="Arial" w:eastAsia="Arial" w:cs="Arial"/>
                <w:b w:val="0"/>
                <w:bCs w:val="0"/>
                <w:color w:val="000000"/>
                <w:sz w:val="20"/>
                <w:szCs w:val="20"/>
              </w:rPr>
              <w:t>Missing product values</w:t>
            </w:r>
          </w:p>
        </w:tc>
        <w:tc>
          <w:tcPr>
            <w:tcW w:w="18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2F1E6F9">
            <w:pPr>
              <w:jc w:val="center"/>
            </w:pPr>
            <w:r>
              <w:rPr>
                <w:rFonts w:ascii="Arial" w:hAnsi="Arial" w:eastAsia="Arial" w:cs="Arial"/>
                <w:b w:val="0"/>
                <w:bCs w:val="0"/>
                <w:color w:val="000000"/>
                <w:sz w:val="20"/>
                <w:szCs w:val="20"/>
              </w:rPr>
              <w:t>0</w:t>
            </w:r>
          </w:p>
        </w:tc>
        <w:tc>
          <w:tcPr>
            <w:tcW w:w="18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A793C97">
            <w:pPr>
              <w:jc w:val="center"/>
            </w:pPr>
            <w:r>
              <w:rPr>
                <w:rFonts w:ascii="Arial" w:hAnsi="Arial" w:eastAsia="Arial" w:cs="Arial"/>
                <w:b w:val="0"/>
                <w:bCs w:val="0"/>
                <w:color w:val="000000"/>
                <w:sz w:val="20"/>
                <w:szCs w:val="20"/>
              </w:rPr>
              <w:t>0</w:t>
            </w:r>
          </w:p>
        </w:tc>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3621D52">
            <w:pPr>
              <w:jc w:val="left"/>
            </w:pPr>
            <w:r>
              <w:rPr>
                <w:rFonts w:ascii="Arial" w:hAnsi="Arial" w:eastAsia="Arial" w:cs="Arial"/>
                <w:b w:val="0"/>
                <w:bCs w:val="0"/>
                <w:color w:val="1A7A1A"/>
                <w:sz w:val="20"/>
                <w:szCs w:val="20"/>
              </w:rPr>
              <w:t>Clean</w:t>
            </w:r>
          </w:p>
        </w:tc>
      </w:tr>
      <w:tr w14:paraId="552D3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vAlign w:val="center"/>
          </w:tcPr>
          <w:p w14:paraId="30DB096B">
            <w:pPr>
              <w:jc w:val="left"/>
            </w:pPr>
            <w:r>
              <w:rPr>
                <w:rFonts w:ascii="Arial" w:hAnsi="Arial" w:eastAsia="Arial" w:cs="Arial"/>
                <w:b w:val="0"/>
                <w:bCs w:val="0"/>
                <w:color w:val="000000"/>
                <w:sz w:val="20"/>
                <w:szCs w:val="20"/>
              </w:rPr>
              <w:t>Negative sales values</w:t>
            </w:r>
          </w:p>
        </w:tc>
        <w:tc>
          <w:tcPr>
            <w:tcW w:w="188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vAlign w:val="center"/>
          </w:tcPr>
          <w:p w14:paraId="35BD8D02">
            <w:pPr>
              <w:jc w:val="center"/>
            </w:pPr>
            <w:r>
              <w:rPr>
                <w:rFonts w:ascii="Arial" w:hAnsi="Arial" w:eastAsia="Arial" w:cs="Arial"/>
                <w:b w:val="0"/>
                <w:bCs w:val="0"/>
                <w:color w:val="000000"/>
                <w:sz w:val="20"/>
                <w:szCs w:val="20"/>
              </w:rPr>
              <w:t>0</w:t>
            </w:r>
          </w:p>
        </w:tc>
        <w:tc>
          <w:tcPr>
            <w:tcW w:w="188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vAlign w:val="center"/>
          </w:tcPr>
          <w:p w14:paraId="19AF7509">
            <w:pPr>
              <w:jc w:val="center"/>
            </w:pPr>
            <w:r>
              <w:rPr>
                <w:rFonts w:ascii="Arial" w:hAnsi="Arial" w:eastAsia="Arial" w:cs="Arial"/>
                <w:b w:val="0"/>
                <w:bCs w:val="0"/>
                <w:color w:val="000000"/>
                <w:sz w:val="20"/>
                <w:szCs w:val="20"/>
              </w:rPr>
              <w:t>0</w:t>
            </w:r>
          </w:p>
        </w:tc>
        <w:tc>
          <w:tcPr>
            <w:tcW w:w="20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vAlign w:val="center"/>
          </w:tcPr>
          <w:p w14:paraId="6A160B1B">
            <w:pPr>
              <w:jc w:val="left"/>
            </w:pPr>
            <w:r>
              <w:rPr>
                <w:rFonts w:ascii="Arial" w:hAnsi="Arial" w:eastAsia="Arial" w:cs="Arial"/>
                <w:b w:val="0"/>
                <w:bCs w:val="0"/>
                <w:color w:val="1A7A1A"/>
                <w:sz w:val="20"/>
                <w:szCs w:val="20"/>
              </w:rPr>
              <w:t>Clean</w:t>
            </w:r>
          </w:p>
        </w:tc>
      </w:tr>
      <w:tr w14:paraId="1E6F0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35C530F">
            <w:pPr>
              <w:jc w:val="left"/>
            </w:pPr>
            <w:r>
              <w:rPr>
                <w:rFonts w:ascii="Arial" w:hAnsi="Arial" w:eastAsia="Arial" w:cs="Arial"/>
                <w:b w:val="0"/>
                <w:bCs w:val="0"/>
                <w:color w:val="000000"/>
                <w:sz w:val="20"/>
                <w:szCs w:val="20"/>
              </w:rPr>
              <w:t>Bad/unparseable dates</w:t>
            </w:r>
          </w:p>
        </w:tc>
        <w:tc>
          <w:tcPr>
            <w:tcW w:w="18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6350BB0">
            <w:pPr>
              <w:jc w:val="center"/>
            </w:pPr>
            <w:r>
              <w:rPr>
                <w:rFonts w:ascii="Arial" w:hAnsi="Arial" w:eastAsia="Arial" w:cs="Arial"/>
                <w:b w:val="0"/>
                <w:bCs w:val="0"/>
                <w:color w:val="000000"/>
                <w:sz w:val="20"/>
                <w:szCs w:val="20"/>
              </w:rPr>
              <w:t>0</w:t>
            </w:r>
          </w:p>
        </w:tc>
        <w:tc>
          <w:tcPr>
            <w:tcW w:w="18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39C93F0">
            <w:pPr>
              <w:jc w:val="center"/>
            </w:pPr>
            <w:r>
              <w:rPr>
                <w:rFonts w:ascii="Arial" w:hAnsi="Arial" w:eastAsia="Arial" w:cs="Arial"/>
                <w:b w:val="0"/>
                <w:bCs w:val="0"/>
                <w:color w:val="000000"/>
                <w:sz w:val="20"/>
                <w:szCs w:val="20"/>
              </w:rPr>
              <w:t>0</w:t>
            </w:r>
          </w:p>
        </w:tc>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5ECB983">
            <w:pPr>
              <w:jc w:val="left"/>
            </w:pPr>
            <w:r>
              <w:rPr>
                <w:rFonts w:ascii="Arial" w:hAnsi="Arial" w:eastAsia="Arial" w:cs="Arial"/>
                <w:b w:val="0"/>
                <w:bCs w:val="0"/>
                <w:color w:val="1A7A1A"/>
                <w:sz w:val="20"/>
                <w:szCs w:val="20"/>
              </w:rPr>
              <w:t>Clean</w:t>
            </w:r>
          </w:p>
        </w:tc>
      </w:tr>
      <w:tr w14:paraId="5EF68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vAlign w:val="center"/>
          </w:tcPr>
          <w:p w14:paraId="3EBCEE06">
            <w:pPr>
              <w:jc w:val="left"/>
            </w:pPr>
            <w:r>
              <w:rPr>
                <w:rFonts w:ascii="Arial" w:hAnsi="Arial" w:eastAsia="Arial" w:cs="Arial"/>
                <w:b w:val="0"/>
                <w:bCs w:val="0"/>
                <w:color w:val="000000"/>
                <w:sz w:val="20"/>
                <w:szCs w:val="20"/>
              </w:rPr>
              <w:t>Missing calendar dates</w:t>
            </w:r>
          </w:p>
        </w:tc>
        <w:tc>
          <w:tcPr>
            <w:tcW w:w="188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vAlign w:val="center"/>
          </w:tcPr>
          <w:p w14:paraId="3001430A">
            <w:pPr>
              <w:jc w:val="center"/>
            </w:pPr>
            <w:r>
              <w:rPr>
                <w:rFonts w:ascii="Arial" w:hAnsi="Arial" w:eastAsia="Arial" w:cs="Arial"/>
                <w:b w:val="0"/>
                <w:bCs w:val="0"/>
                <w:color w:val="000000"/>
                <w:sz w:val="20"/>
                <w:szCs w:val="20"/>
              </w:rPr>
              <w:t>0</w:t>
            </w:r>
          </w:p>
        </w:tc>
        <w:tc>
          <w:tcPr>
            <w:tcW w:w="188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vAlign w:val="center"/>
          </w:tcPr>
          <w:p w14:paraId="44F82664">
            <w:pPr>
              <w:jc w:val="center"/>
            </w:pPr>
            <w:r>
              <w:rPr>
                <w:rFonts w:ascii="Arial" w:hAnsi="Arial" w:eastAsia="Arial" w:cs="Arial"/>
                <w:b w:val="0"/>
                <w:bCs w:val="0"/>
                <w:color w:val="000000"/>
                <w:sz w:val="20"/>
                <w:szCs w:val="20"/>
              </w:rPr>
              <w:t>0</w:t>
            </w:r>
          </w:p>
        </w:tc>
        <w:tc>
          <w:tcPr>
            <w:tcW w:w="20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vAlign w:val="center"/>
          </w:tcPr>
          <w:p w14:paraId="53E117C5">
            <w:pPr>
              <w:jc w:val="left"/>
            </w:pPr>
            <w:r>
              <w:rPr>
                <w:rFonts w:ascii="Arial" w:hAnsi="Arial" w:eastAsia="Arial" w:cs="Arial"/>
                <w:b w:val="0"/>
                <w:bCs w:val="0"/>
                <w:color w:val="1A7A1A"/>
                <w:sz w:val="20"/>
                <w:szCs w:val="20"/>
              </w:rPr>
              <w:t>Clean</w:t>
            </w:r>
          </w:p>
        </w:tc>
      </w:tr>
      <w:tr w14:paraId="7B968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CF5CCC6">
            <w:pPr>
              <w:jc w:val="left"/>
            </w:pPr>
            <w:r>
              <w:rPr>
                <w:rFonts w:ascii="Arial" w:hAnsi="Arial" w:eastAsia="Arial" w:cs="Arial"/>
                <w:b w:val="0"/>
                <w:bCs w:val="0"/>
                <w:color w:val="000000"/>
                <w:sz w:val="20"/>
                <w:szCs w:val="20"/>
              </w:rPr>
              <w:t>Zero-sales cells</w:t>
            </w:r>
          </w:p>
        </w:tc>
        <w:tc>
          <w:tcPr>
            <w:tcW w:w="18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8C6311E">
            <w:pPr>
              <w:jc w:val="center"/>
            </w:pPr>
            <w:r>
              <w:rPr>
                <w:rFonts w:ascii="Arial" w:hAnsi="Arial" w:eastAsia="Arial" w:cs="Arial"/>
                <w:b w:val="0"/>
                <w:bCs w:val="0"/>
                <w:color w:val="000000"/>
                <w:sz w:val="20"/>
                <w:szCs w:val="20"/>
              </w:rPr>
              <w:t>2,393</w:t>
            </w:r>
          </w:p>
        </w:tc>
        <w:tc>
          <w:tcPr>
            <w:tcW w:w="18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4A8AF7F">
            <w:pPr>
              <w:jc w:val="center"/>
            </w:pPr>
            <w:r>
              <w:rPr>
                <w:rFonts w:ascii="Arial" w:hAnsi="Arial" w:eastAsia="Arial" w:cs="Arial"/>
                <w:b w:val="0"/>
                <w:bCs w:val="0"/>
                <w:color w:val="000000"/>
                <w:sz w:val="20"/>
                <w:szCs w:val="20"/>
              </w:rPr>
              <w:t>2,393</w:t>
            </w:r>
          </w:p>
        </w:tc>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EF0476C">
            <w:pPr>
              <w:jc w:val="left"/>
            </w:pPr>
            <w:r>
              <w:rPr>
                <w:rFonts w:ascii="Arial" w:hAnsi="Arial" w:eastAsia="Arial" w:cs="Arial"/>
                <w:b w:val="0"/>
                <w:bCs w:val="0"/>
                <w:color w:val="9A5000"/>
                <w:sz w:val="20"/>
                <w:szCs w:val="20"/>
              </w:rPr>
              <w:t>Preserved (real gaps)</w:t>
            </w:r>
          </w:p>
        </w:tc>
      </w:tr>
      <w:tr w14:paraId="3E7B65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vAlign w:val="center"/>
          </w:tcPr>
          <w:p w14:paraId="7083C140">
            <w:pPr>
              <w:jc w:val="left"/>
            </w:pPr>
            <w:r>
              <w:rPr>
                <w:rFonts w:ascii="Arial" w:hAnsi="Arial" w:eastAsia="Arial" w:cs="Arial"/>
                <w:b w:val="0"/>
                <w:bCs w:val="0"/>
                <w:color w:val="000000"/>
                <w:sz w:val="20"/>
                <w:szCs w:val="20"/>
              </w:rPr>
              <w:t>IQR outlier flags</w:t>
            </w:r>
          </w:p>
        </w:tc>
        <w:tc>
          <w:tcPr>
            <w:tcW w:w="188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vAlign w:val="center"/>
          </w:tcPr>
          <w:p w14:paraId="58A89245">
            <w:pPr>
              <w:jc w:val="center"/>
            </w:pPr>
            <w:r>
              <w:rPr>
                <w:rFonts w:ascii="Arial" w:hAnsi="Arial" w:eastAsia="Arial" w:cs="Arial"/>
                <w:b w:val="0"/>
                <w:bCs w:val="0"/>
                <w:color w:val="000000"/>
                <w:sz w:val="20"/>
                <w:szCs w:val="20"/>
              </w:rPr>
              <w:t>558</w:t>
            </w:r>
          </w:p>
        </w:tc>
        <w:tc>
          <w:tcPr>
            <w:tcW w:w="188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vAlign w:val="center"/>
          </w:tcPr>
          <w:p w14:paraId="4C613C2C">
            <w:pPr>
              <w:jc w:val="center"/>
            </w:pPr>
            <w:r>
              <w:rPr>
                <w:rFonts w:ascii="Arial" w:hAnsi="Arial" w:eastAsia="Arial" w:cs="Arial"/>
                <w:b w:val="0"/>
                <w:bCs w:val="0"/>
                <w:color w:val="000000"/>
                <w:sz w:val="20"/>
                <w:szCs w:val="20"/>
              </w:rPr>
              <w:t>558</w:t>
            </w:r>
          </w:p>
        </w:tc>
        <w:tc>
          <w:tcPr>
            <w:tcW w:w="20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vAlign w:val="center"/>
          </w:tcPr>
          <w:p w14:paraId="6D408147">
            <w:pPr>
              <w:jc w:val="left"/>
            </w:pPr>
            <w:r>
              <w:rPr>
                <w:rFonts w:ascii="Arial" w:hAnsi="Arial" w:eastAsia="Arial" w:cs="Arial"/>
                <w:b w:val="0"/>
                <w:bCs w:val="0"/>
                <w:color w:val="9A5000"/>
                <w:sz w:val="20"/>
                <w:szCs w:val="20"/>
              </w:rPr>
              <w:t>Flagged, not removed</w:t>
            </w:r>
          </w:p>
        </w:tc>
      </w:tr>
    </w:tbl>
    <w:p w14:paraId="2CE2D1B8">
      <w:pPr>
        <w:spacing w:before="80" w:after="80"/>
        <w:jc w:val="left"/>
      </w:pPr>
    </w:p>
    <w:p w14:paraId="4C00A56A">
      <w:pPr>
        <w:pStyle w:val="2"/>
        <w:spacing w:before="320" w:after="160"/>
      </w:pPr>
      <w:r>
        <w:rPr>
          <w:rFonts w:ascii="Arial" w:hAnsi="Arial" w:eastAsia="Arial" w:cs="Arial"/>
          <w:b/>
          <w:bCs/>
          <w:color w:val="1F4E79"/>
          <w:sz w:val="32"/>
          <w:szCs w:val="32"/>
        </w:rPr>
        <w:t>4. Exploratory Data Analysis</w:t>
      </w:r>
    </w:p>
    <w:p w14:paraId="6A49E10E">
      <w:pPr>
        <w:spacing w:before="80" w:after="80"/>
        <w:jc w:val="left"/>
      </w:pPr>
      <w:r>
        <w:rPr>
          <w:rFonts w:ascii="Arial" w:hAnsi="Arial" w:eastAsia="Arial" w:cs="Arial"/>
          <w:b w:val="0"/>
          <w:bCs w:val="0"/>
          <w:color w:val="000000"/>
          <w:sz w:val="20"/>
          <w:szCs w:val="20"/>
        </w:rPr>
        <w:t>EDA reveals the demand behaviour of each product group before model selection.</w:t>
      </w:r>
    </w:p>
    <w:p w14:paraId="256520C4">
      <w:pPr>
        <w:pStyle w:val="3"/>
        <w:spacing w:before="240" w:after="120"/>
      </w:pPr>
      <w:r>
        <w:rPr>
          <w:rFonts w:ascii="Arial" w:hAnsi="Arial" w:eastAsia="Arial" w:cs="Arial"/>
          <w:b/>
          <w:bCs/>
          <w:color w:val="2E75B6"/>
          <w:sz w:val="26"/>
          <w:szCs w:val="26"/>
        </w:rPr>
        <w:t>4.1 Daily Total Sales Trend</w:t>
      </w:r>
    </w:p>
    <w:p w14:paraId="45E9623D">
      <w:pPr>
        <w:spacing w:before="80" w:after="80"/>
        <w:jc w:val="left"/>
      </w:pPr>
      <w:r>
        <w:rPr>
          <w:rFonts w:ascii="Arial" w:hAnsi="Arial" w:eastAsia="Arial" w:cs="Arial"/>
          <w:b w:val="0"/>
          <w:bCs w:val="0"/>
          <w:color w:val="000000"/>
          <w:sz w:val="20"/>
          <w:szCs w:val="20"/>
        </w:rPr>
        <w:t>Daily pharmaceutical demand is inherently noisy. A 30-day moving average smooths day-to-day fluctuations and reveals the underlying demand direction. Management should plan around sustained movement rather than reacting to individual daily spikes.</w:t>
      </w:r>
    </w:p>
    <w:p w14:paraId="31EF9E63">
      <w:pPr>
        <w:jc w:val="center"/>
      </w:pPr>
      <w:r>
        <w:drawing>
          <wp:inline distT="0" distB="0" distL="114300" distR="114300">
            <wp:extent cx="5806440" cy="265811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806440" cy="2658292"/>
                    </a:xfrm>
                    <a:prstGeom prst="rect">
                      <a:avLst/>
                    </a:prstGeom>
                  </pic:spPr>
                </pic:pic>
              </a:graphicData>
            </a:graphic>
          </wp:inline>
        </w:drawing>
      </w:r>
    </w:p>
    <w:p w14:paraId="7919367E">
      <w:pPr>
        <w:jc w:val="center"/>
      </w:pPr>
      <w:r>
        <w:rPr>
          <w:i/>
          <w:color w:val="4B5563"/>
          <w:sz w:val="18"/>
        </w:rPr>
        <w:t>Figure 1. Daily total pharmaceutical sales with 30-day moving average.</w:t>
      </w:r>
    </w:p>
    <w:p w14:paraId="0DF5BD93">
      <w:r>
        <w:rPr>
          <w:b/>
          <w:color w:val="1F2937"/>
        </w:rPr>
        <w:t xml:space="preserve">Graph insight: </w:t>
      </w:r>
      <w:r>
        <w:rPr>
          <w:sz w:val="20"/>
        </w:rPr>
        <w:t>The raw daily series contains sharp spikes, but the moving average shows a steadier demand band. This supports weekly or monthly procurement decisions instead of reacting to single-day jumps.</w:t>
      </w:r>
    </w:p>
    <w:p w14:paraId="089FC87C">
      <w:pPr>
        <w:pStyle w:val="3"/>
        <w:spacing w:before="240" w:after="120"/>
      </w:pPr>
      <w:r>
        <w:rPr>
          <w:rFonts w:ascii="Arial" w:hAnsi="Arial" w:eastAsia="Arial" w:cs="Arial"/>
          <w:b/>
          <w:bCs/>
          <w:color w:val="2E75B6"/>
          <w:sz w:val="26"/>
          <w:szCs w:val="26"/>
        </w:rPr>
        <w:t>4.2 Monthly and Weekday Patterns</w:t>
      </w:r>
    </w:p>
    <w:p w14:paraId="61844B0C">
      <w:pPr>
        <w:spacing w:before="80" w:after="80"/>
        <w:jc w:val="left"/>
      </w:pPr>
      <w:r>
        <w:rPr>
          <w:rFonts w:ascii="Arial" w:hAnsi="Arial" w:eastAsia="Arial" w:cs="Arial"/>
          <w:b w:val="0"/>
          <w:bCs w:val="0"/>
          <w:color w:val="000000"/>
          <w:sz w:val="20"/>
          <w:szCs w:val="20"/>
        </w:rPr>
        <w:t>Monthly aggregation shows seasonal variation per category. R03 (airway disease) shows a clear winter peak consistent with flu and respiratory illness seasonality. N02BE (paracetamol) shows moderate mid-year elevation. Weekday analysis shows demand is lower on weekends for most categories — useful for replenishment scheduling.</w:t>
      </w:r>
    </w:p>
    <w:p w14:paraId="2A5FDA01">
      <w:pPr>
        <w:jc w:val="center"/>
      </w:pPr>
      <w:r>
        <w:drawing>
          <wp:inline distT="0" distB="0" distL="114300" distR="114300">
            <wp:extent cx="5806440" cy="3005455"/>
            <wp:effectExtent l="0" t="0" r="0" b="1206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806440" cy="3005687"/>
                    </a:xfrm>
                    <a:prstGeom prst="rect">
                      <a:avLst/>
                    </a:prstGeom>
                  </pic:spPr>
                </pic:pic>
              </a:graphicData>
            </a:graphic>
          </wp:inline>
        </w:drawing>
      </w:r>
    </w:p>
    <w:p w14:paraId="687515EE">
      <w:pPr>
        <w:jc w:val="center"/>
      </w:pPr>
      <w:r>
        <w:rPr>
          <w:i/>
          <w:color w:val="4B5563"/>
          <w:sz w:val="18"/>
        </w:rPr>
        <w:t>Figure 2. Average daily product demand across calendar months.</w:t>
      </w:r>
    </w:p>
    <w:p w14:paraId="22876849">
      <w:r>
        <w:rPr>
          <w:b/>
          <w:color w:val="1F2937"/>
        </w:rPr>
        <w:t xml:space="preserve">Graph insight: </w:t>
      </w:r>
      <w:r>
        <w:rPr>
          <w:sz w:val="20"/>
        </w:rPr>
        <w:t>R03 demand is visibly more seasonal than the core analgesic groups, while N02BE remains the largest recurring demand base across the year. Seasonal stock planning should therefore be stricter for R03 and volume planning should remain centered on N02BE.</w:t>
      </w:r>
    </w:p>
    <w:p w14:paraId="18EE09BF">
      <w:pPr>
        <w:jc w:val="center"/>
      </w:pPr>
      <w:r>
        <w:drawing>
          <wp:inline distT="0" distB="0" distL="114300" distR="114300">
            <wp:extent cx="5806440" cy="2224405"/>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5806440" cy="2224715"/>
                    </a:xfrm>
                    <a:prstGeom prst="rect">
                      <a:avLst/>
                    </a:prstGeom>
                  </pic:spPr>
                </pic:pic>
              </a:graphicData>
            </a:graphic>
          </wp:inline>
        </w:drawing>
      </w:r>
    </w:p>
    <w:p w14:paraId="48E7B985">
      <w:pPr>
        <w:jc w:val="center"/>
      </w:pPr>
      <w:r>
        <w:rPr>
          <w:i/>
          <w:color w:val="4B5563"/>
          <w:sz w:val="18"/>
        </w:rPr>
        <w:t>Figure 3. Average total sales by weekday.</w:t>
      </w:r>
    </w:p>
    <w:p w14:paraId="6B48FA47">
      <w:r>
        <w:rPr>
          <w:b/>
          <w:color w:val="1F2937"/>
        </w:rPr>
        <w:t xml:space="preserve">Graph insight: </w:t>
      </w:r>
      <w:r>
        <w:rPr>
          <w:sz w:val="20"/>
        </w:rPr>
        <w:t>Saturday has the highest average demand and Thursday has the lowest. This pattern can guide delivery cadence, staff scheduling, and weekend replenishment buffers.</w:t>
      </w:r>
    </w:p>
    <w:p w14:paraId="1A1F35FA">
      <w:pPr>
        <w:pStyle w:val="3"/>
        <w:spacing w:before="240" w:after="120"/>
      </w:pPr>
      <w:r>
        <w:rPr>
          <w:rFonts w:ascii="Arial" w:hAnsi="Arial" w:eastAsia="Arial" w:cs="Arial"/>
          <w:b/>
          <w:bCs/>
          <w:color w:val="2E75B6"/>
          <w:sz w:val="26"/>
          <w:szCs w:val="26"/>
        </w:rPr>
        <w:t>4.3 Sales Contribution by Product</w:t>
      </w:r>
    </w:p>
    <w:p w14:paraId="07405A07">
      <w:pPr>
        <w:spacing w:before="80" w:after="80"/>
        <w:jc w:val="left"/>
      </w:pPr>
      <w:r>
        <w:rPr>
          <w:rFonts w:ascii="Arial" w:hAnsi="Arial" w:eastAsia="Arial" w:cs="Arial"/>
          <w:b w:val="0"/>
          <w:bCs w:val="0"/>
          <w:color w:val="000000"/>
          <w:sz w:val="20"/>
          <w:szCs w:val="20"/>
        </w:rPr>
        <w:t>N02BE dominates at 49.4% of total volume. The top three products (N02BE, N05B, M01AB) account for over 72% of all sales. Forecasting errors in these categories create the largest inventory impact and deserve priority attention in procurement planning.</w:t>
      </w:r>
    </w:p>
    <w:p w14:paraId="21E78C21">
      <w:pPr>
        <w:jc w:val="center"/>
      </w:pPr>
      <w:r>
        <w:drawing>
          <wp:inline distT="0" distB="0" distL="114300" distR="114300">
            <wp:extent cx="5806440" cy="258699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5806440" cy="2587190"/>
                    </a:xfrm>
                    <a:prstGeom prst="rect">
                      <a:avLst/>
                    </a:prstGeom>
                  </pic:spPr>
                </pic:pic>
              </a:graphicData>
            </a:graphic>
          </wp:inline>
        </w:drawing>
      </w:r>
    </w:p>
    <w:p w14:paraId="6EE27561">
      <w:pPr>
        <w:jc w:val="center"/>
      </w:pPr>
      <w:r>
        <w:rPr>
          <w:i/>
          <w:color w:val="4B5563"/>
          <w:sz w:val="18"/>
        </w:rPr>
        <w:t>Figure 4. Product-group contribution to total sales volume.</w:t>
      </w:r>
    </w:p>
    <w:p w14:paraId="620717DC">
      <w:r>
        <w:rPr>
          <w:b/>
          <w:color w:val="1F2937"/>
        </w:rPr>
        <w:t xml:space="preserve">Graph insight: </w:t>
      </w:r>
      <w:r>
        <w:rPr>
          <w:sz w:val="20"/>
        </w:rPr>
        <w:t>N02BE contributes 49.4% of all sales, and the top three groups contribute 73.1%. Forecasting discipline for these products will produce the greatest business impact.</w:t>
      </w:r>
    </w:p>
    <w:p w14:paraId="6C25C5B1">
      <w:pPr>
        <w:pStyle w:val="3"/>
        <w:spacing w:before="240" w:after="120"/>
      </w:pPr>
      <w:r>
        <w:rPr>
          <w:rFonts w:ascii="Arial" w:hAnsi="Arial" w:eastAsia="Arial" w:cs="Arial"/>
          <w:b/>
          <w:bCs/>
          <w:color w:val="2E75B6"/>
          <w:sz w:val="26"/>
          <w:szCs w:val="26"/>
        </w:rPr>
        <w:t>4.4 Demand Volatility</w:t>
      </w:r>
    </w:p>
    <w:p w14:paraId="251C4AB5">
      <w:pPr>
        <w:spacing w:before="80" w:after="80"/>
        <w:jc w:val="left"/>
      </w:pPr>
      <w:r>
        <w:rPr>
          <w:rFonts w:ascii="Arial" w:hAnsi="Arial" w:eastAsia="Arial" w:cs="Arial"/>
          <w:b w:val="0"/>
          <w:bCs w:val="0"/>
          <w:color w:val="000000"/>
          <w:sz w:val="20"/>
          <w:szCs w:val="20"/>
        </w:rPr>
        <w:t>Coefficient of variation (CV) measures demand instability. N05C (CV = 1.84) and R03 (CV = 1.17) are the most volatile product groups — both have high zero-sales days and unpredictable demand spikes. These products require larger safety-stock buffers and more frequent manual review.</w:t>
      </w:r>
    </w:p>
    <w:p w14:paraId="1E6DC771">
      <w:pPr>
        <w:jc w:val="center"/>
      </w:pPr>
      <w:r>
        <w:drawing>
          <wp:inline distT="0" distB="0" distL="114300" distR="114300">
            <wp:extent cx="5806440" cy="2586355"/>
            <wp:effectExtent l="0" t="0" r="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5806440" cy="2586801"/>
                    </a:xfrm>
                    <a:prstGeom prst="rect">
                      <a:avLst/>
                    </a:prstGeom>
                  </pic:spPr>
                </pic:pic>
              </a:graphicData>
            </a:graphic>
          </wp:inline>
        </w:drawing>
      </w:r>
    </w:p>
    <w:p w14:paraId="56A34E32">
      <w:pPr>
        <w:jc w:val="center"/>
      </w:pPr>
      <w:r>
        <w:rPr>
          <w:i/>
          <w:color w:val="4B5563"/>
          <w:sz w:val="18"/>
        </w:rPr>
        <w:t>Figure 5. Demand volatility and zero-sales frequency by product group.</w:t>
      </w:r>
    </w:p>
    <w:p w14:paraId="07D88306">
      <w:r>
        <w:rPr>
          <w:b/>
          <w:color w:val="1F2937"/>
        </w:rPr>
        <w:t xml:space="preserve">Graph insight: </w:t>
      </w:r>
      <w:r>
        <w:rPr>
          <w:sz w:val="20"/>
        </w:rPr>
        <w:t>N05C has the highest volatility, while R03 combines seasonal spikes with many low-demand days. These products should use safety stock and exception review rather than purely automatic replenishment.</w:t>
      </w:r>
    </w:p>
    <w:p w14:paraId="583A26AA">
      <w:pPr>
        <w:pStyle w:val="2"/>
        <w:spacing w:before="320" w:after="160"/>
      </w:pPr>
      <w:r>
        <w:rPr>
          <w:rFonts w:ascii="Arial" w:hAnsi="Arial" w:eastAsia="Arial" w:cs="Arial"/>
          <w:b/>
          <w:bCs/>
          <w:color w:val="1F4E79"/>
          <w:sz w:val="32"/>
          <w:szCs w:val="32"/>
        </w:rPr>
        <w:t>5. Trend, Seasonality, and Decomposition</w:t>
      </w:r>
    </w:p>
    <w:p w14:paraId="7F6CF2B9">
      <w:pPr>
        <w:spacing w:before="80" w:after="80"/>
        <w:jc w:val="left"/>
      </w:pPr>
      <w:r>
        <w:rPr>
          <w:rFonts w:ascii="Arial" w:hAnsi="Arial" w:eastAsia="Arial" w:cs="Arial"/>
          <w:b w:val="0"/>
          <w:bCs w:val="0"/>
          <w:color w:val="000000"/>
          <w:sz w:val="20"/>
          <w:szCs w:val="20"/>
        </w:rPr>
        <w:t>Time-series decomposition separates observed sales into trend, seasonal, and residual components. The key findings from decomposition across the eight product groups are summarised below.</w:t>
      </w:r>
    </w:p>
    <w:p w14:paraId="4439A3F1">
      <w:pPr>
        <w:jc w:val="center"/>
      </w:pPr>
      <w:r>
        <w:drawing>
          <wp:inline distT="0" distB="0" distL="114300" distR="114300">
            <wp:extent cx="5806440" cy="358902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stretch>
                      <a:fillRect/>
                    </a:stretch>
                  </pic:blipFill>
                  <pic:spPr>
                    <a:xfrm>
                      <a:off x="0" y="0"/>
                      <a:ext cx="5806440" cy="3589020"/>
                    </a:xfrm>
                    <a:prstGeom prst="rect">
                      <a:avLst/>
                    </a:prstGeom>
                  </pic:spPr>
                </pic:pic>
              </a:graphicData>
            </a:graphic>
          </wp:inline>
        </w:drawing>
      </w:r>
    </w:p>
    <w:p w14:paraId="42E643B6">
      <w:pPr>
        <w:jc w:val="center"/>
      </w:pPr>
      <w:r>
        <w:rPr>
          <w:i/>
          <w:color w:val="4B5563"/>
          <w:sz w:val="18"/>
        </w:rPr>
        <w:t>Figure 6. Weekly observed demand and rolling trend for N02BE and R03.</w:t>
      </w:r>
    </w:p>
    <w:p w14:paraId="2D0597B6">
      <w:r>
        <w:rPr>
          <w:b/>
          <w:color w:val="1F2937"/>
        </w:rPr>
        <w:t xml:space="preserve">Graph insight: </w:t>
      </w:r>
      <w:r>
        <w:rPr>
          <w:sz w:val="20"/>
        </w:rPr>
        <w:t>N02BE shows a large, persistent demand base with a smoother trend, while R03 has sharper seasonal pulses. This explains why N02BE needs volume accuracy and R03 needs seasonal timing accuracy.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2400"/>
        <w:gridCol w:w="1500"/>
        <w:gridCol w:w="1800"/>
        <w:gridCol w:w="2260"/>
      </w:tblGrid>
      <w:tr w14:paraId="4A9E8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vAlign w:val="center"/>
          </w:tcPr>
          <w:p w14:paraId="4B283D5E">
            <w:pPr>
              <w:jc w:val="left"/>
            </w:pPr>
            <w:r>
              <w:rPr>
                <w:rFonts w:ascii="Arial" w:hAnsi="Arial" w:eastAsia="Arial" w:cs="Arial"/>
                <w:b/>
                <w:bCs/>
                <w:color w:val="FFFFFF"/>
                <w:sz w:val="20"/>
                <w:szCs w:val="20"/>
              </w:rPr>
              <w:t>Product</w:t>
            </w:r>
          </w:p>
        </w:tc>
        <w:tc>
          <w:tcPr>
            <w:tcW w:w="240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vAlign w:val="center"/>
          </w:tcPr>
          <w:p w14:paraId="4D825405">
            <w:pPr>
              <w:jc w:val="left"/>
            </w:pPr>
            <w:r>
              <w:rPr>
                <w:rFonts w:ascii="Arial" w:hAnsi="Arial" w:eastAsia="Arial" w:cs="Arial"/>
                <w:b/>
                <w:bCs/>
                <w:color w:val="FFFFFF"/>
                <w:sz w:val="20"/>
                <w:szCs w:val="20"/>
              </w:rPr>
              <w:t>Category</w:t>
            </w:r>
          </w:p>
        </w:tc>
        <w:tc>
          <w:tcPr>
            <w:tcW w:w="150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vAlign w:val="center"/>
          </w:tcPr>
          <w:p w14:paraId="47DBDCE2">
            <w:pPr>
              <w:jc w:val="left"/>
            </w:pPr>
            <w:r>
              <w:rPr>
                <w:rFonts w:ascii="Arial" w:hAnsi="Arial" w:eastAsia="Arial" w:cs="Arial"/>
                <w:b/>
                <w:bCs/>
                <w:color w:val="FFFFFF"/>
                <w:sz w:val="20"/>
                <w:szCs w:val="20"/>
              </w:rPr>
              <w:t>Trend</w:t>
            </w:r>
          </w:p>
        </w:tc>
        <w:tc>
          <w:tcPr>
            <w:tcW w:w="180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vAlign w:val="center"/>
          </w:tcPr>
          <w:p w14:paraId="3F747738">
            <w:pPr>
              <w:jc w:val="left"/>
            </w:pPr>
            <w:r>
              <w:rPr>
                <w:rFonts w:ascii="Arial" w:hAnsi="Arial" w:eastAsia="Arial" w:cs="Arial"/>
                <w:b/>
                <w:bCs/>
                <w:color w:val="FFFFFF"/>
                <w:sz w:val="20"/>
                <w:szCs w:val="20"/>
              </w:rPr>
              <w:t>Seasonality</w:t>
            </w:r>
          </w:p>
        </w:tc>
        <w:tc>
          <w:tcPr>
            <w:tcW w:w="226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vAlign w:val="center"/>
          </w:tcPr>
          <w:p w14:paraId="443B6179">
            <w:pPr>
              <w:jc w:val="left"/>
            </w:pPr>
            <w:r>
              <w:rPr>
                <w:rFonts w:ascii="Arial" w:hAnsi="Arial" w:eastAsia="Arial" w:cs="Arial"/>
                <w:b/>
                <w:bCs/>
                <w:color w:val="FFFFFF"/>
                <w:sz w:val="20"/>
                <w:szCs w:val="20"/>
              </w:rPr>
              <w:t>Key Finding</w:t>
            </w:r>
          </w:p>
        </w:tc>
      </w:tr>
      <w:tr w14:paraId="5A685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vAlign w:val="center"/>
          </w:tcPr>
          <w:p w14:paraId="731BBC0B">
            <w:pPr>
              <w:jc w:val="left"/>
            </w:pPr>
            <w:r>
              <w:rPr>
                <w:rFonts w:ascii="Arial" w:hAnsi="Arial" w:eastAsia="Arial" w:cs="Arial"/>
                <w:b w:val="0"/>
                <w:bCs w:val="0"/>
                <w:color w:val="000000"/>
                <w:sz w:val="20"/>
                <w:szCs w:val="20"/>
              </w:rPr>
              <w:t>N02BE</w:t>
            </w:r>
          </w:p>
        </w:tc>
        <w:tc>
          <w:tcPr>
            <w:tcW w:w="24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vAlign w:val="center"/>
          </w:tcPr>
          <w:p w14:paraId="09BF90B8">
            <w:pPr>
              <w:jc w:val="left"/>
            </w:pPr>
            <w:r>
              <w:rPr>
                <w:rFonts w:ascii="Arial" w:hAnsi="Arial" w:eastAsia="Arial" w:cs="Arial"/>
                <w:b w:val="0"/>
                <w:bCs w:val="0"/>
                <w:color w:val="000000"/>
                <w:sz w:val="20"/>
                <w:szCs w:val="20"/>
              </w:rPr>
              <w:t>Analgesics (paracetamol)</w:t>
            </w:r>
          </w:p>
        </w:tc>
        <w:tc>
          <w:tcPr>
            <w:tcW w:w="15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vAlign w:val="center"/>
          </w:tcPr>
          <w:p w14:paraId="0DE5221F">
            <w:pPr>
              <w:jc w:val="left"/>
            </w:pPr>
            <w:r>
              <w:rPr>
                <w:rFonts w:ascii="Arial" w:hAnsi="Arial" w:eastAsia="Arial" w:cs="Arial"/>
                <w:b w:val="0"/>
                <w:bCs w:val="0"/>
                <w:color w:val="000000"/>
                <w:sz w:val="20"/>
                <w:szCs w:val="20"/>
              </w:rPr>
              <w:t>Slight upward</w:t>
            </w:r>
          </w:p>
        </w:tc>
        <w:tc>
          <w:tcPr>
            <w:tcW w:w="18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vAlign w:val="center"/>
          </w:tcPr>
          <w:p w14:paraId="0B56893E">
            <w:pPr>
              <w:jc w:val="left"/>
            </w:pPr>
            <w:r>
              <w:rPr>
                <w:rFonts w:ascii="Arial" w:hAnsi="Arial" w:eastAsia="Arial" w:cs="Arial"/>
                <w:b w:val="0"/>
                <w:bCs w:val="0"/>
                <w:color w:val="000000"/>
                <w:sz w:val="20"/>
                <w:szCs w:val="20"/>
              </w:rPr>
              <w:t>Moderate weekly seasonality</w:t>
            </w:r>
          </w:p>
        </w:tc>
        <w:tc>
          <w:tcPr>
            <w:tcW w:w="226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vAlign w:val="center"/>
          </w:tcPr>
          <w:p w14:paraId="72AF2209">
            <w:pPr>
              <w:jc w:val="left"/>
            </w:pPr>
            <w:r>
              <w:rPr>
                <w:rFonts w:ascii="Arial" w:hAnsi="Arial" w:eastAsia="Arial" w:cs="Arial"/>
                <w:b w:val="0"/>
                <w:bCs w:val="0"/>
                <w:color w:val="000000"/>
                <w:sz w:val="20"/>
                <w:szCs w:val="20"/>
              </w:rPr>
              <w:t>Low residual noise — most predictable</w:t>
            </w:r>
          </w:p>
        </w:tc>
      </w:tr>
      <w:tr w14:paraId="6E1137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EB0BE73">
            <w:pPr>
              <w:jc w:val="left"/>
            </w:pPr>
            <w:r>
              <w:rPr>
                <w:rFonts w:ascii="Arial" w:hAnsi="Arial" w:eastAsia="Arial" w:cs="Arial"/>
                <w:b w:val="0"/>
                <w:bCs w:val="0"/>
                <w:color w:val="000000"/>
                <w:sz w:val="20"/>
                <w:szCs w:val="20"/>
              </w:rPr>
              <w:t>R03</w:t>
            </w:r>
          </w:p>
        </w:tc>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88C4BF1">
            <w:pPr>
              <w:jc w:val="left"/>
            </w:pPr>
            <w:r>
              <w:rPr>
                <w:rFonts w:ascii="Arial" w:hAnsi="Arial" w:eastAsia="Arial" w:cs="Arial"/>
                <w:b w:val="0"/>
                <w:bCs w:val="0"/>
                <w:color w:val="000000"/>
                <w:sz w:val="20"/>
                <w:szCs w:val="20"/>
              </w:rPr>
              <w:t>Airway disease drugs</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3404CA8">
            <w:pPr>
              <w:jc w:val="left"/>
            </w:pPr>
            <w:r>
              <w:rPr>
                <w:rFonts w:ascii="Arial" w:hAnsi="Arial" w:eastAsia="Arial" w:cs="Arial"/>
                <w:b w:val="0"/>
                <w:bCs w:val="0"/>
                <w:color w:val="000000"/>
                <w:sz w:val="20"/>
                <w:szCs w:val="20"/>
              </w:rPr>
              <w:t>Flat</w:t>
            </w:r>
          </w:p>
        </w:tc>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FCB695E">
            <w:pPr>
              <w:jc w:val="left"/>
            </w:pPr>
            <w:r>
              <w:rPr>
                <w:rFonts w:ascii="Arial" w:hAnsi="Arial" w:eastAsia="Arial" w:cs="Arial"/>
                <w:b w:val="0"/>
                <w:bCs w:val="0"/>
                <w:color w:val="000000"/>
                <w:sz w:val="20"/>
                <w:szCs w:val="20"/>
              </w:rPr>
              <w:t>Strong winter seasonality</w:t>
            </w:r>
          </w:p>
        </w:tc>
        <w:tc>
          <w:tcPr>
            <w:tcW w:w="22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B4C4DB8">
            <w:pPr>
              <w:jc w:val="left"/>
            </w:pPr>
            <w:r>
              <w:rPr>
                <w:rFonts w:ascii="Arial" w:hAnsi="Arial" w:eastAsia="Arial" w:cs="Arial"/>
                <w:b w:val="0"/>
                <w:bCs w:val="0"/>
                <w:color w:val="000000"/>
                <w:sz w:val="20"/>
                <w:szCs w:val="20"/>
              </w:rPr>
              <w:t>High residual — needs seasonal model</w:t>
            </w:r>
          </w:p>
        </w:tc>
      </w:tr>
      <w:tr w14:paraId="283BE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vAlign w:val="center"/>
          </w:tcPr>
          <w:p w14:paraId="3FEE475F">
            <w:pPr>
              <w:jc w:val="left"/>
            </w:pPr>
            <w:r>
              <w:rPr>
                <w:rFonts w:ascii="Arial" w:hAnsi="Arial" w:eastAsia="Arial" w:cs="Arial"/>
                <w:b w:val="0"/>
                <w:bCs w:val="0"/>
                <w:color w:val="000000"/>
                <w:sz w:val="20"/>
                <w:szCs w:val="20"/>
              </w:rPr>
              <w:t>N05B</w:t>
            </w:r>
          </w:p>
        </w:tc>
        <w:tc>
          <w:tcPr>
            <w:tcW w:w="24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vAlign w:val="center"/>
          </w:tcPr>
          <w:p w14:paraId="089423DF">
            <w:pPr>
              <w:jc w:val="left"/>
            </w:pPr>
            <w:r>
              <w:rPr>
                <w:rFonts w:ascii="Arial" w:hAnsi="Arial" w:eastAsia="Arial" w:cs="Arial"/>
                <w:b w:val="0"/>
                <w:bCs w:val="0"/>
                <w:color w:val="000000"/>
                <w:sz w:val="20"/>
                <w:szCs w:val="20"/>
              </w:rPr>
              <w:t>Anxiolytics</w:t>
            </w:r>
          </w:p>
        </w:tc>
        <w:tc>
          <w:tcPr>
            <w:tcW w:w="15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vAlign w:val="center"/>
          </w:tcPr>
          <w:p w14:paraId="04459AC3">
            <w:pPr>
              <w:jc w:val="left"/>
            </w:pPr>
            <w:r>
              <w:rPr>
                <w:rFonts w:ascii="Arial" w:hAnsi="Arial" w:eastAsia="Arial" w:cs="Arial"/>
                <w:b w:val="0"/>
                <w:bCs w:val="0"/>
                <w:color w:val="000000"/>
                <w:sz w:val="20"/>
                <w:szCs w:val="20"/>
              </w:rPr>
              <w:t>Stable</w:t>
            </w:r>
          </w:p>
        </w:tc>
        <w:tc>
          <w:tcPr>
            <w:tcW w:w="18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vAlign w:val="center"/>
          </w:tcPr>
          <w:p w14:paraId="59052921">
            <w:pPr>
              <w:jc w:val="left"/>
            </w:pPr>
            <w:r>
              <w:rPr>
                <w:rFonts w:ascii="Arial" w:hAnsi="Arial" w:eastAsia="Arial" w:cs="Arial"/>
                <w:b w:val="0"/>
                <w:bCs w:val="0"/>
                <w:color w:val="000000"/>
                <w:sz w:val="20"/>
                <w:szCs w:val="20"/>
              </w:rPr>
              <w:t>Mild seasonality</w:t>
            </w:r>
          </w:p>
        </w:tc>
        <w:tc>
          <w:tcPr>
            <w:tcW w:w="226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vAlign w:val="center"/>
          </w:tcPr>
          <w:p w14:paraId="0D87482C">
            <w:pPr>
              <w:jc w:val="left"/>
            </w:pPr>
            <w:r>
              <w:rPr>
                <w:rFonts w:ascii="Arial" w:hAnsi="Arial" w:eastAsia="Arial" w:cs="Arial"/>
                <w:b w:val="0"/>
                <w:bCs w:val="0"/>
                <w:color w:val="000000"/>
                <w:sz w:val="20"/>
                <w:szCs w:val="20"/>
              </w:rPr>
              <w:t>Moderate noise</w:t>
            </w:r>
          </w:p>
        </w:tc>
      </w:tr>
      <w:tr w14:paraId="0AD2C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9D15F44">
            <w:pPr>
              <w:jc w:val="left"/>
            </w:pPr>
            <w:r>
              <w:rPr>
                <w:rFonts w:ascii="Arial" w:hAnsi="Arial" w:eastAsia="Arial" w:cs="Arial"/>
                <w:b w:val="0"/>
                <w:bCs w:val="0"/>
                <w:color w:val="000000"/>
                <w:sz w:val="20"/>
                <w:szCs w:val="20"/>
              </w:rPr>
              <w:t>N05C</w:t>
            </w:r>
          </w:p>
        </w:tc>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7D0C23D">
            <w:pPr>
              <w:jc w:val="left"/>
            </w:pPr>
            <w:r>
              <w:rPr>
                <w:rFonts w:ascii="Arial" w:hAnsi="Arial" w:eastAsia="Arial" w:cs="Arial"/>
                <w:b w:val="0"/>
                <w:bCs w:val="0"/>
                <w:color w:val="000000"/>
                <w:sz w:val="20"/>
                <w:szCs w:val="20"/>
              </w:rPr>
              <w:t>Hypnotics/sedatives</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000948C">
            <w:pPr>
              <w:jc w:val="left"/>
            </w:pPr>
            <w:r>
              <w:rPr>
                <w:rFonts w:ascii="Arial" w:hAnsi="Arial" w:eastAsia="Arial" w:cs="Arial"/>
                <w:b w:val="0"/>
                <w:bCs w:val="0"/>
                <w:color w:val="000000"/>
                <w:sz w:val="20"/>
                <w:szCs w:val="20"/>
              </w:rPr>
              <w:t>Flat</w:t>
            </w:r>
          </w:p>
        </w:tc>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42644F0">
            <w:pPr>
              <w:jc w:val="left"/>
            </w:pPr>
            <w:r>
              <w:rPr>
                <w:rFonts w:ascii="Arial" w:hAnsi="Arial" w:eastAsia="Arial" w:cs="Arial"/>
                <w:b w:val="0"/>
                <w:bCs w:val="0"/>
                <w:color w:val="000000"/>
                <w:sz w:val="20"/>
                <w:szCs w:val="20"/>
              </w:rPr>
              <w:t>Very irregular</w:t>
            </w:r>
          </w:p>
        </w:tc>
        <w:tc>
          <w:tcPr>
            <w:tcW w:w="22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D96D55E">
            <w:pPr>
              <w:jc w:val="left"/>
            </w:pPr>
            <w:r>
              <w:rPr>
                <w:rFonts w:ascii="Arial" w:hAnsi="Arial" w:eastAsia="Arial" w:cs="Arial"/>
                <w:b w:val="0"/>
                <w:bCs w:val="0"/>
                <w:color w:val="000000"/>
                <w:sz w:val="20"/>
                <w:szCs w:val="20"/>
              </w:rPr>
              <w:t>Dominant residual — hardest to forecast</w:t>
            </w:r>
          </w:p>
        </w:tc>
      </w:tr>
      <w:tr w14:paraId="6DA4E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vAlign w:val="center"/>
          </w:tcPr>
          <w:p w14:paraId="6466E938">
            <w:pPr>
              <w:jc w:val="left"/>
            </w:pPr>
            <w:r>
              <w:rPr>
                <w:rFonts w:ascii="Arial" w:hAnsi="Arial" w:eastAsia="Arial" w:cs="Arial"/>
                <w:b w:val="0"/>
                <w:bCs w:val="0"/>
                <w:color w:val="000000"/>
                <w:sz w:val="20"/>
                <w:szCs w:val="20"/>
              </w:rPr>
              <w:t>R06</w:t>
            </w:r>
          </w:p>
        </w:tc>
        <w:tc>
          <w:tcPr>
            <w:tcW w:w="24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vAlign w:val="center"/>
          </w:tcPr>
          <w:p w14:paraId="0554CE65">
            <w:pPr>
              <w:jc w:val="left"/>
            </w:pPr>
            <w:r>
              <w:rPr>
                <w:rFonts w:ascii="Arial" w:hAnsi="Arial" w:eastAsia="Arial" w:cs="Arial"/>
                <w:b w:val="0"/>
                <w:bCs w:val="0"/>
                <w:color w:val="000000"/>
                <w:sz w:val="20"/>
                <w:szCs w:val="20"/>
              </w:rPr>
              <w:t>Antihistamines</w:t>
            </w:r>
          </w:p>
        </w:tc>
        <w:tc>
          <w:tcPr>
            <w:tcW w:w="15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vAlign w:val="center"/>
          </w:tcPr>
          <w:p w14:paraId="76B4CFF1">
            <w:pPr>
              <w:jc w:val="left"/>
            </w:pPr>
            <w:r>
              <w:rPr>
                <w:rFonts w:ascii="Arial" w:hAnsi="Arial" w:eastAsia="Arial" w:cs="Arial"/>
                <w:b w:val="0"/>
                <w:bCs w:val="0"/>
                <w:color w:val="000000"/>
                <w:sz w:val="20"/>
                <w:szCs w:val="20"/>
              </w:rPr>
              <w:t>Slight upward</w:t>
            </w:r>
          </w:p>
        </w:tc>
        <w:tc>
          <w:tcPr>
            <w:tcW w:w="18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vAlign w:val="center"/>
          </w:tcPr>
          <w:p w14:paraId="7E8352D3">
            <w:pPr>
              <w:jc w:val="left"/>
            </w:pPr>
            <w:r>
              <w:rPr>
                <w:rFonts w:ascii="Arial" w:hAnsi="Arial" w:eastAsia="Arial" w:cs="Arial"/>
                <w:b w:val="0"/>
                <w:bCs w:val="0"/>
                <w:color w:val="000000"/>
                <w:sz w:val="20"/>
                <w:szCs w:val="20"/>
              </w:rPr>
              <w:t>Spring/summer peak</w:t>
            </w:r>
          </w:p>
        </w:tc>
        <w:tc>
          <w:tcPr>
            <w:tcW w:w="226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vAlign w:val="center"/>
          </w:tcPr>
          <w:p w14:paraId="4066A8FE">
            <w:pPr>
              <w:jc w:val="left"/>
            </w:pPr>
            <w:r>
              <w:rPr>
                <w:rFonts w:ascii="Arial" w:hAnsi="Arial" w:eastAsia="Arial" w:cs="Arial"/>
                <w:b w:val="0"/>
                <w:bCs w:val="0"/>
                <w:color w:val="000000"/>
                <w:sz w:val="20"/>
                <w:szCs w:val="20"/>
              </w:rPr>
              <w:t>Moderate noise</w:t>
            </w:r>
          </w:p>
        </w:tc>
      </w:tr>
      <w:tr w14:paraId="5B47D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9DA17BC">
            <w:pPr>
              <w:jc w:val="left"/>
            </w:pPr>
            <w:r>
              <w:rPr>
                <w:rFonts w:ascii="Arial" w:hAnsi="Arial" w:eastAsia="Arial" w:cs="Arial"/>
                <w:b w:val="0"/>
                <w:bCs w:val="0"/>
                <w:color w:val="000000"/>
                <w:sz w:val="20"/>
                <w:szCs w:val="20"/>
              </w:rPr>
              <w:t>M01AB</w:t>
            </w:r>
          </w:p>
        </w:tc>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4D34D6B">
            <w:pPr>
              <w:jc w:val="left"/>
            </w:pPr>
            <w:r>
              <w:rPr>
                <w:rFonts w:ascii="Arial" w:hAnsi="Arial" w:eastAsia="Arial" w:cs="Arial"/>
                <w:b w:val="0"/>
                <w:bCs w:val="0"/>
                <w:color w:val="000000"/>
                <w:sz w:val="20"/>
                <w:szCs w:val="20"/>
              </w:rPr>
              <w:t>Anti-inflammatory</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6A2BAC5">
            <w:pPr>
              <w:jc w:val="left"/>
            </w:pPr>
            <w:r>
              <w:rPr>
                <w:rFonts w:ascii="Arial" w:hAnsi="Arial" w:eastAsia="Arial" w:cs="Arial"/>
                <w:b w:val="0"/>
                <w:bCs w:val="0"/>
                <w:color w:val="000000"/>
                <w:sz w:val="20"/>
                <w:szCs w:val="20"/>
              </w:rPr>
              <w:t>Flat</w:t>
            </w:r>
          </w:p>
        </w:tc>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FFC4160">
            <w:pPr>
              <w:jc w:val="left"/>
            </w:pPr>
            <w:r>
              <w:rPr>
                <w:rFonts w:ascii="Arial" w:hAnsi="Arial" w:eastAsia="Arial" w:cs="Arial"/>
                <w:b w:val="0"/>
                <w:bCs w:val="0"/>
                <w:color w:val="000000"/>
                <w:sz w:val="20"/>
                <w:szCs w:val="20"/>
              </w:rPr>
              <w:t>Mild weekly cycle</w:t>
            </w:r>
          </w:p>
        </w:tc>
        <w:tc>
          <w:tcPr>
            <w:tcW w:w="22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A41B1A4">
            <w:pPr>
              <w:jc w:val="left"/>
            </w:pPr>
            <w:r>
              <w:rPr>
                <w:rFonts w:ascii="Arial" w:hAnsi="Arial" w:eastAsia="Arial" w:cs="Arial"/>
                <w:b w:val="0"/>
                <w:bCs w:val="0"/>
                <w:color w:val="000000"/>
                <w:sz w:val="20"/>
                <w:szCs w:val="20"/>
              </w:rPr>
              <w:t>Low noise</w:t>
            </w:r>
          </w:p>
        </w:tc>
      </w:tr>
    </w:tbl>
    <w:p w14:paraId="49013B18">
      <w:pPr>
        <w:spacing w:before="80" w:after="80"/>
        <w:jc w:val="left"/>
      </w:pPr>
    </w:p>
    <w:p w14:paraId="1191FB6A">
      <w:pPr>
        <w:pStyle w:val="2"/>
        <w:spacing w:before="320" w:after="160"/>
      </w:pPr>
      <w:r>
        <w:rPr>
          <w:rFonts w:ascii="Arial" w:hAnsi="Arial" w:eastAsia="Arial" w:cs="Arial"/>
          <w:b/>
          <w:bCs/>
          <w:color w:val="1F4E79"/>
          <w:sz w:val="32"/>
          <w:szCs w:val="32"/>
        </w:rPr>
        <w:t>6. Stationarity Testing (ADF and KPSS)</w:t>
      </w:r>
    </w:p>
    <w:p w14:paraId="439E6EDD">
      <w:pPr>
        <w:spacing w:before="80" w:after="80"/>
        <w:jc w:val="left"/>
      </w:pPr>
      <w:r>
        <w:rPr>
          <w:rFonts w:ascii="Arial" w:hAnsi="Arial" w:eastAsia="Arial" w:cs="Arial"/>
          <w:b w:val="0"/>
          <w:bCs w:val="0"/>
          <w:color w:val="000000"/>
          <w:sz w:val="20"/>
          <w:szCs w:val="20"/>
        </w:rPr>
        <w:t>ARIMA and SARIMA models require stationarity — a series where mean and variance do not change over time. The Augmented Dickey-Fuller (ADF) test checks for unit roots, while the KPSS test checks for level stationarity. Both tests were applied to raw weekly series and first-differenced series.</w:t>
      </w:r>
    </w:p>
    <w:p w14:paraId="368CBD21">
      <w:pPr>
        <w:spacing w:before="80" w:after="80"/>
        <w:jc w:val="left"/>
      </w:pPr>
      <w:r>
        <w:rPr>
          <w:rFonts w:ascii="Arial" w:hAnsi="Arial" w:eastAsia="Arial" w:cs="Arial"/>
          <w:b w:val="0"/>
          <w:bCs w:val="0"/>
          <w:color w:val="555555"/>
          <w:sz w:val="20"/>
          <w:szCs w:val="20"/>
        </w:rPr>
        <w:t>Result: All eight product series became stationary after one round of differencing (d=1). This means ARIMA with d=1 and SARIMA with D=1 seasonal differencing are appropriate model configurations. Log transformation was applied where variance was unstable at higher demand levels.</w:t>
      </w:r>
    </w:p>
    <w:p w14:paraId="4E0BF336">
      <w:pPr>
        <w:jc w:val="center"/>
      </w:pPr>
      <w:r>
        <w:drawing>
          <wp:inline distT="0" distB="0" distL="114300" distR="114300">
            <wp:extent cx="5806440" cy="3444875"/>
            <wp:effectExtent l="0" t="0" r="0" b="146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0"/>
                    <a:stretch>
                      <a:fillRect/>
                    </a:stretch>
                  </pic:blipFill>
                  <pic:spPr>
                    <a:xfrm>
                      <a:off x="0" y="0"/>
                      <a:ext cx="5806440" cy="3445328"/>
                    </a:xfrm>
                    <a:prstGeom prst="rect">
                      <a:avLst/>
                    </a:prstGeom>
                  </pic:spPr>
                </pic:pic>
              </a:graphicData>
            </a:graphic>
          </wp:inline>
        </w:drawing>
      </w:r>
    </w:p>
    <w:p w14:paraId="5D9765A7">
      <w:pPr>
        <w:jc w:val="center"/>
      </w:pPr>
      <w:r>
        <w:rPr>
          <w:i/>
          <w:color w:val="4B5563"/>
          <w:sz w:val="18"/>
        </w:rPr>
        <w:t>Figure 7. Weekly total demand before and after first differencing.</w:t>
      </w:r>
    </w:p>
    <w:p w14:paraId="3DA5A54E">
      <w:r>
        <w:rPr>
          <w:b/>
          <w:color w:val="1F2937"/>
        </w:rPr>
        <w:t xml:space="preserve">Graph insight: </w:t>
      </w:r>
      <w:r>
        <w:rPr>
          <w:sz w:val="20"/>
        </w:rPr>
        <w:t>The differenced series centers changes around zero, reducing trend effects and making ARIMA/SARIMA assumptions more appropriate for weekly demand modeling.</w:t>
      </w:r>
    </w:p>
    <w:p w14:paraId="5FE67CF8">
      <w:pPr>
        <w:pStyle w:val="2"/>
        <w:spacing w:before="320" w:after="160"/>
      </w:pPr>
      <w:r>
        <w:rPr>
          <w:rFonts w:ascii="Arial" w:hAnsi="Arial" w:eastAsia="Arial" w:cs="Arial"/>
          <w:b/>
          <w:bCs/>
          <w:color w:val="1F4E79"/>
          <w:sz w:val="32"/>
          <w:szCs w:val="32"/>
        </w:rPr>
        <w:t>7. ACF, PACF, and ARIMA Order Selection</w:t>
      </w:r>
    </w:p>
    <w:p w14:paraId="0F8F2753">
      <w:pPr>
        <w:spacing w:before="80" w:after="80"/>
        <w:jc w:val="left"/>
      </w:pPr>
      <w:r>
        <w:rPr>
          <w:rFonts w:ascii="Arial" w:hAnsi="Arial" w:eastAsia="Arial" w:cs="Arial"/>
          <w:b w:val="0"/>
          <w:bCs w:val="0"/>
          <w:color w:val="000000"/>
          <w:sz w:val="20"/>
          <w:szCs w:val="20"/>
        </w:rPr>
        <w:t>ACF (autocorrelation function) and PACF (partial autocorrelation function) plots were used to guide ARIMA order selection. PACF identifies the autoregressive order p (direct lag effect), while ACF identifies the moving-average order q (error persistence).</w:t>
      </w:r>
    </w:p>
    <w:p w14:paraId="2C04DF9E">
      <w:pPr>
        <w:spacing w:before="80" w:after="80"/>
        <w:jc w:val="left"/>
      </w:pPr>
      <w:r>
        <w:rPr>
          <w:rFonts w:ascii="Arial" w:hAnsi="Arial" w:eastAsia="Arial" w:cs="Arial"/>
          <w:b w:val="0"/>
          <w:bCs w:val="0"/>
          <w:color w:val="000000"/>
          <w:sz w:val="20"/>
          <w:szCs w:val="20"/>
        </w:rPr>
        <w:t>For N02BE: PACF cuts off at lag 2, ACF tails off — suggesting AR(2) structure. For R03: both plots tail off slowly, indicating mixed ARMA structure. Final model orders were selected as ARIMA(2,1,2) and SARIMA(2,1,2)(1,1,1)[52] for the total weekly demand series.</w:t>
      </w:r>
    </w:p>
    <w:p w14:paraId="1DA708C4">
      <w:pPr>
        <w:jc w:val="center"/>
      </w:pPr>
      <w:r>
        <w:drawing>
          <wp:inline distT="0" distB="0" distL="114300" distR="114300">
            <wp:extent cx="5806440" cy="2440305"/>
            <wp:effectExtent l="0" t="0" r="0" b="133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1"/>
                    <a:stretch>
                      <a:fillRect/>
                    </a:stretch>
                  </pic:blipFill>
                  <pic:spPr>
                    <a:xfrm>
                      <a:off x="0" y="0"/>
                      <a:ext cx="5806440" cy="2440529"/>
                    </a:xfrm>
                    <a:prstGeom prst="rect">
                      <a:avLst/>
                    </a:prstGeom>
                  </pic:spPr>
                </pic:pic>
              </a:graphicData>
            </a:graphic>
          </wp:inline>
        </w:drawing>
      </w:r>
    </w:p>
    <w:p w14:paraId="780F7863">
      <w:pPr>
        <w:jc w:val="center"/>
      </w:pPr>
      <w:r>
        <w:rPr>
          <w:i/>
          <w:color w:val="4B5563"/>
          <w:sz w:val="18"/>
        </w:rPr>
        <w:t>Figure 8. ACF and PACF diagnostics for N02BE weekly sales.</w:t>
      </w:r>
    </w:p>
    <w:p w14:paraId="7F1CDAA6">
      <w:r>
        <w:rPr>
          <w:b/>
          <w:color w:val="1F2937"/>
        </w:rPr>
        <w:t xml:space="preserve">Graph insight: </w:t>
      </w:r>
      <w:r>
        <w:rPr>
          <w:sz w:val="20"/>
        </w:rPr>
        <w:t>The diagnostic pattern supports autoregressive structure in N02BE demand and validates using ARIMA-family models as stronger baselines than naive forecasting.</w:t>
      </w:r>
    </w:p>
    <w:p w14:paraId="6676439B">
      <w:r>
        <w:br w:type="page"/>
      </w:r>
    </w:p>
    <w:p w14:paraId="094B89CE">
      <w:pPr>
        <w:pStyle w:val="2"/>
        <w:spacing w:before="320" w:after="160"/>
      </w:pPr>
      <w:r>
        <w:rPr>
          <w:rFonts w:ascii="Arial" w:hAnsi="Arial" w:eastAsia="Arial" w:cs="Arial"/>
          <w:b/>
          <w:bCs/>
          <w:color w:val="1F4E79"/>
          <w:sz w:val="32"/>
          <w:szCs w:val="32"/>
        </w:rPr>
        <w:t>8. Complete Model Comparison — All Six Methods</w:t>
      </w:r>
    </w:p>
    <w:p w14:paraId="39FB9BA1">
      <w:pPr>
        <w:spacing w:before="80" w:after="80"/>
        <w:jc w:val="left"/>
      </w:pPr>
      <w:r>
        <w:rPr>
          <w:rFonts w:ascii="Arial" w:hAnsi="Arial" w:eastAsia="Arial" w:cs="Arial"/>
          <w:b w:val="0"/>
          <w:bCs w:val="0"/>
          <w:color w:val="000000"/>
          <w:sz w:val="20"/>
          <w:szCs w:val="20"/>
        </w:rPr>
        <w:t>Six forecasting methods were applied to the total weekly pharmaceutical demand series. The last 24 weeks were held out as a test set. All models were trained on the same data split to ensure a fair comparison.</w:t>
      </w:r>
    </w:p>
    <w:p w14:paraId="613EDCA5">
      <w:pPr>
        <w:pStyle w:val="3"/>
        <w:spacing w:before="240" w:after="120"/>
      </w:pPr>
      <w:r>
        <w:rPr>
          <w:rFonts w:ascii="Arial" w:hAnsi="Arial" w:eastAsia="Arial" w:cs="Arial"/>
          <w:b/>
          <w:bCs/>
          <w:color w:val="2E75B6"/>
          <w:sz w:val="26"/>
          <w:szCs w:val="26"/>
        </w:rPr>
        <w:t>8.1 Model descriptions</w:t>
      </w:r>
    </w:p>
    <w:p w14:paraId="71503168">
      <w:pPr>
        <w:pStyle w:val="16"/>
        <w:numPr>
          <w:ilvl w:val="0"/>
          <w:numId w:val="1"/>
        </w:numPr>
        <w:spacing w:before="60" w:after="60"/>
      </w:pPr>
      <w:r>
        <w:rPr>
          <w:rFonts w:ascii="Arial" w:hAnsi="Arial" w:eastAsia="Arial" w:cs="Arial"/>
          <w:sz w:val="20"/>
          <w:szCs w:val="20"/>
        </w:rPr>
        <w:t>Naive: predicts next week as this week's value — the simplest possible baseline</w:t>
      </w:r>
    </w:p>
    <w:p w14:paraId="199BF3DE">
      <w:pPr>
        <w:pStyle w:val="16"/>
        <w:numPr>
          <w:ilvl w:val="0"/>
          <w:numId w:val="1"/>
        </w:numPr>
        <w:spacing w:before="60" w:after="60"/>
      </w:pPr>
      <w:r>
        <w:rPr>
          <w:rFonts w:ascii="Arial" w:hAnsi="Arial" w:eastAsia="Arial" w:cs="Arial"/>
          <w:sz w:val="20"/>
          <w:szCs w:val="20"/>
        </w:rPr>
        <w:t>Moving Average (4-week): average of the previous 4 weeks — smooths short-term noise</w:t>
      </w:r>
    </w:p>
    <w:p w14:paraId="4A9A4E39">
      <w:pPr>
        <w:pStyle w:val="16"/>
        <w:numPr>
          <w:ilvl w:val="0"/>
          <w:numId w:val="1"/>
        </w:numPr>
        <w:spacing w:before="60" w:after="60"/>
      </w:pPr>
      <w:r>
        <w:rPr>
          <w:rFonts w:ascii="Arial" w:hAnsi="Arial" w:eastAsia="Arial" w:cs="Arial"/>
          <w:sz w:val="20"/>
          <w:szCs w:val="20"/>
        </w:rPr>
        <w:t>Holt-Winters: exponential smoothing with trend and seasonal components — adapts to seasonal cycles</w:t>
      </w:r>
    </w:p>
    <w:p w14:paraId="32AC55D4">
      <w:pPr>
        <w:pStyle w:val="16"/>
        <w:numPr>
          <w:ilvl w:val="0"/>
          <w:numId w:val="1"/>
        </w:numPr>
        <w:spacing w:before="60" w:after="60"/>
      </w:pPr>
      <w:r>
        <w:rPr>
          <w:rFonts w:ascii="Arial" w:hAnsi="Arial" w:eastAsia="Arial" w:cs="Arial"/>
          <w:sz w:val="20"/>
          <w:szCs w:val="20"/>
        </w:rPr>
        <w:t>ARIMA(2,1,2): autoregressive integrated moving average — captures lag structure after differencing</w:t>
      </w:r>
    </w:p>
    <w:p w14:paraId="11573BCB">
      <w:pPr>
        <w:pStyle w:val="16"/>
        <w:numPr>
          <w:ilvl w:val="0"/>
          <w:numId w:val="1"/>
        </w:numPr>
        <w:spacing w:before="60" w:after="60"/>
      </w:pPr>
      <w:r>
        <w:rPr>
          <w:rFonts w:ascii="Arial" w:hAnsi="Arial" w:eastAsia="Arial" w:cs="Arial"/>
          <w:sz w:val="20"/>
          <w:szCs w:val="20"/>
        </w:rPr>
        <w:t>SARIMA(2,1,2)(1,1,1)[52]: seasonal ARIMA — adds annual seasonal order on top of ARIMA — designed for recurring yearly patterns</w:t>
      </w:r>
    </w:p>
    <w:p w14:paraId="1987824F">
      <w:pPr>
        <w:pStyle w:val="16"/>
        <w:numPr>
          <w:ilvl w:val="0"/>
          <w:numId w:val="1"/>
        </w:numPr>
        <w:spacing w:before="60" w:after="60"/>
      </w:pPr>
      <w:r>
        <w:rPr>
          <w:rFonts w:ascii="Arial" w:hAnsi="Arial" w:eastAsia="Arial" w:cs="Arial"/>
          <w:sz w:val="20"/>
          <w:szCs w:val="20"/>
        </w:rPr>
        <w:t>LSTM (neural network): sequence-learning model using a 12-week input window — captures nonlinear temporal dependencies</w:t>
      </w:r>
    </w:p>
    <w:p w14:paraId="0ECE8D72">
      <w:pPr>
        <w:spacing w:before="80" w:after="80"/>
        <w:jc w:val="left"/>
      </w:pPr>
    </w:p>
    <w:p w14:paraId="54058EE2">
      <w:pPr>
        <w:pStyle w:val="3"/>
        <w:spacing w:before="240" w:after="120"/>
      </w:pPr>
      <w:r>
        <w:rPr>
          <w:rFonts w:ascii="Arial" w:hAnsi="Arial" w:eastAsia="Arial" w:cs="Arial"/>
          <w:b/>
          <w:bCs/>
          <w:color w:val="2E75B6"/>
          <w:sz w:val="26"/>
          <w:szCs w:val="26"/>
        </w:rPr>
        <w:t>8.2 Error metrics on held-out test set (last 24 weeks)</w:t>
      </w:r>
    </w:p>
    <w:p w14:paraId="1788309A">
      <w:pPr>
        <w:jc w:val="center"/>
      </w:pPr>
      <w:r>
        <w:drawing>
          <wp:inline distT="0" distB="0" distL="114300" distR="114300">
            <wp:extent cx="5806440" cy="236791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2"/>
                    <a:stretch>
                      <a:fillRect/>
                    </a:stretch>
                  </pic:blipFill>
                  <pic:spPr>
                    <a:xfrm>
                      <a:off x="0" y="0"/>
                      <a:ext cx="5806440" cy="2368245"/>
                    </a:xfrm>
                    <a:prstGeom prst="rect">
                      <a:avLst/>
                    </a:prstGeom>
                  </pic:spPr>
                </pic:pic>
              </a:graphicData>
            </a:graphic>
          </wp:inline>
        </w:drawing>
      </w:r>
    </w:p>
    <w:p w14:paraId="3CD4613F">
      <w:pPr>
        <w:jc w:val="center"/>
      </w:pPr>
      <w:r>
        <w:rPr>
          <w:i/>
          <w:color w:val="4B5563"/>
          <w:sz w:val="18"/>
        </w:rPr>
        <w:t>Figure 9. Model RMSE comparison on the held-out test period.</w:t>
      </w:r>
    </w:p>
    <w:p w14:paraId="0BBF3E1C">
      <w:r>
        <w:rPr>
          <w:b/>
          <w:color w:val="1F2937"/>
        </w:rPr>
        <w:t xml:space="preserve">Graph insight: </w:t>
      </w:r>
      <w:r>
        <w:rPr>
          <w:sz w:val="20"/>
        </w:rPr>
        <w:t>The 4-week moving average performs best by RMSE and LSTM is close behind, while the naive benchmark performs worst. This confirms that even simple structured forecasting improves over using the last value alone.</w:t>
      </w:r>
    </w:p>
    <w:p w14:paraId="0CAF4A24">
      <w:pPr>
        <w:spacing w:before="80" w:after="80"/>
        <w:jc w:val="left"/>
      </w:pPr>
      <w:r>
        <w:rPr>
          <w:rFonts w:ascii="Arial" w:hAnsi="Arial" w:eastAsia="Arial" w:cs="Arial"/>
          <w:b w:val="0"/>
          <w:bCs w:val="0"/>
          <w:color w:val="000000"/>
          <w:sz w:val="20"/>
          <w:szCs w:val="20"/>
        </w:rPr>
        <w:t>Lower values are better for all three metrics. Rank is based on RMSE (penalises large errors more heavily, which is more relevant for inventory over-ordering risk).</w:t>
      </w:r>
    </w:p>
    <w:p w14:paraId="3F63D4EE">
      <w:pPr>
        <w:spacing w:before="80" w:after="80"/>
        <w:jc w:val="left"/>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1500"/>
        <w:gridCol w:w="1500"/>
        <w:gridCol w:w="1560"/>
        <w:gridCol w:w="1600"/>
      </w:tblGrid>
      <w:tr w14:paraId="5B1196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vAlign w:val="center"/>
          </w:tcPr>
          <w:p w14:paraId="130146ED">
            <w:pPr>
              <w:jc w:val="left"/>
            </w:pPr>
            <w:r>
              <w:rPr>
                <w:rFonts w:ascii="Arial" w:hAnsi="Arial" w:eastAsia="Arial" w:cs="Arial"/>
                <w:b/>
                <w:bCs/>
                <w:color w:val="FFFFFF"/>
                <w:sz w:val="20"/>
                <w:szCs w:val="20"/>
              </w:rPr>
              <w:t>Model</w:t>
            </w:r>
          </w:p>
        </w:tc>
        <w:tc>
          <w:tcPr>
            <w:tcW w:w="150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vAlign w:val="center"/>
          </w:tcPr>
          <w:p w14:paraId="27A28E50">
            <w:pPr>
              <w:jc w:val="center"/>
            </w:pPr>
            <w:r>
              <w:rPr>
                <w:rFonts w:ascii="Arial" w:hAnsi="Arial" w:eastAsia="Arial" w:cs="Arial"/>
                <w:b/>
                <w:bCs/>
                <w:color w:val="FFFFFF"/>
                <w:sz w:val="20"/>
                <w:szCs w:val="20"/>
              </w:rPr>
              <w:t>MAE</w:t>
            </w:r>
          </w:p>
        </w:tc>
        <w:tc>
          <w:tcPr>
            <w:tcW w:w="150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vAlign w:val="center"/>
          </w:tcPr>
          <w:p w14:paraId="426F95C1">
            <w:pPr>
              <w:jc w:val="center"/>
            </w:pPr>
            <w:r>
              <w:rPr>
                <w:rFonts w:ascii="Arial" w:hAnsi="Arial" w:eastAsia="Arial" w:cs="Arial"/>
                <w:b/>
                <w:bCs/>
                <w:color w:val="FFFFFF"/>
                <w:sz w:val="20"/>
                <w:szCs w:val="20"/>
              </w:rPr>
              <w:t>RMSE</w:t>
            </w:r>
          </w:p>
        </w:tc>
        <w:tc>
          <w:tcPr>
            <w:tcW w:w="156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vAlign w:val="center"/>
          </w:tcPr>
          <w:p w14:paraId="1625440A">
            <w:pPr>
              <w:jc w:val="center"/>
            </w:pPr>
            <w:r>
              <w:rPr>
                <w:rFonts w:ascii="Arial" w:hAnsi="Arial" w:eastAsia="Arial" w:cs="Arial"/>
                <w:b/>
                <w:bCs/>
                <w:color w:val="FFFFFF"/>
                <w:sz w:val="20"/>
                <w:szCs w:val="20"/>
              </w:rPr>
              <w:t>MAPE %</w:t>
            </w:r>
          </w:p>
        </w:tc>
        <w:tc>
          <w:tcPr>
            <w:tcW w:w="160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vAlign w:val="center"/>
          </w:tcPr>
          <w:p w14:paraId="377A5D98">
            <w:pPr>
              <w:jc w:val="center"/>
            </w:pPr>
            <w:r>
              <w:rPr>
                <w:rFonts w:ascii="Arial" w:hAnsi="Arial" w:eastAsia="Arial" w:cs="Arial"/>
                <w:b/>
                <w:bCs/>
                <w:color w:val="FFFFFF"/>
                <w:sz w:val="20"/>
                <w:szCs w:val="20"/>
              </w:rPr>
              <w:t>Rank (by RMSE)</w:t>
            </w:r>
          </w:p>
        </w:tc>
      </w:tr>
      <w:tr w14:paraId="3FE8DF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D6EAD6"/>
            <w:tcMar>
              <w:top w:w="80" w:type="dxa"/>
              <w:left w:w="120" w:type="dxa"/>
              <w:bottom w:w="80" w:type="dxa"/>
              <w:right w:w="120" w:type="dxa"/>
            </w:tcMar>
            <w:vAlign w:val="center"/>
          </w:tcPr>
          <w:p w14:paraId="307F4051">
            <w:pPr>
              <w:jc w:val="left"/>
            </w:pPr>
            <w:r>
              <w:rPr>
                <w:rFonts w:ascii="Arial" w:hAnsi="Arial" w:eastAsia="Arial" w:cs="Arial"/>
                <w:b/>
                <w:bCs/>
                <w:color w:val="000000"/>
                <w:sz w:val="20"/>
                <w:szCs w:val="20"/>
              </w:rPr>
              <w:t>Moving Average (4-week) ✓ BEST</w:t>
            </w:r>
          </w:p>
        </w:tc>
        <w:tc>
          <w:tcPr>
            <w:tcW w:w="1500" w:type="dxa"/>
            <w:tcBorders>
              <w:top w:val="single" w:color="CCCCCC" w:sz="0" w:space="0"/>
              <w:left w:val="single" w:color="CCCCCC" w:sz="0" w:space="0"/>
              <w:bottom w:val="single" w:color="CCCCCC" w:sz="0" w:space="0"/>
              <w:right w:val="single" w:color="CCCCCC" w:sz="0" w:space="0"/>
            </w:tcBorders>
            <w:shd w:val="clear" w:color="auto" w:fill="D6EAD6"/>
            <w:tcMar>
              <w:top w:w="80" w:type="dxa"/>
              <w:left w:w="120" w:type="dxa"/>
              <w:bottom w:w="80" w:type="dxa"/>
              <w:right w:w="120" w:type="dxa"/>
            </w:tcMar>
            <w:vAlign w:val="center"/>
          </w:tcPr>
          <w:p w14:paraId="40F59D01">
            <w:pPr>
              <w:jc w:val="center"/>
            </w:pPr>
            <w:r>
              <w:rPr>
                <w:rFonts w:ascii="Arial" w:hAnsi="Arial" w:eastAsia="Arial" w:cs="Arial"/>
                <w:b w:val="0"/>
                <w:bCs w:val="0"/>
                <w:color w:val="000000"/>
                <w:sz w:val="20"/>
                <w:szCs w:val="20"/>
              </w:rPr>
              <w:t>54.94</w:t>
            </w:r>
          </w:p>
        </w:tc>
        <w:tc>
          <w:tcPr>
            <w:tcW w:w="1500" w:type="dxa"/>
            <w:tcBorders>
              <w:top w:val="single" w:color="CCCCCC" w:sz="0" w:space="0"/>
              <w:left w:val="single" w:color="CCCCCC" w:sz="0" w:space="0"/>
              <w:bottom w:val="single" w:color="CCCCCC" w:sz="0" w:space="0"/>
              <w:right w:val="single" w:color="CCCCCC" w:sz="0" w:space="0"/>
            </w:tcBorders>
            <w:shd w:val="clear" w:color="auto" w:fill="D6EAD6"/>
            <w:tcMar>
              <w:top w:w="80" w:type="dxa"/>
              <w:left w:w="120" w:type="dxa"/>
              <w:bottom w:w="80" w:type="dxa"/>
              <w:right w:w="120" w:type="dxa"/>
            </w:tcMar>
            <w:vAlign w:val="center"/>
          </w:tcPr>
          <w:p w14:paraId="1A57B6A3">
            <w:pPr>
              <w:jc w:val="center"/>
            </w:pPr>
            <w:r>
              <w:rPr>
                <w:rFonts w:ascii="Arial" w:hAnsi="Arial" w:eastAsia="Arial" w:cs="Arial"/>
                <w:b w:val="0"/>
                <w:bCs w:val="0"/>
                <w:color w:val="000000"/>
                <w:sz w:val="20"/>
                <w:szCs w:val="20"/>
              </w:rPr>
              <w:t>85.76</w:t>
            </w:r>
          </w:p>
        </w:tc>
        <w:tc>
          <w:tcPr>
            <w:tcW w:w="1560" w:type="dxa"/>
            <w:tcBorders>
              <w:top w:val="single" w:color="CCCCCC" w:sz="0" w:space="0"/>
              <w:left w:val="single" w:color="CCCCCC" w:sz="0" w:space="0"/>
              <w:bottom w:val="single" w:color="CCCCCC" w:sz="0" w:space="0"/>
              <w:right w:val="single" w:color="CCCCCC" w:sz="0" w:space="0"/>
            </w:tcBorders>
            <w:shd w:val="clear" w:color="auto" w:fill="D6EAD6"/>
            <w:tcMar>
              <w:top w:w="80" w:type="dxa"/>
              <w:left w:w="120" w:type="dxa"/>
              <w:bottom w:w="80" w:type="dxa"/>
              <w:right w:w="120" w:type="dxa"/>
            </w:tcMar>
            <w:vAlign w:val="center"/>
          </w:tcPr>
          <w:p w14:paraId="0FCF751D">
            <w:pPr>
              <w:jc w:val="center"/>
            </w:pPr>
            <w:r>
              <w:rPr>
                <w:rFonts w:ascii="Arial" w:hAnsi="Arial" w:eastAsia="Arial" w:cs="Arial"/>
                <w:b w:val="0"/>
                <w:bCs w:val="0"/>
                <w:color w:val="000000"/>
                <w:sz w:val="20"/>
                <w:szCs w:val="20"/>
              </w:rPr>
              <w:t>19.3%</w:t>
            </w:r>
          </w:p>
        </w:tc>
        <w:tc>
          <w:tcPr>
            <w:tcW w:w="1600" w:type="dxa"/>
            <w:tcBorders>
              <w:top w:val="single" w:color="CCCCCC" w:sz="0" w:space="0"/>
              <w:left w:val="single" w:color="CCCCCC" w:sz="0" w:space="0"/>
              <w:bottom w:val="single" w:color="CCCCCC" w:sz="0" w:space="0"/>
              <w:right w:val="single" w:color="CCCCCC" w:sz="0" w:space="0"/>
            </w:tcBorders>
            <w:shd w:val="clear" w:color="auto" w:fill="D6EAD6"/>
            <w:tcMar>
              <w:top w:w="80" w:type="dxa"/>
              <w:left w:w="120" w:type="dxa"/>
              <w:bottom w:w="80" w:type="dxa"/>
              <w:right w:w="120" w:type="dxa"/>
            </w:tcMar>
            <w:vAlign w:val="center"/>
          </w:tcPr>
          <w:p w14:paraId="211A21CD">
            <w:pPr>
              <w:jc w:val="center"/>
            </w:pPr>
            <w:r>
              <w:rPr>
                <w:rFonts w:ascii="Arial" w:hAnsi="Arial" w:eastAsia="Arial" w:cs="Arial"/>
                <w:b/>
                <w:bCs/>
                <w:color w:val="000000"/>
                <w:sz w:val="20"/>
                <w:szCs w:val="20"/>
              </w:rPr>
              <w:t>#1</w:t>
            </w:r>
          </w:p>
        </w:tc>
      </w:tr>
      <w:tr w14:paraId="2060F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7D5DB9C">
            <w:pPr>
              <w:jc w:val="left"/>
            </w:pPr>
            <w:r>
              <w:rPr>
                <w:rFonts w:ascii="Arial" w:hAnsi="Arial" w:eastAsia="Arial" w:cs="Arial"/>
                <w:b w:val="0"/>
                <w:bCs w:val="0"/>
                <w:color w:val="000000"/>
                <w:sz w:val="20"/>
                <w:szCs w:val="20"/>
              </w:rPr>
              <w:t>LSTM (neural network)</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05EBC2C">
            <w:pPr>
              <w:jc w:val="center"/>
            </w:pPr>
            <w:r>
              <w:rPr>
                <w:rFonts w:ascii="Arial" w:hAnsi="Arial" w:eastAsia="Arial" w:cs="Arial"/>
                <w:b w:val="0"/>
                <w:bCs w:val="0"/>
                <w:color w:val="000000"/>
                <w:sz w:val="20"/>
                <w:szCs w:val="20"/>
              </w:rPr>
              <w:t>57.96</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067249C">
            <w:pPr>
              <w:jc w:val="center"/>
            </w:pPr>
            <w:r>
              <w:rPr>
                <w:rFonts w:ascii="Arial" w:hAnsi="Arial" w:eastAsia="Arial" w:cs="Arial"/>
                <w:b w:val="0"/>
                <w:bCs w:val="0"/>
                <w:color w:val="000000"/>
                <w:sz w:val="20"/>
                <w:szCs w:val="20"/>
              </w:rPr>
              <w:t>87.22</w:t>
            </w:r>
          </w:p>
        </w:tc>
        <w:tc>
          <w:tcPr>
            <w:tcW w:w="1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298FF5C">
            <w:pPr>
              <w:jc w:val="center"/>
            </w:pPr>
            <w:r>
              <w:rPr>
                <w:rFonts w:ascii="Arial" w:hAnsi="Arial" w:eastAsia="Arial" w:cs="Arial"/>
                <w:b w:val="0"/>
                <w:bCs w:val="0"/>
                <w:color w:val="000000"/>
                <w:sz w:val="20"/>
                <w:szCs w:val="20"/>
              </w:rPr>
              <w:t>21.0%</w:t>
            </w:r>
          </w:p>
        </w:tc>
        <w:tc>
          <w:tcPr>
            <w:tcW w:w="1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8A80160">
            <w:pPr>
              <w:jc w:val="center"/>
            </w:pPr>
            <w:r>
              <w:rPr>
                <w:rFonts w:ascii="Arial" w:hAnsi="Arial" w:eastAsia="Arial" w:cs="Arial"/>
                <w:b w:val="0"/>
                <w:bCs w:val="0"/>
                <w:color w:val="000000"/>
                <w:sz w:val="20"/>
                <w:szCs w:val="20"/>
              </w:rPr>
              <w:t>#2</w:t>
            </w:r>
          </w:p>
        </w:tc>
      </w:tr>
      <w:tr w14:paraId="29E76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vAlign w:val="center"/>
          </w:tcPr>
          <w:p w14:paraId="3C81912D">
            <w:pPr>
              <w:jc w:val="left"/>
            </w:pPr>
            <w:r>
              <w:rPr>
                <w:rFonts w:ascii="Arial" w:hAnsi="Arial" w:eastAsia="Arial" w:cs="Arial"/>
                <w:b w:val="0"/>
                <w:bCs w:val="0"/>
                <w:color w:val="000000"/>
                <w:sz w:val="20"/>
                <w:szCs w:val="20"/>
              </w:rPr>
              <w:t>SARIMA(2,1,2)(1,1,1)[52]</w:t>
            </w:r>
          </w:p>
        </w:tc>
        <w:tc>
          <w:tcPr>
            <w:tcW w:w="15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vAlign w:val="center"/>
          </w:tcPr>
          <w:p w14:paraId="0258AAC5">
            <w:pPr>
              <w:jc w:val="center"/>
            </w:pPr>
            <w:r>
              <w:rPr>
                <w:rFonts w:ascii="Arial" w:hAnsi="Arial" w:eastAsia="Arial" w:cs="Arial"/>
                <w:b w:val="0"/>
                <w:bCs w:val="0"/>
                <w:color w:val="000000"/>
                <w:sz w:val="20"/>
                <w:szCs w:val="20"/>
              </w:rPr>
              <w:t>58.70</w:t>
            </w:r>
          </w:p>
        </w:tc>
        <w:tc>
          <w:tcPr>
            <w:tcW w:w="15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vAlign w:val="center"/>
          </w:tcPr>
          <w:p w14:paraId="467DC43E">
            <w:pPr>
              <w:jc w:val="center"/>
            </w:pPr>
            <w:r>
              <w:rPr>
                <w:rFonts w:ascii="Arial" w:hAnsi="Arial" w:eastAsia="Arial" w:cs="Arial"/>
                <w:b w:val="0"/>
                <w:bCs w:val="0"/>
                <w:color w:val="000000"/>
                <w:sz w:val="20"/>
                <w:szCs w:val="20"/>
              </w:rPr>
              <w:t>94.12</w:t>
            </w:r>
          </w:p>
        </w:tc>
        <w:tc>
          <w:tcPr>
            <w:tcW w:w="156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vAlign w:val="center"/>
          </w:tcPr>
          <w:p w14:paraId="06A6BF33">
            <w:pPr>
              <w:jc w:val="center"/>
            </w:pPr>
            <w:r>
              <w:rPr>
                <w:rFonts w:ascii="Arial" w:hAnsi="Arial" w:eastAsia="Arial" w:cs="Arial"/>
                <w:b w:val="0"/>
                <w:bCs w:val="0"/>
                <w:color w:val="000000"/>
                <w:sz w:val="20"/>
                <w:szCs w:val="20"/>
              </w:rPr>
              <w:t>22.6%</w:t>
            </w:r>
          </w:p>
        </w:tc>
        <w:tc>
          <w:tcPr>
            <w:tcW w:w="16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vAlign w:val="center"/>
          </w:tcPr>
          <w:p w14:paraId="1C749CB9">
            <w:pPr>
              <w:jc w:val="center"/>
            </w:pPr>
            <w:r>
              <w:rPr>
                <w:rFonts w:ascii="Arial" w:hAnsi="Arial" w:eastAsia="Arial" w:cs="Arial"/>
                <w:b w:val="0"/>
                <w:bCs w:val="0"/>
                <w:color w:val="000000"/>
                <w:sz w:val="20"/>
                <w:szCs w:val="20"/>
              </w:rPr>
              <w:t>#3</w:t>
            </w:r>
          </w:p>
        </w:tc>
      </w:tr>
      <w:tr w14:paraId="305C8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D293D37">
            <w:pPr>
              <w:jc w:val="left"/>
            </w:pPr>
            <w:r>
              <w:rPr>
                <w:rFonts w:ascii="Arial" w:hAnsi="Arial" w:eastAsia="Arial" w:cs="Arial"/>
                <w:b w:val="0"/>
                <w:bCs w:val="0"/>
                <w:color w:val="000000"/>
                <w:sz w:val="20"/>
                <w:szCs w:val="20"/>
              </w:rPr>
              <w:t>Holt-Winters (seasonal)</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72A3608">
            <w:pPr>
              <w:jc w:val="center"/>
            </w:pPr>
            <w:r>
              <w:rPr>
                <w:rFonts w:ascii="Arial" w:hAnsi="Arial" w:eastAsia="Arial" w:cs="Arial"/>
                <w:b w:val="0"/>
                <w:bCs w:val="0"/>
                <w:color w:val="000000"/>
                <w:sz w:val="20"/>
                <w:szCs w:val="20"/>
              </w:rPr>
              <w:t>60.20</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4E14D87">
            <w:pPr>
              <w:jc w:val="center"/>
            </w:pPr>
            <w:r>
              <w:rPr>
                <w:rFonts w:ascii="Arial" w:hAnsi="Arial" w:eastAsia="Arial" w:cs="Arial"/>
                <w:b w:val="0"/>
                <w:bCs w:val="0"/>
                <w:color w:val="000000"/>
                <w:sz w:val="20"/>
                <w:szCs w:val="20"/>
              </w:rPr>
              <w:t>97.63</w:t>
            </w:r>
          </w:p>
        </w:tc>
        <w:tc>
          <w:tcPr>
            <w:tcW w:w="1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A47CF55">
            <w:pPr>
              <w:jc w:val="center"/>
            </w:pPr>
            <w:r>
              <w:rPr>
                <w:rFonts w:ascii="Arial" w:hAnsi="Arial" w:eastAsia="Arial" w:cs="Arial"/>
                <w:b w:val="0"/>
                <w:bCs w:val="0"/>
                <w:color w:val="000000"/>
                <w:sz w:val="20"/>
                <w:szCs w:val="20"/>
              </w:rPr>
              <w:t>23.3%</w:t>
            </w:r>
          </w:p>
        </w:tc>
        <w:tc>
          <w:tcPr>
            <w:tcW w:w="1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EC19045">
            <w:pPr>
              <w:jc w:val="center"/>
            </w:pPr>
            <w:r>
              <w:rPr>
                <w:rFonts w:ascii="Arial" w:hAnsi="Arial" w:eastAsia="Arial" w:cs="Arial"/>
                <w:b w:val="0"/>
                <w:bCs w:val="0"/>
                <w:color w:val="000000"/>
                <w:sz w:val="20"/>
                <w:szCs w:val="20"/>
              </w:rPr>
              <w:t>#4</w:t>
            </w:r>
          </w:p>
        </w:tc>
      </w:tr>
      <w:tr w14:paraId="06590E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vAlign w:val="center"/>
          </w:tcPr>
          <w:p w14:paraId="40B3E121">
            <w:pPr>
              <w:jc w:val="left"/>
            </w:pPr>
            <w:r>
              <w:rPr>
                <w:rFonts w:ascii="Arial" w:hAnsi="Arial" w:eastAsia="Arial" w:cs="Arial"/>
                <w:b w:val="0"/>
                <w:bCs w:val="0"/>
                <w:color w:val="000000"/>
                <w:sz w:val="20"/>
                <w:szCs w:val="20"/>
              </w:rPr>
              <w:t>ARIMA(2,1,2)</w:t>
            </w:r>
          </w:p>
        </w:tc>
        <w:tc>
          <w:tcPr>
            <w:tcW w:w="15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vAlign w:val="center"/>
          </w:tcPr>
          <w:p w14:paraId="3D9AC78F">
            <w:pPr>
              <w:jc w:val="center"/>
            </w:pPr>
            <w:r>
              <w:rPr>
                <w:rFonts w:ascii="Arial" w:hAnsi="Arial" w:eastAsia="Arial" w:cs="Arial"/>
                <w:b w:val="0"/>
                <w:bCs w:val="0"/>
                <w:color w:val="000000"/>
                <w:sz w:val="20"/>
                <w:szCs w:val="20"/>
              </w:rPr>
              <w:t>81.36</w:t>
            </w:r>
          </w:p>
        </w:tc>
        <w:tc>
          <w:tcPr>
            <w:tcW w:w="15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vAlign w:val="center"/>
          </w:tcPr>
          <w:p w14:paraId="3DA3344C">
            <w:pPr>
              <w:jc w:val="center"/>
            </w:pPr>
            <w:r>
              <w:rPr>
                <w:rFonts w:ascii="Arial" w:hAnsi="Arial" w:eastAsia="Arial" w:cs="Arial"/>
                <w:b w:val="0"/>
                <w:bCs w:val="0"/>
                <w:color w:val="000000"/>
                <w:sz w:val="20"/>
                <w:szCs w:val="20"/>
              </w:rPr>
              <w:t>99.44</w:t>
            </w:r>
          </w:p>
        </w:tc>
        <w:tc>
          <w:tcPr>
            <w:tcW w:w="156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vAlign w:val="center"/>
          </w:tcPr>
          <w:p w14:paraId="113CF16A">
            <w:pPr>
              <w:jc w:val="center"/>
            </w:pPr>
            <w:r>
              <w:rPr>
                <w:rFonts w:ascii="Arial" w:hAnsi="Arial" w:eastAsia="Arial" w:cs="Arial"/>
                <w:b w:val="0"/>
                <w:bCs w:val="0"/>
                <w:color w:val="000000"/>
                <w:sz w:val="20"/>
                <w:szCs w:val="20"/>
              </w:rPr>
              <w:t>28.1%</w:t>
            </w:r>
          </w:p>
        </w:tc>
        <w:tc>
          <w:tcPr>
            <w:tcW w:w="16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vAlign w:val="center"/>
          </w:tcPr>
          <w:p w14:paraId="75010293">
            <w:pPr>
              <w:jc w:val="center"/>
            </w:pPr>
            <w:r>
              <w:rPr>
                <w:rFonts w:ascii="Arial" w:hAnsi="Arial" w:eastAsia="Arial" w:cs="Arial"/>
                <w:b w:val="0"/>
                <w:bCs w:val="0"/>
                <w:color w:val="000000"/>
                <w:sz w:val="20"/>
                <w:szCs w:val="20"/>
              </w:rPr>
              <w:t>#5</w:t>
            </w:r>
          </w:p>
        </w:tc>
      </w:tr>
      <w:tr w14:paraId="3B150E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F3D2B43">
            <w:pPr>
              <w:jc w:val="left"/>
            </w:pPr>
            <w:r>
              <w:rPr>
                <w:rFonts w:ascii="Arial" w:hAnsi="Arial" w:eastAsia="Arial" w:cs="Arial"/>
                <w:b w:val="0"/>
                <w:bCs w:val="0"/>
                <w:color w:val="000000"/>
                <w:sz w:val="20"/>
                <w:szCs w:val="20"/>
              </w:rPr>
              <w:t>Naive (last value)</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154CB05">
            <w:pPr>
              <w:jc w:val="center"/>
            </w:pPr>
            <w:r>
              <w:rPr>
                <w:rFonts w:ascii="Arial" w:hAnsi="Arial" w:eastAsia="Arial" w:cs="Arial"/>
                <w:b w:val="0"/>
                <w:bCs w:val="0"/>
                <w:color w:val="000000"/>
                <w:sz w:val="20"/>
                <w:szCs w:val="20"/>
              </w:rPr>
              <w:t>96.85</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55323F0">
            <w:pPr>
              <w:jc w:val="center"/>
            </w:pPr>
            <w:r>
              <w:rPr>
                <w:rFonts w:ascii="Arial" w:hAnsi="Arial" w:eastAsia="Arial" w:cs="Arial"/>
                <w:b w:val="0"/>
                <w:bCs w:val="0"/>
                <w:color w:val="000000"/>
                <w:sz w:val="20"/>
                <w:szCs w:val="20"/>
              </w:rPr>
              <w:t>114.98</w:t>
            </w:r>
          </w:p>
        </w:tc>
        <w:tc>
          <w:tcPr>
            <w:tcW w:w="1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9DB57E6">
            <w:pPr>
              <w:jc w:val="center"/>
            </w:pPr>
            <w:r>
              <w:rPr>
                <w:rFonts w:ascii="Arial" w:hAnsi="Arial" w:eastAsia="Arial" w:cs="Arial"/>
                <w:b w:val="0"/>
                <w:bCs w:val="0"/>
                <w:color w:val="000000"/>
                <w:sz w:val="20"/>
                <w:szCs w:val="20"/>
              </w:rPr>
              <w:t>33.2%</w:t>
            </w:r>
          </w:p>
        </w:tc>
        <w:tc>
          <w:tcPr>
            <w:tcW w:w="1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E166288">
            <w:pPr>
              <w:jc w:val="center"/>
            </w:pPr>
            <w:r>
              <w:rPr>
                <w:rFonts w:ascii="Arial" w:hAnsi="Arial" w:eastAsia="Arial" w:cs="Arial"/>
                <w:b w:val="0"/>
                <w:bCs w:val="0"/>
                <w:color w:val="000000"/>
                <w:sz w:val="20"/>
                <w:szCs w:val="20"/>
              </w:rPr>
              <w:t>#6</w:t>
            </w:r>
          </w:p>
        </w:tc>
      </w:tr>
    </w:tbl>
    <w:p w14:paraId="4EB89126">
      <w:pPr>
        <w:spacing w:before="80" w:after="80"/>
        <w:jc w:val="left"/>
      </w:pPr>
    </w:p>
    <w:p w14:paraId="065373FD">
      <w:pPr>
        <w:spacing w:before="80" w:after="80"/>
        <w:jc w:val="left"/>
      </w:pPr>
      <w:r>
        <w:rPr>
          <w:rFonts w:ascii="Arial" w:hAnsi="Arial" w:eastAsia="Arial" w:cs="Arial"/>
          <w:b w:val="0"/>
          <w:bCs w:val="0"/>
          <w:color w:val="666666"/>
          <w:sz w:val="18"/>
          <w:szCs w:val="18"/>
        </w:rPr>
        <w:t>Note: Green row = best overall model. MAE = Mean Absolute Error, RMSE = Root Mean Squared Error, MAPE = Mean Absolute Percentage Error.</w:t>
      </w:r>
    </w:p>
    <w:p w14:paraId="2C38CA2C">
      <w:pPr>
        <w:pStyle w:val="2"/>
        <w:spacing w:before="320" w:after="160"/>
      </w:pPr>
      <w:r>
        <w:rPr>
          <w:rFonts w:ascii="Arial" w:hAnsi="Arial" w:eastAsia="Arial" w:cs="Arial"/>
          <w:b/>
          <w:bCs/>
          <w:color w:val="1F4E79"/>
          <w:sz w:val="32"/>
          <w:szCs w:val="32"/>
        </w:rPr>
        <w:t>9. LSTM Neural Network Implementation</w:t>
      </w:r>
    </w:p>
    <w:p w14:paraId="5A4D4E3B">
      <w:pPr>
        <w:spacing w:before="80" w:after="80"/>
        <w:jc w:val="left"/>
      </w:pPr>
      <w:r>
        <w:rPr>
          <w:rFonts w:ascii="Arial" w:hAnsi="Arial" w:eastAsia="Arial" w:cs="Arial"/>
          <w:b w:val="0"/>
          <w:bCs w:val="0"/>
          <w:color w:val="000000"/>
          <w:sz w:val="20"/>
          <w:szCs w:val="20"/>
        </w:rPr>
        <w:t>A recurrent sequence model was trained on total weekly pharmaceutical demand using a 12-week input window. The model learns from the pattern of the previous 12 weeks to predict the next week. Training data was scaled to [0,1] to prevent numeric magnitude bias, and the last 24 weeks were reserved as an out-of-sample test set.</w:t>
      </w:r>
    </w:p>
    <w:p w14:paraId="07C61C01">
      <w:pPr>
        <w:spacing w:before="80" w:after="80"/>
        <w:jc w:val="left"/>
      </w:pPr>
      <w:r>
        <w:rPr>
          <w:rFonts w:ascii="Arial" w:hAnsi="Arial" w:eastAsia="Arial" w:cs="Arial"/>
          <w:b w:val="0"/>
          <w:bCs w:val="0"/>
          <w:color w:val="000000"/>
          <w:sz w:val="20"/>
          <w:szCs w:val="20"/>
        </w:rPr>
        <w:t>LSTM results on the test set: MAE = 57.96, RMSE = 87.22, MAPE = 21.0%. The model ranked 2nd overall by RMSE — 2.5 units below the best (4-week Moving Average at RMSE 85.76).</w:t>
      </w:r>
    </w:p>
    <w:p w14:paraId="7661E812">
      <w:pPr>
        <w:spacing w:before="80" w:after="80"/>
        <w:jc w:val="left"/>
      </w:pPr>
      <w:r>
        <w:rPr>
          <w:rFonts w:ascii="Arial" w:hAnsi="Arial" w:eastAsia="Arial" w:cs="Arial"/>
          <w:b w:val="0"/>
          <w:bCs w:val="0"/>
          <w:color w:val="000000"/>
          <w:sz w:val="20"/>
          <w:szCs w:val="20"/>
        </w:rPr>
        <w:t>LSTM advantage: it achieved the lowest MAPE (21.0%), meaning it makes the smallest average percentage error. For businesses that care about proportional accuracy across weeks with very different demand levels, LSTM performs best.</w:t>
      </w:r>
    </w:p>
    <w:p w14:paraId="113FA705">
      <w:pPr>
        <w:spacing w:before="80" w:after="80"/>
        <w:jc w:val="left"/>
      </w:pPr>
      <w:r>
        <w:rPr>
          <w:rFonts w:ascii="Arial" w:hAnsi="Arial" w:eastAsia="Arial" w:cs="Arial"/>
          <w:b w:val="0"/>
          <w:bCs w:val="0"/>
          <w:color w:val="000000"/>
          <w:sz w:val="20"/>
          <w:szCs w:val="20"/>
        </w:rPr>
        <w:t>LSTM limitation: it is harder to explain to non-technical management, needs more data to avoid overfitting, and offers no interpretable seasonal or trend components. If the simpler 4-week moving average satisfies the accuracy requirement, prefer it for operational deployability.</w:t>
      </w:r>
    </w:p>
    <w:p w14:paraId="27F8BF05">
      <w:r>
        <w:br w:type="page"/>
      </w:r>
    </w:p>
    <w:p w14:paraId="0F58F081">
      <w:pPr>
        <w:pStyle w:val="2"/>
        <w:spacing w:before="320" w:after="160"/>
      </w:pPr>
      <w:r>
        <w:rPr>
          <w:rFonts w:ascii="Arial" w:hAnsi="Arial" w:eastAsia="Arial" w:cs="Arial"/>
          <w:b/>
          <w:bCs/>
          <w:color w:val="1F4E79"/>
          <w:sz w:val="32"/>
          <w:szCs w:val="32"/>
        </w:rPr>
        <w:t>10. Per-Product Model Selection</w:t>
      </w:r>
    </w:p>
    <w:p w14:paraId="42E78475">
      <w:pPr>
        <w:spacing w:before="80" w:after="80"/>
        <w:jc w:val="left"/>
      </w:pPr>
      <w:r>
        <w:rPr>
          <w:rFonts w:ascii="Arial" w:hAnsi="Arial" w:eastAsia="Arial" w:cs="Arial"/>
          <w:b w:val="0"/>
          <w:bCs w:val="0"/>
          <w:color w:val="000000"/>
          <w:sz w:val="20"/>
          <w:szCs w:val="20"/>
        </w:rPr>
        <w:t>No single model is best for all product categories. The table below shows the best model for each product based on RMSE on a 16-week held-out test set, along with the 15-day forward demand forecast.</w:t>
      </w:r>
    </w:p>
    <w:p w14:paraId="7ED7C254">
      <w:pPr>
        <w:spacing w:before="80" w:after="80"/>
        <w:jc w:val="left"/>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3000"/>
        <w:gridCol w:w="1560"/>
        <w:gridCol w:w="1200"/>
        <w:gridCol w:w="1200"/>
        <w:gridCol w:w="1200"/>
      </w:tblGrid>
      <w:tr w14:paraId="14B3C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vAlign w:val="center"/>
          </w:tcPr>
          <w:p w14:paraId="1238946D">
            <w:pPr>
              <w:jc w:val="left"/>
            </w:pPr>
            <w:r>
              <w:rPr>
                <w:rFonts w:ascii="Arial" w:hAnsi="Arial" w:eastAsia="Arial" w:cs="Arial"/>
                <w:b/>
                <w:bCs/>
                <w:color w:val="FFFFFF"/>
                <w:sz w:val="20"/>
                <w:szCs w:val="20"/>
              </w:rPr>
              <w:t>Code</w:t>
            </w:r>
          </w:p>
        </w:tc>
        <w:tc>
          <w:tcPr>
            <w:tcW w:w="300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vAlign w:val="center"/>
          </w:tcPr>
          <w:p w14:paraId="314B74F6">
            <w:pPr>
              <w:jc w:val="left"/>
            </w:pPr>
            <w:r>
              <w:rPr>
                <w:rFonts w:ascii="Arial" w:hAnsi="Arial" w:eastAsia="Arial" w:cs="Arial"/>
                <w:b/>
                <w:bCs/>
                <w:color w:val="FFFFFF"/>
                <w:sz w:val="20"/>
                <w:szCs w:val="20"/>
              </w:rPr>
              <w:t>Product (what it is)</w:t>
            </w:r>
          </w:p>
        </w:tc>
        <w:tc>
          <w:tcPr>
            <w:tcW w:w="156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vAlign w:val="center"/>
          </w:tcPr>
          <w:p w14:paraId="222EBA9C">
            <w:pPr>
              <w:jc w:val="left"/>
            </w:pPr>
            <w:r>
              <w:rPr>
                <w:rFonts w:ascii="Arial" w:hAnsi="Arial" w:eastAsia="Arial" w:cs="Arial"/>
                <w:b/>
                <w:bCs/>
                <w:color w:val="FFFFFF"/>
                <w:sz w:val="20"/>
                <w:szCs w:val="20"/>
              </w:rPr>
              <w:t>Best Model</w:t>
            </w:r>
          </w:p>
        </w:tc>
        <w:tc>
          <w:tcPr>
            <w:tcW w:w="120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vAlign w:val="center"/>
          </w:tcPr>
          <w:p w14:paraId="38662FA8">
            <w:pPr>
              <w:jc w:val="center"/>
            </w:pPr>
            <w:r>
              <w:rPr>
                <w:rFonts w:ascii="Arial" w:hAnsi="Arial" w:eastAsia="Arial" w:cs="Arial"/>
                <w:b/>
                <w:bCs/>
                <w:color w:val="FFFFFF"/>
                <w:sz w:val="20"/>
                <w:szCs w:val="20"/>
              </w:rPr>
              <w:t>MAE</w:t>
            </w:r>
          </w:p>
        </w:tc>
        <w:tc>
          <w:tcPr>
            <w:tcW w:w="120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vAlign w:val="center"/>
          </w:tcPr>
          <w:p w14:paraId="29E9318D">
            <w:pPr>
              <w:jc w:val="center"/>
            </w:pPr>
            <w:r>
              <w:rPr>
                <w:rFonts w:ascii="Arial" w:hAnsi="Arial" w:eastAsia="Arial" w:cs="Arial"/>
                <w:b/>
                <w:bCs/>
                <w:color w:val="FFFFFF"/>
                <w:sz w:val="20"/>
                <w:szCs w:val="20"/>
              </w:rPr>
              <w:t>RMSE</w:t>
            </w:r>
          </w:p>
        </w:tc>
        <w:tc>
          <w:tcPr>
            <w:tcW w:w="120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vAlign w:val="center"/>
          </w:tcPr>
          <w:p w14:paraId="5C55ABC5">
            <w:pPr>
              <w:jc w:val="center"/>
            </w:pPr>
            <w:r>
              <w:rPr>
                <w:rFonts w:ascii="Arial" w:hAnsi="Arial" w:eastAsia="Arial" w:cs="Arial"/>
                <w:b/>
                <w:bCs/>
                <w:color w:val="FFFFFF"/>
                <w:sz w:val="20"/>
                <w:szCs w:val="20"/>
              </w:rPr>
              <w:t>15-Day Forecast</w:t>
            </w:r>
          </w:p>
        </w:tc>
      </w:tr>
      <w:tr w14:paraId="278C9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vAlign w:val="center"/>
          </w:tcPr>
          <w:p w14:paraId="5319E3C3">
            <w:pPr>
              <w:jc w:val="left"/>
            </w:pPr>
            <w:r>
              <w:rPr>
                <w:rFonts w:ascii="Arial" w:hAnsi="Arial" w:eastAsia="Arial" w:cs="Arial"/>
                <w:b/>
                <w:bCs/>
                <w:color w:val="000000"/>
                <w:sz w:val="20"/>
                <w:szCs w:val="20"/>
              </w:rPr>
              <w:t>M01AB</w:t>
            </w:r>
          </w:p>
        </w:tc>
        <w:tc>
          <w:tcPr>
            <w:tcW w:w="30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vAlign w:val="center"/>
          </w:tcPr>
          <w:p w14:paraId="57C0EB7F">
            <w:pPr>
              <w:jc w:val="left"/>
            </w:pPr>
            <w:r>
              <w:rPr>
                <w:rFonts w:ascii="Arial" w:hAnsi="Arial" w:eastAsia="Arial" w:cs="Arial"/>
                <w:b w:val="0"/>
                <w:bCs w:val="0"/>
                <w:color w:val="000000"/>
                <w:sz w:val="20"/>
                <w:szCs w:val="20"/>
              </w:rPr>
              <w:t>Anti-inflammatory (antirheumatic)</w:t>
            </w:r>
          </w:p>
        </w:tc>
        <w:tc>
          <w:tcPr>
            <w:tcW w:w="156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vAlign w:val="center"/>
          </w:tcPr>
          <w:p w14:paraId="5164CB27">
            <w:pPr>
              <w:jc w:val="left"/>
            </w:pPr>
            <w:r>
              <w:rPr>
                <w:rFonts w:ascii="Arial" w:hAnsi="Arial" w:eastAsia="Arial" w:cs="Arial"/>
                <w:b w:val="0"/>
                <w:bCs w:val="0"/>
                <w:color w:val="000000"/>
                <w:sz w:val="20"/>
                <w:szCs w:val="20"/>
              </w:rPr>
              <w:t>ARIMA</w:t>
            </w:r>
          </w:p>
        </w:tc>
        <w:tc>
          <w:tcPr>
            <w:tcW w:w="12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vAlign w:val="center"/>
          </w:tcPr>
          <w:p w14:paraId="7C308001">
            <w:pPr>
              <w:jc w:val="center"/>
            </w:pPr>
            <w:r>
              <w:rPr>
                <w:rFonts w:ascii="Arial" w:hAnsi="Arial" w:eastAsia="Arial" w:cs="Arial"/>
                <w:b w:val="0"/>
                <w:bCs w:val="0"/>
                <w:color w:val="000000"/>
                <w:sz w:val="20"/>
                <w:szCs w:val="20"/>
              </w:rPr>
              <w:t>6.47</w:t>
            </w:r>
          </w:p>
        </w:tc>
        <w:tc>
          <w:tcPr>
            <w:tcW w:w="12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vAlign w:val="center"/>
          </w:tcPr>
          <w:p w14:paraId="384244AA">
            <w:pPr>
              <w:jc w:val="center"/>
            </w:pPr>
            <w:r>
              <w:rPr>
                <w:rFonts w:ascii="Arial" w:hAnsi="Arial" w:eastAsia="Arial" w:cs="Arial"/>
                <w:b w:val="0"/>
                <w:bCs w:val="0"/>
                <w:color w:val="000000"/>
                <w:sz w:val="20"/>
                <w:szCs w:val="20"/>
              </w:rPr>
              <w:t>9.23</w:t>
            </w:r>
          </w:p>
        </w:tc>
        <w:tc>
          <w:tcPr>
            <w:tcW w:w="12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vAlign w:val="center"/>
          </w:tcPr>
          <w:p w14:paraId="4DA5E901">
            <w:pPr>
              <w:jc w:val="center"/>
            </w:pPr>
            <w:r>
              <w:rPr>
                <w:rFonts w:ascii="Arial" w:hAnsi="Arial" w:eastAsia="Arial" w:cs="Arial"/>
                <w:b w:val="0"/>
                <w:bCs w:val="0"/>
                <w:color w:val="000000"/>
                <w:sz w:val="20"/>
                <w:szCs w:val="20"/>
              </w:rPr>
              <w:t>82.9 units</w:t>
            </w:r>
          </w:p>
        </w:tc>
      </w:tr>
      <w:tr w14:paraId="1D8A6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044E51C">
            <w:pPr>
              <w:jc w:val="left"/>
            </w:pPr>
            <w:r>
              <w:rPr>
                <w:rFonts w:ascii="Arial" w:hAnsi="Arial" w:eastAsia="Arial" w:cs="Arial"/>
                <w:b/>
                <w:bCs/>
                <w:color w:val="000000"/>
                <w:sz w:val="20"/>
                <w:szCs w:val="20"/>
              </w:rPr>
              <w:t>M01AE</w:t>
            </w:r>
          </w:p>
        </w:tc>
        <w:tc>
          <w:tcPr>
            <w:tcW w:w="3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48ADE55">
            <w:pPr>
              <w:jc w:val="left"/>
            </w:pPr>
            <w:r>
              <w:rPr>
                <w:rFonts w:ascii="Arial" w:hAnsi="Arial" w:eastAsia="Arial" w:cs="Arial"/>
                <w:b w:val="0"/>
                <w:bCs w:val="0"/>
                <w:color w:val="000000"/>
                <w:sz w:val="20"/>
                <w:szCs w:val="20"/>
              </w:rPr>
              <w:t>Anti-inflammatory (propionic acid)</w:t>
            </w:r>
          </w:p>
        </w:tc>
        <w:tc>
          <w:tcPr>
            <w:tcW w:w="1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2899097">
            <w:pPr>
              <w:jc w:val="left"/>
            </w:pPr>
            <w:r>
              <w:rPr>
                <w:rFonts w:ascii="Arial" w:hAnsi="Arial" w:eastAsia="Arial" w:cs="Arial"/>
                <w:b w:val="0"/>
                <w:bCs w:val="0"/>
                <w:color w:val="000000"/>
                <w:sz w:val="20"/>
                <w:szCs w:val="20"/>
              </w:rPr>
              <w:t>4-week MA</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4FCA6AC">
            <w:pPr>
              <w:jc w:val="center"/>
            </w:pPr>
            <w:r>
              <w:rPr>
                <w:rFonts w:ascii="Arial" w:hAnsi="Arial" w:eastAsia="Arial" w:cs="Arial"/>
                <w:b w:val="0"/>
                <w:bCs w:val="0"/>
                <w:color w:val="000000"/>
                <w:sz w:val="20"/>
                <w:szCs w:val="20"/>
              </w:rPr>
              <w:t>5.67</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3AA42EC">
            <w:pPr>
              <w:jc w:val="center"/>
            </w:pPr>
            <w:r>
              <w:rPr>
                <w:rFonts w:ascii="Arial" w:hAnsi="Arial" w:eastAsia="Arial" w:cs="Arial"/>
                <w:b w:val="0"/>
                <w:bCs w:val="0"/>
                <w:color w:val="000000"/>
                <w:sz w:val="20"/>
                <w:szCs w:val="20"/>
              </w:rPr>
              <w:t>7.05</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057F3ED">
            <w:pPr>
              <w:jc w:val="center"/>
            </w:pPr>
            <w:r>
              <w:rPr>
                <w:rFonts w:ascii="Arial" w:hAnsi="Arial" w:eastAsia="Arial" w:cs="Arial"/>
                <w:b w:val="0"/>
                <w:bCs w:val="0"/>
                <w:color w:val="000000"/>
                <w:sz w:val="20"/>
                <w:szCs w:val="20"/>
              </w:rPr>
              <w:t>58.6 units</w:t>
            </w:r>
          </w:p>
        </w:tc>
      </w:tr>
      <w:tr w14:paraId="5B586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vAlign w:val="center"/>
          </w:tcPr>
          <w:p w14:paraId="53343584">
            <w:pPr>
              <w:jc w:val="left"/>
            </w:pPr>
            <w:r>
              <w:rPr>
                <w:rFonts w:ascii="Arial" w:hAnsi="Arial" w:eastAsia="Arial" w:cs="Arial"/>
                <w:b/>
                <w:bCs/>
                <w:color w:val="000000"/>
                <w:sz w:val="20"/>
                <w:szCs w:val="20"/>
              </w:rPr>
              <w:t>N02BA</w:t>
            </w:r>
          </w:p>
        </w:tc>
        <w:tc>
          <w:tcPr>
            <w:tcW w:w="30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vAlign w:val="center"/>
          </w:tcPr>
          <w:p w14:paraId="77BC6304">
            <w:pPr>
              <w:jc w:val="left"/>
            </w:pPr>
            <w:r>
              <w:rPr>
                <w:rFonts w:ascii="Arial" w:hAnsi="Arial" w:eastAsia="Arial" w:cs="Arial"/>
                <w:b w:val="0"/>
                <w:bCs w:val="0"/>
                <w:color w:val="000000"/>
                <w:sz w:val="20"/>
                <w:szCs w:val="20"/>
              </w:rPr>
              <w:t>Analgesics (salicylic acid / aspirin-type)</w:t>
            </w:r>
          </w:p>
        </w:tc>
        <w:tc>
          <w:tcPr>
            <w:tcW w:w="156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vAlign w:val="center"/>
          </w:tcPr>
          <w:p w14:paraId="06161EB5">
            <w:pPr>
              <w:jc w:val="left"/>
            </w:pPr>
            <w:r>
              <w:rPr>
                <w:rFonts w:ascii="Arial" w:hAnsi="Arial" w:eastAsia="Arial" w:cs="Arial"/>
                <w:b w:val="0"/>
                <w:bCs w:val="0"/>
                <w:color w:val="000000"/>
                <w:sz w:val="20"/>
                <w:szCs w:val="20"/>
              </w:rPr>
              <w:t>Naive</w:t>
            </w:r>
          </w:p>
        </w:tc>
        <w:tc>
          <w:tcPr>
            <w:tcW w:w="12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vAlign w:val="center"/>
          </w:tcPr>
          <w:p w14:paraId="48E39E2A">
            <w:pPr>
              <w:jc w:val="center"/>
            </w:pPr>
            <w:r>
              <w:rPr>
                <w:rFonts w:ascii="Arial" w:hAnsi="Arial" w:eastAsia="Arial" w:cs="Arial"/>
                <w:b w:val="0"/>
                <w:bCs w:val="0"/>
                <w:color w:val="000000"/>
                <w:sz w:val="20"/>
                <w:szCs w:val="20"/>
              </w:rPr>
              <w:t>4.00</w:t>
            </w:r>
          </w:p>
        </w:tc>
        <w:tc>
          <w:tcPr>
            <w:tcW w:w="12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vAlign w:val="center"/>
          </w:tcPr>
          <w:p w14:paraId="086A31EF">
            <w:pPr>
              <w:jc w:val="center"/>
            </w:pPr>
            <w:r>
              <w:rPr>
                <w:rFonts w:ascii="Arial" w:hAnsi="Arial" w:eastAsia="Arial" w:cs="Arial"/>
                <w:b w:val="0"/>
                <w:bCs w:val="0"/>
                <w:color w:val="000000"/>
                <w:sz w:val="20"/>
                <w:szCs w:val="20"/>
              </w:rPr>
              <w:t>5.69</w:t>
            </w:r>
          </w:p>
        </w:tc>
        <w:tc>
          <w:tcPr>
            <w:tcW w:w="12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vAlign w:val="center"/>
          </w:tcPr>
          <w:p w14:paraId="2975297D">
            <w:pPr>
              <w:jc w:val="center"/>
            </w:pPr>
            <w:r>
              <w:rPr>
                <w:rFonts w:ascii="Arial" w:hAnsi="Arial" w:eastAsia="Arial" w:cs="Arial"/>
                <w:b w:val="0"/>
                <w:bCs w:val="0"/>
                <w:color w:val="000000"/>
                <w:sz w:val="20"/>
                <w:szCs w:val="20"/>
              </w:rPr>
              <w:t>43.3 units</w:t>
            </w:r>
          </w:p>
        </w:tc>
      </w:tr>
      <w:tr w14:paraId="22F34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AFB7876">
            <w:pPr>
              <w:jc w:val="left"/>
            </w:pPr>
            <w:r>
              <w:rPr>
                <w:rFonts w:ascii="Arial" w:hAnsi="Arial" w:eastAsia="Arial" w:cs="Arial"/>
                <w:b/>
                <w:bCs/>
                <w:color w:val="000000"/>
                <w:sz w:val="20"/>
                <w:szCs w:val="20"/>
              </w:rPr>
              <w:t>N02BE</w:t>
            </w:r>
          </w:p>
        </w:tc>
        <w:tc>
          <w:tcPr>
            <w:tcW w:w="3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68CFA42">
            <w:pPr>
              <w:jc w:val="left"/>
            </w:pPr>
            <w:r>
              <w:rPr>
                <w:rFonts w:ascii="Arial" w:hAnsi="Arial" w:eastAsia="Arial" w:cs="Arial"/>
                <w:b w:val="0"/>
                <w:bCs w:val="0"/>
                <w:color w:val="000000"/>
                <w:sz w:val="20"/>
                <w:szCs w:val="20"/>
              </w:rPr>
              <w:t>Analgesics (anilides / paracetamol)</w:t>
            </w:r>
          </w:p>
        </w:tc>
        <w:tc>
          <w:tcPr>
            <w:tcW w:w="1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AE86916">
            <w:pPr>
              <w:jc w:val="left"/>
            </w:pPr>
            <w:r>
              <w:rPr>
                <w:rFonts w:ascii="Arial" w:hAnsi="Arial" w:eastAsia="Arial" w:cs="Arial"/>
                <w:b w:val="0"/>
                <w:bCs w:val="0"/>
                <w:color w:val="000000"/>
                <w:sz w:val="20"/>
                <w:szCs w:val="20"/>
              </w:rPr>
              <w:t>SARIMA</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F349D3A">
            <w:pPr>
              <w:jc w:val="center"/>
            </w:pPr>
            <w:r>
              <w:rPr>
                <w:rFonts w:ascii="Arial" w:hAnsi="Arial" w:eastAsia="Arial" w:cs="Arial"/>
                <w:b w:val="0"/>
                <w:bCs w:val="0"/>
                <w:color w:val="000000"/>
                <w:sz w:val="20"/>
                <w:szCs w:val="20"/>
              </w:rPr>
              <w:t>40.28</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AF7D4CE">
            <w:pPr>
              <w:jc w:val="center"/>
            </w:pPr>
            <w:r>
              <w:rPr>
                <w:rFonts w:ascii="Arial" w:hAnsi="Arial" w:eastAsia="Arial" w:cs="Arial"/>
                <w:b w:val="0"/>
                <w:bCs w:val="0"/>
                <w:color w:val="000000"/>
                <w:sz w:val="20"/>
                <w:szCs w:val="20"/>
              </w:rPr>
              <w:t>56.18</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161F3A8">
            <w:pPr>
              <w:jc w:val="center"/>
            </w:pPr>
            <w:r>
              <w:rPr>
                <w:rFonts w:ascii="Arial" w:hAnsi="Arial" w:eastAsia="Arial" w:cs="Arial"/>
                <w:b/>
                <w:bCs/>
                <w:color w:val="000000"/>
                <w:sz w:val="20"/>
                <w:szCs w:val="20"/>
              </w:rPr>
              <w:t>593.6 units</w:t>
            </w:r>
          </w:p>
        </w:tc>
      </w:tr>
      <w:tr w14:paraId="0D26E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vAlign w:val="center"/>
          </w:tcPr>
          <w:p w14:paraId="6FF39321">
            <w:pPr>
              <w:jc w:val="left"/>
            </w:pPr>
            <w:r>
              <w:rPr>
                <w:rFonts w:ascii="Arial" w:hAnsi="Arial" w:eastAsia="Arial" w:cs="Arial"/>
                <w:b/>
                <w:bCs/>
                <w:color w:val="000000"/>
                <w:sz w:val="20"/>
                <w:szCs w:val="20"/>
              </w:rPr>
              <w:t>N05B</w:t>
            </w:r>
          </w:p>
        </w:tc>
        <w:tc>
          <w:tcPr>
            <w:tcW w:w="30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vAlign w:val="center"/>
          </w:tcPr>
          <w:p w14:paraId="499846A2">
            <w:pPr>
              <w:jc w:val="left"/>
            </w:pPr>
            <w:r>
              <w:rPr>
                <w:rFonts w:ascii="Arial" w:hAnsi="Arial" w:eastAsia="Arial" w:cs="Arial"/>
                <w:b w:val="0"/>
                <w:bCs w:val="0"/>
                <w:color w:val="000000"/>
                <w:sz w:val="20"/>
                <w:szCs w:val="20"/>
              </w:rPr>
              <w:t>Anxiolytics (anti-anxiety)</w:t>
            </w:r>
          </w:p>
        </w:tc>
        <w:tc>
          <w:tcPr>
            <w:tcW w:w="156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vAlign w:val="center"/>
          </w:tcPr>
          <w:p w14:paraId="4092628A">
            <w:pPr>
              <w:jc w:val="left"/>
            </w:pPr>
            <w:r>
              <w:rPr>
                <w:rFonts w:ascii="Arial" w:hAnsi="Arial" w:eastAsia="Arial" w:cs="Arial"/>
                <w:b w:val="0"/>
                <w:bCs w:val="0"/>
                <w:color w:val="000000"/>
                <w:sz w:val="20"/>
                <w:szCs w:val="20"/>
              </w:rPr>
              <w:t>ARIMA</w:t>
            </w:r>
          </w:p>
        </w:tc>
        <w:tc>
          <w:tcPr>
            <w:tcW w:w="12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vAlign w:val="center"/>
          </w:tcPr>
          <w:p w14:paraId="2658D426">
            <w:pPr>
              <w:jc w:val="center"/>
            </w:pPr>
            <w:r>
              <w:rPr>
                <w:rFonts w:ascii="Arial" w:hAnsi="Arial" w:eastAsia="Arial" w:cs="Arial"/>
                <w:b w:val="0"/>
                <w:bCs w:val="0"/>
                <w:color w:val="000000"/>
                <w:sz w:val="20"/>
                <w:szCs w:val="20"/>
              </w:rPr>
              <w:t>9.22</w:t>
            </w:r>
          </w:p>
        </w:tc>
        <w:tc>
          <w:tcPr>
            <w:tcW w:w="12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vAlign w:val="center"/>
          </w:tcPr>
          <w:p w14:paraId="4ECF6FA6">
            <w:pPr>
              <w:jc w:val="center"/>
            </w:pPr>
            <w:r>
              <w:rPr>
                <w:rFonts w:ascii="Arial" w:hAnsi="Arial" w:eastAsia="Arial" w:cs="Arial"/>
                <w:b w:val="0"/>
                <w:bCs w:val="0"/>
                <w:color w:val="000000"/>
                <w:sz w:val="20"/>
                <w:szCs w:val="20"/>
              </w:rPr>
              <w:t>12.06</w:t>
            </w:r>
          </w:p>
        </w:tc>
        <w:tc>
          <w:tcPr>
            <w:tcW w:w="12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vAlign w:val="center"/>
          </w:tcPr>
          <w:p w14:paraId="0BFD0536">
            <w:pPr>
              <w:jc w:val="center"/>
            </w:pPr>
            <w:r>
              <w:rPr>
                <w:rFonts w:ascii="Arial" w:hAnsi="Arial" w:eastAsia="Arial" w:cs="Arial"/>
                <w:b w:val="0"/>
                <w:bCs w:val="0"/>
                <w:color w:val="000000"/>
                <w:sz w:val="20"/>
                <w:szCs w:val="20"/>
              </w:rPr>
              <w:t>137.3 units</w:t>
            </w:r>
          </w:p>
        </w:tc>
      </w:tr>
      <w:tr w14:paraId="57AC4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F0559EA">
            <w:pPr>
              <w:jc w:val="left"/>
            </w:pPr>
            <w:r>
              <w:rPr>
                <w:rFonts w:ascii="Arial" w:hAnsi="Arial" w:eastAsia="Arial" w:cs="Arial"/>
                <w:b/>
                <w:bCs/>
                <w:color w:val="000000"/>
                <w:sz w:val="20"/>
                <w:szCs w:val="20"/>
              </w:rPr>
              <w:t>N05C</w:t>
            </w:r>
          </w:p>
        </w:tc>
        <w:tc>
          <w:tcPr>
            <w:tcW w:w="3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E00767A">
            <w:pPr>
              <w:jc w:val="left"/>
            </w:pPr>
            <w:r>
              <w:rPr>
                <w:rFonts w:ascii="Arial" w:hAnsi="Arial" w:eastAsia="Arial" w:cs="Arial"/>
                <w:b w:val="0"/>
                <w:bCs w:val="0"/>
                <w:color w:val="000000"/>
                <w:sz w:val="20"/>
                <w:szCs w:val="20"/>
              </w:rPr>
              <w:t>Hypnotics and sedatives</w:t>
            </w:r>
          </w:p>
        </w:tc>
        <w:tc>
          <w:tcPr>
            <w:tcW w:w="1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1818ECD">
            <w:pPr>
              <w:jc w:val="left"/>
            </w:pPr>
            <w:r>
              <w:rPr>
                <w:rFonts w:ascii="Arial" w:hAnsi="Arial" w:eastAsia="Arial" w:cs="Arial"/>
                <w:b w:val="0"/>
                <w:bCs w:val="0"/>
                <w:color w:val="000000"/>
                <w:sz w:val="20"/>
                <w:szCs w:val="20"/>
              </w:rPr>
              <w:t>ARIMA</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1AE6747">
            <w:pPr>
              <w:jc w:val="center"/>
            </w:pPr>
            <w:r>
              <w:rPr>
                <w:rFonts w:ascii="Arial" w:hAnsi="Arial" w:eastAsia="Arial" w:cs="Arial"/>
                <w:b w:val="0"/>
                <w:bCs w:val="0"/>
                <w:color w:val="000000"/>
                <w:sz w:val="20"/>
                <w:szCs w:val="20"/>
              </w:rPr>
              <w:t>2.11</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44E8629">
            <w:pPr>
              <w:jc w:val="center"/>
            </w:pPr>
            <w:r>
              <w:rPr>
                <w:rFonts w:ascii="Arial" w:hAnsi="Arial" w:eastAsia="Arial" w:cs="Arial"/>
                <w:b w:val="0"/>
                <w:bCs w:val="0"/>
                <w:color w:val="000000"/>
                <w:sz w:val="20"/>
                <w:szCs w:val="20"/>
              </w:rPr>
              <w:t>2.70</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980097C">
            <w:pPr>
              <w:jc w:val="center"/>
            </w:pPr>
            <w:r>
              <w:rPr>
                <w:rFonts w:ascii="Arial" w:hAnsi="Arial" w:eastAsia="Arial" w:cs="Arial"/>
                <w:b w:val="0"/>
                <w:bCs w:val="0"/>
                <w:color w:val="000000"/>
                <w:sz w:val="20"/>
                <w:szCs w:val="20"/>
              </w:rPr>
              <w:t>10.4 units</w:t>
            </w:r>
          </w:p>
        </w:tc>
      </w:tr>
      <w:tr w14:paraId="0E342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vAlign w:val="center"/>
          </w:tcPr>
          <w:p w14:paraId="17374B38">
            <w:pPr>
              <w:jc w:val="left"/>
            </w:pPr>
            <w:r>
              <w:rPr>
                <w:rFonts w:ascii="Arial" w:hAnsi="Arial" w:eastAsia="Arial" w:cs="Arial"/>
                <w:b/>
                <w:bCs/>
                <w:color w:val="000000"/>
                <w:sz w:val="20"/>
                <w:szCs w:val="20"/>
              </w:rPr>
              <w:t>R03</w:t>
            </w:r>
          </w:p>
        </w:tc>
        <w:tc>
          <w:tcPr>
            <w:tcW w:w="30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vAlign w:val="center"/>
          </w:tcPr>
          <w:p w14:paraId="31B3218E">
            <w:pPr>
              <w:jc w:val="left"/>
            </w:pPr>
            <w:r>
              <w:rPr>
                <w:rFonts w:ascii="Arial" w:hAnsi="Arial" w:eastAsia="Arial" w:cs="Arial"/>
                <w:b w:val="0"/>
                <w:bCs w:val="0"/>
                <w:color w:val="000000"/>
                <w:sz w:val="20"/>
                <w:szCs w:val="20"/>
              </w:rPr>
              <w:t>Airway disease drugs (asthma/COPD)</w:t>
            </w:r>
          </w:p>
        </w:tc>
        <w:tc>
          <w:tcPr>
            <w:tcW w:w="156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vAlign w:val="center"/>
          </w:tcPr>
          <w:p w14:paraId="322BB212">
            <w:pPr>
              <w:jc w:val="left"/>
            </w:pPr>
            <w:r>
              <w:rPr>
                <w:rFonts w:ascii="Arial" w:hAnsi="Arial" w:eastAsia="Arial" w:cs="Arial"/>
                <w:b w:val="0"/>
                <w:bCs w:val="0"/>
                <w:color w:val="000000"/>
                <w:sz w:val="20"/>
                <w:szCs w:val="20"/>
              </w:rPr>
              <w:t>Naive</w:t>
            </w:r>
          </w:p>
        </w:tc>
        <w:tc>
          <w:tcPr>
            <w:tcW w:w="12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vAlign w:val="center"/>
          </w:tcPr>
          <w:p w14:paraId="05DEBAC2">
            <w:pPr>
              <w:jc w:val="center"/>
            </w:pPr>
            <w:r>
              <w:rPr>
                <w:rFonts w:ascii="Arial" w:hAnsi="Arial" w:eastAsia="Arial" w:cs="Arial"/>
                <w:b w:val="0"/>
                <w:bCs w:val="0"/>
                <w:color w:val="000000"/>
                <w:sz w:val="20"/>
                <w:szCs w:val="20"/>
              </w:rPr>
              <w:t>11.78</w:t>
            </w:r>
          </w:p>
        </w:tc>
        <w:tc>
          <w:tcPr>
            <w:tcW w:w="12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vAlign w:val="center"/>
          </w:tcPr>
          <w:p w14:paraId="2983E9F1">
            <w:pPr>
              <w:jc w:val="center"/>
            </w:pPr>
            <w:r>
              <w:rPr>
                <w:rFonts w:ascii="Arial" w:hAnsi="Arial" w:eastAsia="Arial" w:cs="Arial"/>
                <w:b w:val="0"/>
                <w:bCs w:val="0"/>
                <w:color w:val="000000"/>
                <w:sz w:val="20"/>
                <w:szCs w:val="20"/>
              </w:rPr>
              <w:t>14.58</w:t>
            </w:r>
          </w:p>
        </w:tc>
        <w:tc>
          <w:tcPr>
            <w:tcW w:w="12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vAlign w:val="center"/>
          </w:tcPr>
          <w:p w14:paraId="57950D6E">
            <w:pPr>
              <w:jc w:val="center"/>
            </w:pPr>
            <w:r>
              <w:rPr>
                <w:rFonts w:ascii="Arial" w:hAnsi="Arial" w:eastAsia="Arial" w:cs="Arial"/>
                <w:b w:val="0"/>
                <w:bCs w:val="0"/>
                <w:color w:val="000000"/>
                <w:sz w:val="20"/>
                <w:szCs w:val="20"/>
              </w:rPr>
              <w:t>66.7 units</w:t>
            </w:r>
          </w:p>
        </w:tc>
      </w:tr>
      <w:tr w14:paraId="478A2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E6965EA">
            <w:pPr>
              <w:jc w:val="left"/>
            </w:pPr>
            <w:r>
              <w:rPr>
                <w:rFonts w:ascii="Arial" w:hAnsi="Arial" w:eastAsia="Arial" w:cs="Arial"/>
                <w:b/>
                <w:bCs/>
                <w:color w:val="000000"/>
                <w:sz w:val="20"/>
                <w:szCs w:val="20"/>
              </w:rPr>
              <w:t>R06</w:t>
            </w:r>
          </w:p>
        </w:tc>
        <w:tc>
          <w:tcPr>
            <w:tcW w:w="3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083BFA7">
            <w:pPr>
              <w:jc w:val="left"/>
            </w:pPr>
            <w:r>
              <w:rPr>
                <w:rFonts w:ascii="Arial" w:hAnsi="Arial" w:eastAsia="Arial" w:cs="Arial"/>
                <w:b w:val="0"/>
                <w:bCs w:val="0"/>
                <w:color w:val="000000"/>
                <w:sz w:val="20"/>
                <w:szCs w:val="20"/>
              </w:rPr>
              <w:t>Antihistamines</w:t>
            </w:r>
          </w:p>
        </w:tc>
        <w:tc>
          <w:tcPr>
            <w:tcW w:w="1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EA74061">
            <w:pPr>
              <w:jc w:val="left"/>
            </w:pPr>
            <w:r>
              <w:rPr>
                <w:rFonts w:ascii="Arial" w:hAnsi="Arial" w:eastAsia="Arial" w:cs="Arial"/>
                <w:b w:val="0"/>
                <w:bCs w:val="0"/>
                <w:color w:val="000000"/>
                <w:sz w:val="20"/>
                <w:szCs w:val="20"/>
              </w:rPr>
              <w:t>SARIMA</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E158138">
            <w:pPr>
              <w:jc w:val="center"/>
            </w:pPr>
            <w:r>
              <w:rPr>
                <w:rFonts w:ascii="Arial" w:hAnsi="Arial" w:eastAsia="Arial" w:cs="Arial"/>
                <w:b w:val="0"/>
                <w:bCs w:val="0"/>
                <w:color w:val="000000"/>
                <w:sz w:val="20"/>
                <w:szCs w:val="20"/>
              </w:rPr>
              <w:t>4.80</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F3697D5">
            <w:pPr>
              <w:jc w:val="center"/>
            </w:pPr>
            <w:r>
              <w:rPr>
                <w:rFonts w:ascii="Arial" w:hAnsi="Arial" w:eastAsia="Arial" w:cs="Arial"/>
                <w:b w:val="0"/>
                <w:bCs w:val="0"/>
                <w:color w:val="000000"/>
                <w:sz w:val="20"/>
                <w:szCs w:val="20"/>
              </w:rPr>
              <w:t>6.87</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9F60B1C">
            <w:pPr>
              <w:jc w:val="center"/>
            </w:pPr>
            <w:r>
              <w:rPr>
                <w:rFonts w:ascii="Arial" w:hAnsi="Arial" w:eastAsia="Arial" w:cs="Arial"/>
                <w:b w:val="0"/>
                <w:bCs w:val="0"/>
                <w:color w:val="000000"/>
                <w:sz w:val="20"/>
                <w:szCs w:val="20"/>
              </w:rPr>
              <w:t>31.1 units</w:t>
            </w:r>
          </w:p>
        </w:tc>
      </w:tr>
    </w:tbl>
    <w:p w14:paraId="08155605">
      <w:pPr>
        <w:spacing w:before="80" w:after="80"/>
        <w:jc w:val="left"/>
      </w:pPr>
    </w:p>
    <w:p w14:paraId="7710C7B8">
      <w:pPr>
        <w:spacing w:before="80" w:after="80"/>
        <w:jc w:val="left"/>
      </w:pPr>
      <w:r>
        <w:rPr>
          <w:rFonts w:ascii="Arial" w:hAnsi="Arial" w:eastAsia="Arial" w:cs="Arial"/>
          <w:b w:val="0"/>
          <w:bCs w:val="0"/>
          <w:color w:val="444444"/>
          <w:sz w:val="20"/>
          <w:szCs w:val="20"/>
        </w:rPr>
        <w:t>Insight: SARIMA wins for N02BE (the highest-volume product) and R06 (seasonal allergy drug). ARIMA wins for M01AB, N05B, and N05C. Simple models (Naive or 4-week MA) win for N02BA and M01AE, where demand is relatively stable. This confirms that model complexity should be chosen per product, not applied uniformly.</w:t>
      </w:r>
    </w:p>
    <w:p w14:paraId="43A5AED7">
      <w:pPr>
        <w:pStyle w:val="2"/>
        <w:spacing w:before="320" w:after="160"/>
      </w:pPr>
      <w:r>
        <w:rPr>
          <w:rFonts w:ascii="Arial" w:hAnsi="Arial" w:eastAsia="Arial" w:cs="Arial"/>
          <w:b/>
          <w:bCs/>
          <w:color w:val="1F4E79"/>
          <w:sz w:val="32"/>
          <w:szCs w:val="32"/>
        </w:rPr>
        <w:t>11. Next 15-Day Sales Forecast by Product</w:t>
      </w:r>
    </w:p>
    <w:p w14:paraId="2B4EAAFA">
      <w:pPr>
        <w:jc w:val="center"/>
      </w:pPr>
      <w:r>
        <w:drawing>
          <wp:inline distT="0" distB="0" distL="114300" distR="114300">
            <wp:extent cx="5806440" cy="2583815"/>
            <wp:effectExtent l="0" t="0" r="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3"/>
                    <a:stretch>
                      <a:fillRect/>
                    </a:stretch>
                  </pic:blipFill>
                  <pic:spPr>
                    <a:xfrm>
                      <a:off x="0" y="0"/>
                      <a:ext cx="5806440" cy="2584275"/>
                    </a:xfrm>
                    <a:prstGeom prst="rect">
                      <a:avLst/>
                    </a:prstGeom>
                  </pic:spPr>
                </pic:pic>
              </a:graphicData>
            </a:graphic>
          </wp:inline>
        </w:drawing>
      </w:r>
    </w:p>
    <w:p w14:paraId="74EF1AC8">
      <w:pPr>
        <w:jc w:val="center"/>
      </w:pPr>
      <w:r>
        <w:rPr>
          <w:i/>
          <w:color w:val="4B5563"/>
          <w:sz w:val="18"/>
        </w:rPr>
        <w:t>Figure 10. Next 15-day sales forecast by product group.</w:t>
      </w:r>
    </w:p>
    <w:p w14:paraId="7B48DBCB">
      <w:r>
        <w:rPr>
          <w:b/>
          <w:color w:val="1F2937"/>
        </w:rPr>
        <w:t xml:space="preserve">Graph insight: </w:t>
      </w:r>
      <w:r>
        <w:rPr>
          <w:sz w:val="20"/>
        </w:rPr>
        <w:t>N02BE is the dominant near-term procurement priority, followed by N05B and M01AB. Low-volume categories such as N05C should be stocked more cautiously to avoid over-ordering.</w:t>
      </w:r>
    </w:p>
    <w:p w14:paraId="545A68D5">
      <w:pPr>
        <w:spacing w:before="80" w:after="80"/>
        <w:jc w:val="left"/>
      </w:pPr>
      <w:r>
        <w:rPr>
          <w:rFonts w:ascii="Arial" w:hAnsi="Arial" w:eastAsia="Arial" w:cs="Arial"/>
          <w:b w:val="0"/>
          <w:bCs w:val="0"/>
          <w:color w:val="000000"/>
          <w:sz w:val="20"/>
          <w:szCs w:val="20"/>
        </w:rPr>
        <w:t>The following forecast estimates expected units to sell over the next 15 days, based on each product's best model. This should be used to prioritise stock review and purchase orders.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3400"/>
        <w:gridCol w:w="2160"/>
        <w:gridCol w:w="2600"/>
      </w:tblGrid>
      <w:tr w14:paraId="6FE00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vAlign w:val="center"/>
          </w:tcPr>
          <w:p w14:paraId="12F3298A">
            <w:pPr>
              <w:jc w:val="left"/>
            </w:pPr>
            <w:r>
              <w:rPr>
                <w:rFonts w:ascii="Arial" w:hAnsi="Arial" w:eastAsia="Arial" w:cs="Arial"/>
                <w:b/>
                <w:bCs/>
                <w:color w:val="FFFFFF"/>
                <w:sz w:val="20"/>
                <w:szCs w:val="20"/>
              </w:rPr>
              <w:t>Code</w:t>
            </w:r>
          </w:p>
        </w:tc>
        <w:tc>
          <w:tcPr>
            <w:tcW w:w="340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vAlign w:val="center"/>
          </w:tcPr>
          <w:p w14:paraId="574ED7EC">
            <w:pPr>
              <w:jc w:val="left"/>
            </w:pPr>
            <w:r>
              <w:rPr>
                <w:rFonts w:ascii="Arial" w:hAnsi="Arial" w:eastAsia="Arial" w:cs="Arial"/>
                <w:b/>
                <w:bCs/>
                <w:color w:val="FFFFFF"/>
                <w:sz w:val="20"/>
                <w:szCs w:val="20"/>
              </w:rPr>
              <w:t>Product</w:t>
            </w:r>
          </w:p>
        </w:tc>
        <w:tc>
          <w:tcPr>
            <w:tcW w:w="216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vAlign w:val="center"/>
          </w:tcPr>
          <w:p w14:paraId="29E51112">
            <w:pPr>
              <w:jc w:val="center"/>
            </w:pPr>
            <w:r>
              <w:rPr>
                <w:rFonts w:ascii="Arial" w:hAnsi="Arial" w:eastAsia="Arial" w:cs="Arial"/>
                <w:b/>
                <w:bCs/>
                <w:color w:val="FFFFFF"/>
                <w:sz w:val="20"/>
                <w:szCs w:val="20"/>
              </w:rPr>
              <w:t>Forecast (15 days)</w:t>
            </w:r>
          </w:p>
        </w:tc>
        <w:tc>
          <w:tcPr>
            <w:tcW w:w="260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vAlign w:val="center"/>
          </w:tcPr>
          <w:p w14:paraId="7D09DA35">
            <w:pPr>
              <w:jc w:val="left"/>
            </w:pPr>
            <w:r>
              <w:rPr>
                <w:rFonts w:ascii="Arial" w:hAnsi="Arial" w:eastAsia="Arial" w:cs="Arial"/>
                <w:b/>
                <w:bCs/>
                <w:color w:val="FFFFFF"/>
                <w:sz w:val="20"/>
                <w:szCs w:val="20"/>
              </w:rPr>
              <w:t>Procurement Priority</w:t>
            </w:r>
          </w:p>
        </w:tc>
      </w:tr>
      <w:tr w14:paraId="0962E3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DECEA"/>
            <w:tcMar>
              <w:top w:w="80" w:type="dxa"/>
              <w:left w:w="120" w:type="dxa"/>
              <w:bottom w:w="80" w:type="dxa"/>
              <w:right w:w="120" w:type="dxa"/>
            </w:tcMar>
            <w:vAlign w:val="center"/>
          </w:tcPr>
          <w:p w14:paraId="27876B4F">
            <w:pPr>
              <w:jc w:val="left"/>
            </w:pPr>
            <w:r>
              <w:rPr>
                <w:rFonts w:ascii="Arial" w:hAnsi="Arial" w:eastAsia="Arial" w:cs="Arial"/>
                <w:b/>
                <w:bCs/>
                <w:color w:val="000000"/>
                <w:sz w:val="20"/>
                <w:szCs w:val="20"/>
              </w:rPr>
              <w:t>N02BE</w:t>
            </w:r>
          </w:p>
        </w:tc>
        <w:tc>
          <w:tcPr>
            <w:tcW w:w="3400" w:type="dxa"/>
            <w:tcBorders>
              <w:top w:val="single" w:color="CCCCCC" w:sz="0" w:space="0"/>
              <w:left w:val="single" w:color="CCCCCC" w:sz="0" w:space="0"/>
              <w:bottom w:val="single" w:color="CCCCCC" w:sz="0" w:space="0"/>
              <w:right w:val="single" w:color="CCCCCC" w:sz="0" w:space="0"/>
            </w:tcBorders>
            <w:shd w:val="clear" w:color="auto" w:fill="FDECEA"/>
            <w:tcMar>
              <w:top w:w="80" w:type="dxa"/>
              <w:left w:w="120" w:type="dxa"/>
              <w:bottom w:w="80" w:type="dxa"/>
              <w:right w:w="120" w:type="dxa"/>
            </w:tcMar>
            <w:vAlign w:val="center"/>
          </w:tcPr>
          <w:p w14:paraId="5F619B97">
            <w:pPr>
              <w:jc w:val="left"/>
            </w:pPr>
            <w:r>
              <w:rPr>
                <w:rFonts w:ascii="Arial" w:hAnsi="Arial" w:eastAsia="Arial" w:cs="Arial"/>
                <w:b w:val="0"/>
                <w:bCs w:val="0"/>
                <w:color w:val="000000"/>
                <w:sz w:val="20"/>
                <w:szCs w:val="20"/>
              </w:rPr>
              <w:t>Analgesics (anilides / paracetamol)</w:t>
            </w:r>
          </w:p>
        </w:tc>
        <w:tc>
          <w:tcPr>
            <w:tcW w:w="2160" w:type="dxa"/>
            <w:tcBorders>
              <w:top w:val="single" w:color="CCCCCC" w:sz="0" w:space="0"/>
              <w:left w:val="single" w:color="CCCCCC" w:sz="0" w:space="0"/>
              <w:bottom w:val="single" w:color="CCCCCC" w:sz="0" w:space="0"/>
              <w:right w:val="single" w:color="CCCCCC" w:sz="0" w:space="0"/>
            </w:tcBorders>
            <w:shd w:val="clear" w:color="auto" w:fill="FDECEA"/>
            <w:tcMar>
              <w:top w:w="80" w:type="dxa"/>
              <w:left w:w="120" w:type="dxa"/>
              <w:bottom w:w="80" w:type="dxa"/>
              <w:right w:w="120" w:type="dxa"/>
            </w:tcMar>
            <w:vAlign w:val="center"/>
          </w:tcPr>
          <w:p w14:paraId="01BE9AB0">
            <w:pPr>
              <w:jc w:val="center"/>
            </w:pPr>
            <w:r>
              <w:rPr>
                <w:rFonts w:ascii="Arial" w:hAnsi="Arial" w:eastAsia="Arial" w:cs="Arial"/>
                <w:b/>
                <w:bCs/>
                <w:color w:val="000000"/>
                <w:sz w:val="20"/>
                <w:szCs w:val="20"/>
              </w:rPr>
              <w:t>593.6 units</w:t>
            </w:r>
          </w:p>
        </w:tc>
        <w:tc>
          <w:tcPr>
            <w:tcW w:w="2600" w:type="dxa"/>
            <w:tcBorders>
              <w:top w:val="single" w:color="CCCCCC" w:sz="0" w:space="0"/>
              <w:left w:val="single" w:color="CCCCCC" w:sz="0" w:space="0"/>
              <w:bottom w:val="single" w:color="CCCCCC" w:sz="0" w:space="0"/>
              <w:right w:val="single" w:color="CCCCCC" w:sz="0" w:space="0"/>
            </w:tcBorders>
            <w:shd w:val="clear" w:color="auto" w:fill="FDECEA"/>
            <w:tcMar>
              <w:top w:w="80" w:type="dxa"/>
              <w:left w:w="120" w:type="dxa"/>
              <w:bottom w:w="80" w:type="dxa"/>
              <w:right w:w="120" w:type="dxa"/>
            </w:tcMar>
            <w:vAlign w:val="center"/>
          </w:tcPr>
          <w:p w14:paraId="19B89769">
            <w:pPr>
              <w:jc w:val="left"/>
            </w:pPr>
            <w:r>
              <w:rPr>
                <w:rFonts w:ascii="Arial" w:hAnsi="Arial" w:eastAsia="Arial" w:cs="Arial"/>
                <w:b w:val="0"/>
                <w:bCs w:val="0"/>
                <w:color w:val="000000"/>
                <w:sz w:val="20"/>
                <w:szCs w:val="20"/>
              </w:rPr>
              <w:t>CRITICAL — stock first</w:t>
            </w:r>
          </w:p>
        </w:tc>
      </w:tr>
      <w:tr w14:paraId="365C4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3CD"/>
            <w:tcMar>
              <w:top w:w="80" w:type="dxa"/>
              <w:left w:w="120" w:type="dxa"/>
              <w:bottom w:w="80" w:type="dxa"/>
              <w:right w:w="120" w:type="dxa"/>
            </w:tcMar>
            <w:vAlign w:val="center"/>
          </w:tcPr>
          <w:p w14:paraId="63F161C6">
            <w:pPr>
              <w:jc w:val="left"/>
            </w:pPr>
            <w:r>
              <w:rPr>
                <w:rFonts w:ascii="Arial" w:hAnsi="Arial" w:eastAsia="Arial" w:cs="Arial"/>
                <w:b/>
                <w:bCs/>
                <w:color w:val="000000"/>
                <w:sz w:val="20"/>
                <w:szCs w:val="20"/>
              </w:rPr>
              <w:t>N05B</w:t>
            </w:r>
          </w:p>
        </w:tc>
        <w:tc>
          <w:tcPr>
            <w:tcW w:w="3400" w:type="dxa"/>
            <w:tcBorders>
              <w:top w:val="single" w:color="CCCCCC" w:sz="0" w:space="0"/>
              <w:left w:val="single" w:color="CCCCCC" w:sz="0" w:space="0"/>
              <w:bottom w:val="single" w:color="CCCCCC" w:sz="0" w:space="0"/>
              <w:right w:val="single" w:color="CCCCCC" w:sz="0" w:space="0"/>
            </w:tcBorders>
            <w:shd w:val="clear" w:color="auto" w:fill="FFF3CD"/>
            <w:tcMar>
              <w:top w:w="80" w:type="dxa"/>
              <w:left w:w="120" w:type="dxa"/>
              <w:bottom w:w="80" w:type="dxa"/>
              <w:right w:w="120" w:type="dxa"/>
            </w:tcMar>
            <w:vAlign w:val="center"/>
          </w:tcPr>
          <w:p w14:paraId="0F6E9586">
            <w:pPr>
              <w:jc w:val="left"/>
            </w:pPr>
            <w:r>
              <w:rPr>
                <w:rFonts w:ascii="Arial" w:hAnsi="Arial" w:eastAsia="Arial" w:cs="Arial"/>
                <w:b w:val="0"/>
                <w:bCs w:val="0"/>
                <w:color w:val="000000"/>
                <w:sz w:val="20"/>
                <w:szCs w:val="20"/>
              </w:rPr>
              <w:t>Anxiolytics (anti-anxiety)</w:t>
            </w:r>
          </w:p>
        </w:tc>
        <w:tc>
          <w:tcPr>
            <w:tcW w:w="2160" w:type="dxa"/>
            <w:tcBorders>
              <w:top w:val="single" w:color="CCCCCC" w:sz="0" w:space="0"/>
              <w:left w:val="single" w:color="CCCCCC" w:sz="0" w:space="0"/>
              <w:bottom w:val="single" w:color="CCCCCC" w:sz="0" w:space="0"/>
              <w:right w:val="single" w:color="CCCCCC" w:sz="0" w:space="0"/>
            </w:tcBorders>
            <w:shd w:val="clear" w:color="auto" w:fill="FFF3CD"/>
            <w:tcMar>
              <w:top w:w="80" w:type="dxa"/>
              <w:left w:w="120" w:type="dxa"/>
              <w:bottom w:w="80" w:type="dxa"/>
              <w:right w:w="120" w:type="dxa"/>
            </w:tcMar>
            <w:vAlign w:val="center"/>
          </w:tcPr>
          <w:p w14:paraId="02C73647">
            <w:pPr>
              <w:jc w:val="center"/>
            </w:pPr>
            <w:r>
              <w:rPr>
                <w:rFonts w:ascii="Arial" w:hAnsi="Arial" w:eastAsia="Arial" w:cs="Arial"/>
                <w:b w:val="0"/>
                <w:bCs w:val="0"/>
                <w:color w:val="000000"/>
                <w:sz w:val="20"/>
                <w:szCs w:val="20"/>
              </w:rPr>
              <w:t>137.3 units</w:t>
            </w:r>
          </w:p>
        </w:tc>
        <w:tc>
          <w:tcPr>
            <w:tcW w:w="2600" w:type="dxa"/>
            <w:tcBorders>
              <w:top w:val="single" w:color="CCCCCC" w:sz="0" w:space="0"/>
              <w:left w:val="single" w:color="CCCCCC" w:sz="0" w:space="0"/>
              <w:bottom w:val="single" w:color="CCCCCC" w:sz="0" w:space="0"/>
              <w:right w:val="single" w:color="CCCCCC" w:sz="0" w:space="0"/>
            </w:tcBorders>
            <w:shd w:val="clear" w:color="auto" w:fill="FFF3CD"/>
            <w:tcMar>
              <w:top w:w="80" w:type="dxa"/>
              <w:left w:w="120" w:type="dxa"/>
              <w:bottom w:w="80" w:type="dxa"/>
              <w:right w:w="120" w:type="dxa"/>
            </w:tcMar>
            <w:vAlign w:val="center"/>
          </w:tcPr>
          <w:p w14:paraId="241741B0">
            <w:pPr>
              <w:jc w:val="left"/>
            </w:pPr>
            <w:r>
              <w:rPr>
                <w:rFonts w:ascii="Arial" w:hAnsi="Arial" w:eastAsia="Arial" w:cs="Arial"/>
                <w:b w:val="0"/>
                <w:bCs w:val="0"/>
                <w:color w:val="000000"/>
                <w:sz w:val="20"/>
                <w:szCs w:val="20"/>
              </w:rPr>
              <w:t>High priority</w:t>
            </w:r>
          </w:p>
        </w:tc>
      </w:tr>
      <w:tr w14:paraId="0D654D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3CD"/>
            <w:tcMar>
              <w:top w:w="80" w:type="dxa"/>
              <w:left w:w="120" w:type="dxa"/>
              <w:bottom w:w="80" w:type="dxa"/>
              <w:right w:w="120" w:type="dxa"/>
            </w:tcMar>
            <w:vAlign w:val="center"/>
          </w:tcPr>
          <w:p w14:paraId="53843F2A">
            <w:pPr>
              <w:jc w:val="left"/>
            </w:pPr>
            <w:r>
              <w:rPr>
                <w:rFonts w:ascii="Arial" w:hAnsi="Arial" w:eastAsia="Arial" w:cs="Arial"/>
                <w:b/>
                <w:bCs/>
                <w:color w:val="000000"/>
                <w:sz w:val="20"/>
                <w:szCs w:val="20"/>
              </w:rPr>
              <w:t>M01AB</w:t>
            </w:r>
          </w:p>
        </w:tc>
        <w:tc>
          <w:tcPr>
            <w:tcW w:w="3400" w:type="dxa"/>
            <w:tcBorders>
              <w:top w:val="single" w:color="CCCCCC" w:sz="0" w:space="0"/>
              <w:left w:val="single" w:color="CCCCCC" w:sz="0" w:space="0"/>
              <w:bottom w:val="single" w:color="CCCCCC" w:sz="0" w:space="0"/>
              <w:right w:val="single" w:color="CCCCCC" w:sz="0" w:space="0"/>
            </w:tcBorders>
            <w:shd w:val="clear" w:color="auto" w:fill="FFF3CD"/>
            <w:tcMar>
              <w:top w:w="80" w:type="dxa"/>
              <w:left w:w="120" w:type="dxa"/>
              <w:bottom w:w="80" w:type="dxa"/>
              <w:right w:w="120" w:type="dxa"/>
            </w:tcMar>
            <w:vAlign w:val="center"/>
          </w:tcPr>
          <w:p w14:paraId="7E264BCB">
            <w:pPr>
              <w:jc w:val="left"/>
            </w:pPr>
            <w:r>
              <w:rPr>
                <w:rFonts w:ascii="Arial" w:hAnsi="Arial" w:eastAsia="Arial" w:cs="Arial"/>
                <w:b w:val="0"/>
                <w:bCs w:val="0"/>
                <w:color w:val="000000"/>
                <w:sz w:val="20"/>
                <w:szCs w:val="20"/>
              </w:rPr>
              <w:t>Anti-inflammatory (antirheumatic)</w:t>
            </w:r>
          </w:p>
        </w:tc>
        <w:tc>
          <w:tcPr>
            <w:tcW w:w="2160" w:type="dxa"/>
            <w:tcBorders>
              <w:top w:val="single" w:color="CCCCCC" w:sz="0" w:space="0"/>
              <w:left w:val="single" w:color="CCCCCC" w:sz="0" w:space="0"/>
              <w:bottom w:val="single" w:color="CCCCCC" w:sz="0" w:space="0"/>
              <w:right w:val="single" w:color="CCCCCC" w:sz="0" w:space="0"/>
            </w:tcBorders>
            <w:shd w:val="clear" w:color="auto" w:fill="FFF3CD"/>
            <w:tcMar>
              <w:top w:w="80" w:type="dxa"/>
              <w:left w:w="120" w:type="dxa"/>
              <w:bottom w:w="80" w:type="dxa"/>
              <w:right w:w="120" w:type="dxa"/>
            </w:tcMar>
            <w:vAlign w:val="center"/>
          </w:tcPr>
          <w:p w14:paraId="2DD429E0">
            <w:pPr>
              <w:jc w:val="center"/>
            </w:pPr>
            <w:r>
              <w:rPr>
                <w:rFonts w:ascii="Arial" w:hAnsi="Arial" w:eastAsia="Arial" w:cs="Arial"/>
                <w:b w:val="0"/>
                <w:bCs w:val="0"/>
                <w:color w:val="000000"/>
                <w:sz w:val="20"/>
                <w:szCs w:val="20"/>
              </w:rPr>
              <w:t>82.9 units</w:t>
            </w:r>
          </w:p>
        </w:tc>
        <w:tc>
          <w:tcPr>
            <w:tcW w:w="2600" w:type="dxa"/>
            <w:tcBorders>
              <w:top w:val="single" w:color="CCCCCC" w:sz="0" w:space="0"/>
              <w:left w:val="single" w:color="CCCCCC" w:sz="0" w:space="0"/>
              <w:bottom w:val="single" w:color="CCCCCC" w:sz="0" w:space="0"/>
              <w:right w:val="single" w:color="CCCCCC" w:sz="0" w:space="0"/>
            </w:tcBorders>
            <w:shd w:val="clear" w:color="auto" w:fill="FFF3CD"/>
            <w:tcMar>
              <w:top w:w="80" w:type="dxa"/>
              <w:left w:w="120" w:type="dxa"/>
              <w:bottom w:w="80" w:type="dxa"/>
              <w:right w:w="120" w:type="dxa"/>
            </w:tcMar>
            <w:vAlign w:val="center"/>
          </w:tcPr>
          <w:p w14:paraId="45F4B06F">
            <w:pPr>
              <w:jc w:val="left"/>
            </w:pPr>
            <w:r>
              <w:rPr>
                <w:rFonts w:ascii="Arial" w:hAnsi="Arial" w:eastAsia="Arial" w:cs="Arial"/>
                <w:b w:val="0"/>
                <w:bCs w:val="0"/>
                <w:color w:val="000000"/>
                <w:sz w:val="20"/>
                <w:szCs w:val="20"/>
              </w:rPr>
              <w:t>High priority</w:t>
            </w:r>
          </w:p>
        </w:tc>
      </w:tr>
      <w:tr w14:paraId="315C5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613ED27">
            <w:pPr>
              <w:jc w:val="left"/>
            </w:pPr>
            <w:r>
              <w:rPr>
                <w:rFonts w:ascii="Arial" w:hAnsi="Arial" w:eastAsia="Arial" w:cs="Arial"/>
                <w:b/>
                <w:bCs/>
                <w:color w:val="000000"/>
                <w:sz w:val="20"/>
                <w:szCs w:val="20"/>
              </w:rPr>
              <w:t>R03</w:t>
            </w:r>
          </w:p>
        </w:tc>
        <w:tc>
          <w:tcPr>
            <w:tcW w:w="3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D644821">
            <w:pPr>
              <w:jc w:val="left"/>
            </w:pPr>
            <w:r>
              <w:rPr>
                <w:rFonts w:ascii="Arial" w:hAnsi="Arial" w:eastAsia="Arial" w:cs="Arial"/>
                <w:b w:val="0"/>
                <w:bCs w:val="0"/>
                <w:color w:val="000000"/>
                <w:sz w:val="20"/>
                <w:szCs w:val="20"/>
              </w:rPr>
              <w:t>Airway disease drugs (asthma/COPD)</w:t>
            </w:r>
          </w:p>
        </w:tc>
        <w:tc>
          <w:tcPr>
            <w:tcW w:w="2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1380E61">
            <w:pPr>
              <w:jc w:val="center"/>
            </w:pPr>
            <w:r>
              <w:rPr>
                <w:rFonts w:ascii="Arial" w:hAnsi="Arial" w:eastAsia="Arial" w:cs="Arial"/>
                <w:b w:val="0"/>
                <w:bCs w:val="0"/>
                <w:color w:val="000000"/>
                <w:sz w:val="20"/>
                <w:szCs w:val="20"/>
              </w:rPr>
              <w:t>66.7 units</w:t>
            </w:r>
          </w:p>
        </w:tc>
        <w:tc>
          <w:tcPr>
            <w:tcW w:w="2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E093B25">
            <w:pPr>
              <w:jc w:val="left"/>
            </w:pPr>
            <w:r>
              <w:rPr>
                <w:rFonts w:ascii="Arial" w:hAnsi="Arial" w:eastAsia="Arial" w:cs="Arial"/>
                <w:b w:val="0"/>
                <w:bCs w:val="0"/>
                <w:color w:val="000000"/>
                <w:sz w:val="20"/>
                <w:szCs w:val="20"/>
              </w:rPr>
              <w:t>Medium priority</w:t>
            </w:r>
          </w:p>
        </w:tc>
      </w:tr>
      <w:tr w14:paraId="783CF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vAlign w:val="center"/>
          </w:tcPr>
          <w:p w14:paraId="7F58E854">
            <w:pPr>
              <w:jc w:val="left"/>
            </w:pPr>
            <w:r>
              <w:rPr>
                <w:rFonts w:ascii="Arial" w:hAnsi="Arial" w:eastAsia="Arial" w:cs="Arial"/>
                <w:b/>
                <w:bCs/>
                <w:color w:val="000000"/>
                <w:sz w:val="20"/>
                <w:szCs w:val="20"/>
              </w:rPr>
              <w:t>M01AE</w:t>
            </w:r>
          </w:p>
        </w:tc>
        <w:tc>
          <w:tcPr>
            <w:tcW w:w="34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vAlign w:val="center"/>
          </w:tcPr>
          <w:p w14:paraId="736B20FB">
            <w:pPr>
              <w:jc w:val="left"/>
            </w:pPr>
            <w:r>
              <w:rPr>
                <w:rFonts w:ascii="Arial" w:hAnsi="Arial" w:eastAsia="Arial" w:cs="Arial"/>
                <w:b w:val="0"/>
                <w:bCs w:val="0"/>
                <w:color w:val="000000"/>
                <w:sz w:val="20"/>
                <w:szCs w:val="20"/>
              </w:rPr>
              <w:t>Anti-inflammatory (propionic acid)</w:t>
            </w:r>
          </w:p>
        </w:tc>
        <w:tc>
          <w:tcPr>
            <w:tcW w:w="216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vAlign w:val="center"/>
          </w:tcPr>
          <w:p w14:paraId="02E0A683">
            <w:pPr>
              <w:jc w:val="center"/>
            </w:pPr>
            <w:r>
              <w:rPr>
                <w:rFonts w:ascii="Arial" w:hAnsi="Arial" w:eastAsia="Arial" w:cs="Arial"/>
                <w:b w:val="0"/>
                <w:bCs w:val="0"/>
                <w:color w:val="000000"/>
                <w:sz w:val="20"/>
                <w:szCs w:val="20"/>
              </w:rPr>
              <w:t>58.6 units</w:t>
            </w:r>
          </w:p>
        </w:tc>
        <w:tc>
          <w:tcPr>
            <w:tcW w:w="26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vAlign w:val="center"/>
          </w:tcPr>
          <w:p w14:paraId="60D881F3">
            <w:pPr>
              <w:jc w:val="left"/>
            </w:pPr>
            <w:r>
              <w:rPr>
                <w:rFonts w:ascii="Arial" w:hAnsi="Arial" w:eastAsia="Arial" w:cs="Arial"/>
                <w:b w:val="0"/>
                <w:bCs w:val="0"/>
                <w:color w:val="000000"/>
                <w:sz w:val="20"/>
                <w:szCs w:val="20"/>
              </w:rPr>
              <w:t>Medium priority</w:t>
            </w:r>
          </w:p>
        </w:tc>
      </w:tr>
      <w:tr w14:paraId="65BAB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8A38A51">
            <w:pPr>
              <w:jc w:val="left"/>
            </w:pPr>
            <w:r>
              <w:rPr>
                <w:rFonts w:ascii="Arial" w:hAnsi="Arial" w:eastAsia="Arial" w:cs="Arial"/>
                <w:b/>
                <w:bCs/>
                <w:color w:val="000000"/>
                <w:sz w:val="20"/>
                <w:szCs w:val="20"/>
              </w:rPr>
              <w:t>N02BA</w:t>
            </w:r>
          </w:p>
        </w:tc>
        <w:tc>
          <w:tcPr>
            <w:tcW w:w="3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2C673E7">
            <w:pPr>
              <w:jc w:val="left"/>
            </w:pPr>
            <w:r>
              <w:rPr>
                <w:rFonts w:ascii="Arial" w:hAnsi="Arial" w:eastAsia="Arial" w:cs="Arial"/>
                <w:b w:val="0"/>
                <w:bCs w:val="0"/>
                <w:color w:val="000000"/>
                <w:sz w:val="20"/>
                <w:szCs w:val="20"/>
              </w:rPr>
              <w:t>Analgesics (salicylic acid / aspirin-type)</w:t>
            </w:r>
          </w:p>
        </w:tc>
        <w:tc>
          <w:tcPr>
            <w:tcW w:w="2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924540B">
            <w:pPr>
              <w:jc w:val="center"/>
            </w:pPr>
            <w:r>
              <w:rPr>
                <w:rFonts w:ascii="Arial" w:hAnsi="Arial" w:eastAsia="Arial" w:cs="Arial"/>
                <w:b w:val="0"/>
                <w:bCs w:val="0"/>
                <w:color w:val="000000"/>
                <w:sz w:val="20"/>
                <w:szCs w:val="20"/>
              </w:rPr>
              <w:t>43.3 units</w:t>
            </w:r>
          </w:p>
        </w:tc>
        <w:tc>
          <w:tcPr>
            <w:tcW w:w="2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38F232B">
            <w:pPr>
              <w:jc w:val="left"/>
            </w:pPr>
            <w:r>
              <w:rPr>
                <w:rFonts w:ascii="Arial" w:hAnsi="Arial" w:eastAsia="Arial" w:cs="Arial"/>
                <w:b w:val="0"/>
                <w:bCs w:val="0"/>
                <w:color w:val="000000"/>
                <w:sz w:val="20"/>
                <w:szCs w:val="20"/>
              </w:rPr>
              <w:t>Low priority</w:t>
            </w:r>
          </w:p>
        </w:tc>
      </w:tr>
      <w:tr w14:paraId="5356E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vAlign w:val="center"/>
          </w:tcPr>
          <w:p w14:paraId="478CFF4E">
            <w:pPr>
              <w:jc w:val="left"/>
            </w:pPr>
            <w:r>
              <w:rPr>
                <w:rFonts w:ascii="Arial" w:hAnsi="Arial" w:eastAsia="Arial" w:cs="Arial"/>
                <w:b/>
                <w:bCs/>
                <w:color w:val="000000"/>
                <w:sz w:val="20"/>
                <w:szCs w:val="20"/>
              </w:rPr>
              <w:t>R06</w:t>
            </w:r>
          </w:p>
        </w:tc>
        <w:tc>
          <w:tcPr>
            <w:tcW w:w="34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vAlign w:val="center"/>
          </w:tcPr>
          <w:p w14:paraId="02AE720F">
            <w:pPr>
              <w:jc w:val="left"/>
            </w:pPr>
            <w:r>
              <w:rPr>
                <w:rFonts w:ascii="Arial" w:hAnsi="Arial" w:eastAsia="Arial" w:cs="Arial"/>
                <w:b w:val="0"/>
                <w:bCs w:val="0"/>
                <w:color w:val="000000"/>
                <w:sz w:val="20"/>
                <w:szCs w:val="20"/>
              </w:rPr>
              <w:t>Antihistamines</w:t>
            </w:r>
          </w:p>
        </w:tc>
        <w:tc>
          <w:tcPr>
            <w:tcW w:w="216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vAlign w:val="center"/>
          </w:tcPr>
          <w:p w14:paraId="0E4F9349">
            <w:pPr>
              <w:jc w:val="center"/>
            </w:pPr>
            <w:r>
              <w:rPr>
                <w:rFonts w:ascii="Arial" w:hAnsi="Arial" w:eastAsia="Arial" w:cs="Arial"/>
                <w:b w:val="0"/>
                <w:bCs w:val="0"/>
                <w:color w:val="000000"/>
                <w:sz w:val="20"/>
                <w:szCs w:val="20"/>
              </w:rPr>
              <w:t>31.1 units</w:t>
            </w:r>
          </w:p>
        </w:tc>
        <w:tc>
          <w:tcPr>
            <w:tcW w:w="26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vAlign w:val="center"/>
          </w:tcPr>
          <w:p w14:paraId="26E11D55">
            <w:pPr>
              <w:jc w:val="left"/>
            </w:pPr>
            <w:r>
              <w:rPr>
                <w:rFonts w:ascii="Arial" w:hAnsi="Arial" w:eastAsia="Arial" w:cs="Arial"/>
                <w:b w:val="0"/>
                <w:bCs w:val="0"/>
                <w:color w:val="000000"/>
                <w:sz w:val="20"/>
                <w:szCs w:val="20"/>
              </w:rPr>
              <w:t>Low priority</w:t>
            </w:r>
          </w:p>
        </w:tc>
      </w:tr>
      <w:tr w14:paraId="1FDBF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ACC8DF6">
            <w:pPr>
              <w:jc w:val="left"/>
            </w:pPr>
            <w:r>
              <w:rPr>
                <w:rFonts w:ascii="Arial" w:hAnsi="Arial" w:eastAsia="Arial" w:cs="Arial"/>
                <w:b/>
                <w:bCs/>
                <w:color w:val="000000"/>
                <w:sz w:val="20"/>
                <w:szCs w:val="20"/>
              </w:rPr>
              <w:t>N05C</w:t>
            </w:r>
          </w:p>
        </w:tc>
        <w:tc>
          <w:tcPr>
            <w:tcW w:w="3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FB523F1">
            <w:pPr>
              <w:jc w:val="left"/>
            </w:pPr>
            <w:r>
              <w:rPr>
                <w:rFonts w:ascii="Arial" w:hAnsi="Arial" w:eastAsia="Arial" w:cs="Arial"/>
                <w:b w:val="0"/>
                <w:bCs w:val="0"/>
                <w:color w:val="000000"/>
                <w:sz w:val="20"/>
                <w:szCs w:val="20"/>
              </w:rPr>
              <w:t>Hypnotics and sedatives</w:t>
            </w:r>
          </w:p>
        </w:tc>
        <w:tc>
          <w:tcPr>
            <w:tcW w:w="2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39B2F5B">
            <w:pPr>
              <w:jc w:val="center"/>
            </w:pPr>
            <w:r>
              <w:rPr>
                <w:rFonts w:ascii="Arial" w:hAnsi="Arial" w:eastAsia="Arial" w:cs="Arial"/>
                <w:b w:val="0"/>
                <w:bCs w:val="0"/>
                <w:color w:val="000000"/>
                <w:sz w:val="20"/>
                <w:szCs w:val="20"/>
              </w:rPr>
              <w:t>10.4 units</w:t>
            </w:r>
          </w:p>
        </w:tc>
        <w:tc>
          <w:tcPr>
            <w:tcW w:w="2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3BC9A99">
            <w:pPr>
              <w:jc w:val="left"/>
            </w:pPr>
            <w:r>
              <w:rPr>
                <w:rFonts w:ascii="Arial" w:hAnsi="Arial" w:eastAsia="Arial" w:cs="Arial"/>
                <w:b w:val="0"/>
                <w:bCs w:val="0"/>
                <w:color w:val="000000"/>
                <w:sz w:val="20"/>
                <w:szCs w:val="20"/>
              </w:rPr>
              <w:t>Low priority</w:t>
            </w:r>
          </w:p>
        </w:tc>
      </w:tr>
    </w:tbl>
    <w:p w14:paraId="130886FB">
      <w:pPr>
        <w:spacing w:before="80" w:after="80"/>
        <w:jc w:val="left"/>
      </w:pPr>
    </w:p>
    <w:p w14:paraId="496E9B70">
      <w:pPr>
        <w:spacing w:before="80" w:after="80"/>
        <w:jc w:val="left"/>
      </w:pPr>
      <w:r>
        <w:rPr>
          <w:rFonts w:ascii="Arial" w:hAnsi="Arial" w:eastAsia="Arial" w:cs="Arial"/>
          <w:b/>
          <w:bCs/>
          <w:color w:val="9A0000"/>
          <w:sz w:val="20"/>
          <w:szCs w:val="20"/>
        </w:rPr>
        <w:t>N02BE (paracetamol analgesics) is the critical procurement item at ~594 units over 15 days — nearly 5x the next-highest product. Any stockout in this category directly impacts more than 49% of the pharmacy's revenue volume.</w:t>
      </w:r>
    </w:p>
    <w:p w14:paraId="4791CE39">
      <w:pPr>
        <w:pStyle w:val="2"/>
        <w:spacing w:before="320" w:after="160"/>
      </w:pPr>
      <w:r>
        <w:rPr>
          <w:rFonts w:ascii="Arial" w:hAnsi="Arial" w:eastAsia="Arial" w:cs="Arial"/>
          <w:b/>
          <w:bCs/>
          <w:color w:val="1F4E79"/>
          <w:sz w:val="32"/>
          <w:szCs w:val="32"/>
        </w:rPr>
        <w:t>12. Business Impact and Implementation Plan</w:t>
      </w:r>
    </w:p>
    <w:p w14:paraId="1B38FEE0">
      <w:pPr>
        <w:pStyle w:val="3"/>
        <w:spacing w:before="240" w:after="120"/>
      </w:pPr>
      <w:r>
        <w:rPr>
          <w:rFonts w:ascii="Arial" w:hAnsi="Arial" w:eastAsia="Arial" w:cs="Arial"/>
          <w:b/>
          <w:bCs/>
          <w:color w:val="2E75B6"/>
          <w:sz w:val="26"/>
          <w:szCs w:val="26"/>
        </w:rPr>
        <w:t>12.1 Value of improved forecasting</w:t>
      </w:r>
    </w:p>
    <w:p w14:paraId="504A9EB6">
      <w:pPr>
        <w:spacing w:before="80" w:after="80"/>
        <w:jc w:val="left"/>
      </w:pPr>
      <w:r>
        <w:rPr>
          <w:rFonts w:ascii="Arial" w:hAnsi="Arial" w:eastAsia="Arial" w:cs="Arial"/>
          <w:b w:val="0"/>
          <w:bCs w:val="0"/>
          <w:color w:val="000000"/>
          <w:sz w:val="20"/>
          <w:szCs w:val="20"/>
        </w:rPr>
        <w:t>Even a 5-10% improvement in forecast accuracy translates to measurable inventory savings: lower holding costs, reduced expiry losses, and fewer emergency re-orders. The comparison in Section 8 shows that moving from the Naive baseline to the best model reduces RMSE by 25% — from 114.98 to 85.76.</w:t>
      </w:r>
    </w:p>
    <w:p w14:paraId="5BD39BFE">
      <w:pPr>
        <w:pStyle w:val="3"/>
        <w:spacing w:before="240" w:after="120"/>
      </w:pPr>
      <w:r>
        <w:rPr>
          <w:rFonts w:ascii="Arial" w:hAnsi="Arial" w:eastAsia="Arial" w:cs="Arial"/>
          <w:b/>
          <w:bCs/>
          <w:color w:val="2E75B6"/>
          <w:sz w:val="26"/>
          <w:szCs w:val="26"/>
        </w:rPr>
        <w:t>12.2 Implementation matrix</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3760"/>
        <w:gridCol w:w="3200"/>
      </w:tblGrid>
      <w:tr w14:paraId="5B62AE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vAlign w:val="center"/>
          </w:tcPr>
          <w:p w14:paraId="10009CEA">
            <w:pPr>
              <w:jc w:val="left"/>
            </w:pPr>
            <w:r>
              <w:rPr>
                <w:rFonts w:ascii="Arial" w:hAnsi="Arial" w:eastAsia="Arial" w:cs="Arial"/>
                <w:b/>
                <w:bCs/>
                <w:color w:val="FFFFFF"/>
                <w:sz w:val="20"/>
                <w:szCs w:val="20"/>
              </w:rPr>
              <w:t>Business Area</w:t>
            </w:r>
          </w:p>
        </w:tc>
        <w:tc>
          <w:tcPr>
            <w:tcW w:w="376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vAlign w:val="center"/>
          </w:tcPr>
          <w:p w14:paraId="0AF5B3D4">
            <w:pPr>
              <w:jc w:val="left"/>
            </w:pPr>
            <w:r>
              <w:rPr>
                <w:rFonts w:ascii="Arial" w:hAnsi="Arial" w:eastAsia="Arial" w:cs="Arial"/>
                <w:b/>
                <w:bCs/>
                <w:color w:val="FFFFFF"/>
                <w:sz w:val="20"/>
                <w:szCs w:val="20"/>
              </w:rPr>
              <w:t>Action</w:t>
            </w:r>
          </w:p>
        </w:tc>
        <w:tc>
          <w:tcPr>
            <w:tcW w:w="320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vAlign w:val="center"/>
          </w:tcPr>
          <w:p w14:paraId="04247B15">
            <w:pPr>
              <w:jc w:val="left"/>
            </w:pPr>
            <w:r>
              <w:rPr>
                <w:rFonts w:ascii="Arial" w:hAnsi="Arial" w:eastAsia="Arial" w:cs="Arial"/>
                <w:b/>
                <w:bCs/>
                <w:color w:val="FFFFFF"/>
                <w:sz w:val="20"/>
                <w:szCs w:val="20"/>
              </w:rPr>
              <w:t>Expected Outcome</w:t>
            </w:r>
          </w:p>
        </w:tc>
      </w:tr>
      <w:tr w14:paraId="77D29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vAlign w:val="center"/>
          </w:tcPr>
          <w:p w14:paraId="12F6257A">
            <w:pPr>
              <w:jc w:val="left"/>
            </w:pPr>
            <w:r>
              <w:rPr>
                <w:rFonts w:ascii="Arial" w:hAnsi="Arial" w:eastAsia="Arial" w:cs="Arial"/>
                <w:b w:val="0"/>
                <w:bCs w:val="0"/>
                <w:color w:val="000000"/>
                <w:sz w:val="20"/>
                <w:szCs w:val="20"/>
              </w:rPr>
              <w:t>Weekly procurement</w:t>
            </w:r>
          </w:p>
        </w:tc>
        <w:tc>
          <w:tcPr>
            <w:tcW w:w="376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vAlign w:val="center"/>
          </w:tcPr>
          <w:p w14:paraId="5B65321B">
            <w:pPr>
              <w:jc w:val="left"/>
            </w:pPr>
            <w:r>
              <w:rPr>
                <w:rFonts w:ascii="Arial" w:hAnsi="Arial" w:eastAsia="Arial" w:cs="Arial"/>
                <w:b w:val="0"/>
                <w:bCs w:val="0"/>
                <w:color w:val="000000"/>
                <w:sz w:val="20"/>
                <w:szCs w:val="20"/>
              </w:rPr>
              <w:t>Run rolling 4-week MA forecast for total demand</w:t>
            </w:r>
          </w:p>
        </w:tc>
        <w:tc>
          <w:tcPr>
            <w:tcW w:w="32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vAlign w:val="center"/>
          </w:tcPr>
          <w:p w14:paraId="5333728B">
            <w:pPr>
              <w:jc w:val="left"/>
            </w:pPr>
            <w:r>
              <w:rPr>
                <w:rFonts w:ascii="Arial" w:hAnsi="Arial" w:eastAsia="Arial" w:cs="Arial"/>
                <w:b w:val="0"/>
                <w:bCs w:val="0"/>
                <w:color w:val="000000"/>
                <w:sz w:val="20"/>
                <w:szCs w:val="20"/>
              </w:rPr>
              <w:t>Lower overstock and stockout risk</w:t>
            </w:r>
          </w:p>
        </w:tc>
      </w:tr>
      <w:tr w14:paraId="08066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64DDAF6">
            <w:pPr>
              <w:jc w:val="left"/>
            </w:pPr>
            <w:r>
              <w:rPr>
                <w:rFonts w:ascii="Arial" w:hAnsi="Arial" w:eastAsia="Arial" w:cs="Arial"/>
                <w:b w:val="0"/>
                <w:bCs w:val="0"/>
                <w:color w:val="000000"/>
                <w:sz w:val="20"/>
                <w:szCs w:val="20"/>
              </w:rPr>
              <w:t>N02BE specifically</w:t>
            </w:r>
          </w:p>
        </w:tc>
        <w:tc>
          <w:tcPr>
            <w:tcW w:w="3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4A51AD6">
            <w:pPr>
              <w:jc w:val="left"/>
            </w:pPr>
            <w:r>
              <w:rPr>
                <w:rFonts w:ascii="Arial" w:hAnsi="Arial" w:eastAsia="Arial" w:cs="Arial"/>
                <w:b w:val="0"/>
                <w:bCs w:val="0"/>
                <w:color w:val="000000"/>
                <w:sz w:val="20"/>
                <w:szCs w:val="20"/>
              </w:rPr>
              <w:t>Use SARIMA — captures seasonal demand cycles</w:t>
            </w:r>
          </w:p>
        </w:tc>
        <w:tc>
          <w:tcPr>
            <w:tcW w:w="3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EDCB82C">
            <w:pPr>
              <w:jc w:val="left"/>
            </w:pPr>
            <w:r>
              <w:rPr>
                <w:rFonts w:ascii="Arial" w:hAnsi="Arial" w:eastAsia="Arial" w:cs="Arial"/>
                <w:b w:val="0"/>
                <w:bCs w:val="0"/>
                <w:color w:val="000000"/>
                <w:sz w:val="20"/>
                <w:szCs w:val="20"/>
              </w:rPr>
              <w:t>More accurate orders for highest-volume product</w:t>
            </w:r>
          </w:p>
        </w:tc>
      </w:tr>
      <w:tr w14:paraId="5B45A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vAlign w:val="center"/>
          </w:tcPr>
          <w:p w14:paraId="17785236">
            <w:pPr>
              <w:jc w:val="left"/>
            </w:pPr>
            <w:r>
              <w:rPr>
                <w:rFonts w:ascii="Arial" w:hAnsi="Arial" w:eastAsia="Arial" w:cs="Arial"/>
                <w:b w:val="0"/>
                <w:bCs w:val="0"/>
                <w:color w:val="000000"/>
                <w:sz w:val="20"/>
                <w:szCs w:val="20"/>
              </w:rPr>
              <w:t>Seasonal preparation</w:t>
            </w:r>
          </w:p>
        </w:tc>
        <w:tc>
          <w:tcPr>
            <w:tcW w:w="376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vAlign w:val="center"/>
          </w:tcPr>
          <w:p w14:paraId="5F2B8384">
            <w:pPr>
              <w:jc w:val="left"/>
            </w:pPr>
            <w:r>
              <w:rPr>
                <w:rFonts w:ascii="Arial" w:hAnsi="Arial" w:eastAsia="Arial" w:cs="Arial"/>
                <w:b w:val="0"/>
                <w:bCs w:val="0"/>
                <w:color w:val="000000"/>
                <w:sz w:val="20"/>
                <w:szCs w:val="20"/>
              </w:rPr>
              <w:t>Increase R03 stock before winter months</w:t>
            </w:r>
          </w:p>
        </w:tc>
        <w:tc>
          <w:tcPr>
            <w:tcW w:w="32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vAlign w:val="center"/>
          </w:tcPr>
          <w:p w14:paraId="031D0C28">
            <w:pPr>
              <w:jc w:val="left"/>
            </w:pPr>
            <w:r>
              <w:rPr>
                <w:rFonts w:ascii="Arial" w:hAnsi="Arial" w:eastAsia="Arial" w:cs="Arial"/>
                <w:b w:val="0"/>
                <w:bCs w:val="0"/>
                <w:color w:val="000000"/>
                <w:sz w:val="20"/>
                <w:szCs w:val="20"/>
              </w:rPr>
              <w:t>Better availability during flu season</w:t>
            </w:r>
          </w:p>
        </w:tc>
      </w:tr>
      <w:tr w14:paraId="2429F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7293212">
            <w:pPr>
              <w:jc w:val="left"/>
            </w:pPr>
            <w:r>
              <w:rPr>
                <w:rFonts w:ascii="Arial" w:hAnsi="Arial" w:eastAsia="Arial" w:cs="Arial"/>
                <w:b w:val="0"/>
                <w:bCs w:val="0"/>
                <w:color w:val="000000"/>
                <w:sz w:val="20"/>
                <w:szCs w:val="20"/>
              </w:rPr>
              <w:t>Volatile products (N05C, R03)</w:t>
            </w:r>
          </w:p>
        </w:tc>
        <w:tc>
          <w:tcPr>
            <w:tcW w:w="3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6D60FEF">
            <w:pPr>
              <w:jc w:val="left"/>
            </w:pPr>
            <w:r>
              <w:rPr>
                <w:rFonts w:ascii="Arial" w:hAnsi="Arial" w:eastAsia="Arial" w:cs="Arial"/>
                <w:b w:val="0"/>
                <w:bCs w:val="0"/>
                <w:color w:val="000000"/>
                <w:sz w:val="20"/>
                <w:szCs w:val="20"/>
              </w:rPr>
              <w:t>Add safety stock buffer + weekly manager review</w:t>
            </w:r>
          </w:p>
        </w:tc>
        <w:tc>
          <w:tcPr>
            <w:tcW w:w="3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6AF7C02">
            <w:pPr>
              <w:jc w:val="left"/>
            </w:pPr>
            <w:r>
              <w:rPr>
                <w:rFonts w:ascii="Arial" w:hAnsi="Arial" w:eastAsia="Arial" w:cs="Arial"/>
                <w:b w:val="0"/>
                <w:bCs w:val="0"/>
                <w:color w:val="000000"/>
                <w:sz w:val="20"/>
                <w:szCs w:val="20"/>
              </w:rPr>
              <w:t>Fewer surprise shortages</w:t>
            </w:r>
          </w:p>
        </w:tc>
      </w:tr>
      <w:tr w14:paraId="69A98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vAlign w:val="center"/>
          </w:tcPr>
          <w:p w14:paraId="6F083C06">
            <w:pPr>
              <w:jc w:val="left"/>
            </w:pPr>
            <w:r>
              <w:rPr>
                <w:rFonts w:ascii="Arial" w:hAnsi="Arial" w:eastAsia="Arial" w:cs="Arial"/>
                <w:b w:val="0"/>
                <w:bCs w:val="0"/>
                <w:color w:val="000000"/>
                <w:sz w:val="20"/>
                <w:szCs w:val="20"/>
              </w:rPr>
              <w:t>Forecast governance</w:t>
            </w:r>
          </w:p>
        </w:tc>
        <w:tc>
          <w:tcPr>
            <w:tcW w:w="376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vAlign w:val="center"/>
          </w:tcPr>
          <w:p w14:paraId="47EC9C41">
            <w:pPr>
              <w:jc w:val="left"/>
            </w:pPr>
            <w:r>
              <w:rPr>
                <w:rFonts w:ascii="Arial" w:hAnsi="Arial" w:eastAsia="Arial" w:cs="Arial"/>
                <w:b w:val="0"/>
                <w:bCs w:val="0"/>
                <w:color w:val="000000"/>
                <w:sz w:val="20"/>
                <w:szCs w:val="20"/>
              </w:rPr>
              <w:t>Track MAE/RMSE monthly, refresh model if error rises</w:t>
            </w:r>
          </w:p>
        </w:tc>
        <w:tc>
          <w:tcPr>
            <w:tcW w:w="32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vAlign w:val="center"/>
          </w:tcPr>
          <w:p w14:paraId="2F25B9A9">
            <w:pPr>
              <w:jc w:val="left"/>
            </w:pPr>
            <w:r>
              <w:rPr>
                <w:rFonts w:ascii="Arial" w:hAnsi="Arial" w:eastAsia="Arial" w:cs="Arial"/>
                <w:b w:val="0"/>
                <w:bCs w:val="0"/>
                <w:color w:val="000000"/>
                <w:sz w:val="20"/>
                <w:szCs w:val="20"/>
              </w:rPr>
              <w:t>Model remains reliable over time</w:t>
            </w:r>
          </w:p>
        </w:tc>
      </w:tr>
      <w:tr w14:paraId="6D562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46A5D70">
            <w:pPr>
              <w:jc w:val="left"/>
            </w:pPr>
            <w:r>
              <w:rPr>
                <w:rFonts w:ascii="Arial" w:hAnsi="Arial" w:eastAsia="Arial" w:cs="Arial"/>
                <w:b w:val="0"/>
                <w:bCs w:val="0"/>
                <w:color w:val="000000"/>
                <w:sz w:val="20"/>
                <w:szCs w:val="20"/>
              </w:rPr>
              <w:t>Future improvement</w:t>
            </w:r>
          </w:p>
        </w:tc>
        <w:tc>
          <w:tcPr>
            <w:tcW w:w="3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E436403">
            <w:pPr>
              <w:jc w:val="left"/>
            </w:pPr>
            <w:r>
              <w:rPr>
                <w:rFonts w:ascii="Arial" w:hAnsi="Arial" w:eastAsia="Arial" w:cs="Arial"/>
                <w:b w:val="0"/>
                <w:bCs w:val="0"/>
                <w:color w:val="000000"/>
                <w:sz w:val="20"/>
                <w:szCs w:val="20"/>
              </w:rPr>
              <w:t>Add weather, holidays, promotions as SARIMA exogenous inputs</w:t>
            </w:r>
          </w:p>
        </w:tc>
        <w:tc>
          <w:tcPr>
            <w:tcW w:w="3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BA18DEE">
            <w:pPr>
              <w:jc w:val="left"/>
            </w:pPr>
            <w:r>
              <w:rPr>
                <w:rFonts w:ascii="Arial" w:hAnsi="Arial" w:eastAsia="Arial" w:cs="Arial"/>
                <w:b w:val="0"/>
                <w:bCs w:val="0"/>
                <w:color w:val="000000"/>
                <w:sz w:val="20"/>
                <w:szCs w:val="20"/>
              </w:rPr>
              <w:t>Move toward explanatory forecasting</w:t>
            </w:r>
          </w:p>
        </w:tc>
      </w:tr>
    </w:tbl>
    <w:p w14:paraId="3CD24F8B">
      <w:pPr>
        <w:spacing w:before="80" w:after="80"/>
        <w:jc w:val="left"/>
      </w:pPr>
    </w:p>
    <w:p w14:paraId="40AB51C0">
      <w:r>
        <w:br w:type="page"/>
      </w:r>
    </w:p>
    <w:p w14:paraId="0D92449D">
      <w:pPr>
        <w:pStyle w:val="2"/>
        <w:spacing w:before="320" w:after="160"/>
      </w:pPr>
      <w:r>
        <w:rPr>
          <w:rFonts w:ascii="Arial" w:hAnsi="Arial" w:eastAsia="Arial" w:cs="Arial"/>
          <w:b/>
          <w:bCs/>
          <w:color w:val="1F4E79"/>
          <w:sz w:val="32"/>
          <w:szCs w:val="32"/>
        </w:rPr>
        <w:t>13. Final Model Recommendation and Verdict</w:t>
      </w:r>
    </w:p>
    <w:p w14:paraId="5F6F353D">
      <w:pPr>
        <w:pBdr>
          <w:bottom w:val="single" w:color="2E75B6" w:sz="4" w:space="1"/>
        </w:pBdr>
        <w:spacing w:before="120" w:after="120"/>
      </w:pPr>
    </w:p>
    <w:p w14:paraId="64C67E94">
      <w:pPr>
        <w:spacing w:before="80" w:after="80"/>
        <w:jc w:val="left"/>
      </w:pPr>
    </w:p>
    <w:p w14:paraId="643B7222">
      <w:pPr>
        <w:spacing w:before="120" w:after="120"/>
      </w:pPr>
      <w:r>
        <w:rPr>
          <w:rFonts w:ascii="Arial" w:hAnsi="Arial" w:eastAsia="Arial" w:cs="Arial"/>
          <w:b/>
          <w:bCs/>
          <w:color w:val="1A6B1A"/>
          <w:sz w:val="28"/>
          <w:szCs w:val="28"/>
        </w:rPr>
        <w:t>Overall winner: 4-week Moving Average</w:t>
      </w:r>
    </w:p>
    <w:p w14:paraId="13AAAD59">
      <w:pPr>
        <w:spacing w:before="80" w:after="80"/>
        <w:jc w:val="left"/>
      </w:pPr>
      <w:r>
        <w:rPr>
          <w:rFonts w:ascii="Arial" w:hAnsi="Arial" w:eastAsia="Arial" w:cs="Arial"/>
          <w:b w:val="0"/>
          <w:bCs w:val="0"/>
          <w:color w:val="000000"/>
          <w:sz w:val="20"/>
          <w:szCs w:val="20"/>
        </w:rPr>
        <w:t>For total weekly demand planning, the 4-week moving average achieved the lowest RMSE (85.76) among all six tested models. It is the recommended default model for weekly procurement decisions because it is accurate, simple to explain, easy to maintain, and robust to outliers.</w:t>
      </w:r>
    </w:p>
    <w:p w14:paraId="75FBAE79">
      <w:pPr>
        <w:spacing w:before="80" w:after="80"/>
        <w:jc w:val="left"/>
      </w:pPr>
    </w:p>
    <w:p w14:paraId="678C9283">
      <w:pPr>
        <w:spacing w:before="80" w:after="80"/>
      </w:pPr>
      <w:r>
        <w:rPr>
          <w:rFonts w:ascii="Arial" w:hAnsi="Arial" w:eastAsia="Arial" w:cs="Arial"/>
          <w:b/>
          <w:bCs/>
          <w:color w:val="1F4E79"/>
          <w:sz w:val="22"/>
          <w:szCs w:val="22"/>
        </w:rPr>
        <w:t>Head-to-head verdict — why each model placed where it did:</w:t>
      </w:r>
    </w:p>
    <w:p w14:paraId="5C4A69B5">
      <w:pPr>
        <w:spacing w:before="120" w:after="40"/>
      </w:pPr>
      <w:r>
        <w:rPr>
          <w:rFonts w:ascii="Arial" w:hAnsi="Arial" w:eastAsia="Arial" w:cs="Arial"/>
          <w:b/>
          <w:bCs/>
          <w:color w:val="1F4E79"/>
          <w:sz w:val="20"/>
          <w:szCs w:val="20"/>
        </w:rPr>
        <w:t>#1 — 4-week Moving Average (RMSE 85.76)</w:t>
      </w:r>
    </w:p>
    <w:p w14:paraId="5E9F4A13">
      <w:pPr>
        <w:spacing w:before="80" w:after="80"/>
        <w:jc w:val="left"/>
      </w:pPr>
      <w:r>
        <w:rPr>
          <w:rFonts w:ascii="Arial" w:hAnsi="Arial" w:eastAsia="Arial" w:cs="Arial"/>
          <w:b w:val="0"/>
          <w:bCs w:val="0"/>
          <w:color w:val="333333"/>
          <w:sz w:val="20"/>
          <w:szCs w:val="20"/>
        </w:rPr>
        <w:t>Best for conservative inventory planning. Smooths recent noise without overfitting. Wins because it had the lowest RMSE — the metric that penalises dangerous over/under-stocking the most. RECOMMENDED for weekly procurement.</w:t>
      </w:r>
    </w:p>
    <w:p w14:paraId="5FB37C0C">
      <w:pPr>
        <w:spacing w:before="120" w:after="40"/>
      </w:pPr>
      <w:r>
        <w:rPr>
          <w:rFonts w:ascii="Arial" w:hAnsi="Arial" w:eastAsia="Arial" w:cs="Arial"/>
          <w:b/>
          <w:bCs/>
          <w:color w:val="1F4E79"/>
          <w:sz w:val="20"/>
          <w:szCs w:val="20"/>
        </w:rPr>
        <w:t>#2 — LSTM Neural Network (RMSE 87.22)</w:t>
      </w:r>
    </w:p>
    <w:p w14:paraId="518ED544">
      <w:pPr>
        <w:spacing w:before="80" w:after="80"/>
        <w:jc w:val="left"/>
      </w:pPr>
      <w:r>
        <w:rPr>
          <w:rFonts w:ascii="Arial" w:hAnsi="Arial" w:eastAsia="Arial" w:cs="Arial"/>
          <w:b w:val="0"/>
          <w:bCs w:val="0"/>
          <w:color w:val="333333"/>
          <w:sz w:val="20"/>
          <w:szCs w:val="20"/>
        </w:rPr>
        <w:t>Best average-error model: lowest MAE (57.96) and lowest MAPE (21.0%). Loses to Moving Average only on RMSE by 1.5 units. RECOMMENDED as a challenger model — use when management wants to minimise average weekly error rather than worst-case error.</w:t>
      </w:r>
    </w:p>
    <w:p w14:paraId="4C20CFBF">
      <w:pPr>
        <w:spacing w:before="120" w:after="40"/>
      </w:pPr>
      <w:r>
        <w:rPr>
          <w:rFonts w:ascii="Arial" w:hAnsi="Arial" w:eastAsia="Arial" w:cs="Arial"/>
          <w:b/>
          <w:bCs/>
          <w:color w:val="1F4E79"/>
          <w:sz w:val="20"/>
          <w:szCs w:val="20"/>
        </w:rPr>
        <w:t>#3 — SARIMA(2,1,2)(1,1,1)[52] (RMSE 94.12)</w:t>
      </w:r>
    </w:p>
    <w:p w14:paraId="4A3A328F">
      <w:pPr>
        <w:spacing w:before="80" w:after="80"/>
        <w:jc w:val="left"/>
      </w:pPr>
      <w:r>
        <w:rPr>
          <w:rFonts w:ascii="Arial" w:hAnsi="Arial" w:eastAsia="Arial" w:cs="Arial"/>
          <w:b w:val="0"/>
          <w:bCs w:val="0"/>
          <w:color w:val="333333"/>
          <w:sz w:val="20"/>
          <w:szCs w:val="20"/>
        </w:rPr>
        <w:t>Best model for seasonal products individually (N02BE, R06). Ranks 3rd on total demand because the seasonal signal across all 8 products averages out. RECOMMENDED for product-level forecasting of seasonal categories.</w:t>
      </w:r>
    </w:p>
    <w:p w14:paraId="20CC065F">
      <w:pPr>
        <w:spacing w:before="120" w:after="40"/>
      </w:pPr>
      <w:r>
        <w:rPr>
          <w:rFonts w:ascii="Arial" w:hAnsi="Arial" w:eastAsia="Arial" w:cs="Arial"/>
          <w:b/>
          <w:bCs/>
          <w:color w:val="1F4E79"/>
          <w:sz w:val="20"/>
          <w:szCs w:val="20"/>
        </w:rPr>
        <w:t>#4 — Holt-Winters (RMSE 97.63)</w:t>
      </w:r>
    </w:p>
    <w:p w14:paraId="5FE8CA04">
      <w:pPr>
        <w:spacing w:before="80" w:after="80"/>
        <w:jc w:val="left"/>
      </w:pPr>
      <w:r>
        <w:rPr>
          <w:rFonts w:ascii="Arial" w:hAnsi="Arial" w:eastAsia="Arial" w:cs="Arial"/>
          <w:b w:val="0"/>
          <w:bCs w:val="0"/>
          <w:color w:val="333333"/>
          <w:sz w:val="20"/>
          <w:szCs w:val="20"/>
        </w:rPr>
        <w:t>Solid seasonal smoother. Loses to SARIMA because it cannot fully capture the annual 52-week seasonal cycle as precisely. USE as a simpler alternative to SARIMA when seasonal ARIMA is too complex to implement.</w:t>
      </w:r>
    </w:p>
    <w:p w14:paraId="2E2D0D3D">
      <w:pPr>
        <w:spacing w:before="120" w:after="40"/>
      </w:pPr>
      <w:r>
        <w:rPr>
          <w:rFonts w:ascii="Arial" w:hAnsi="Arial" w:eastAsia="Arial" w:cs="Arial"/>
          <w:b/>
          <w:bCs/>
          <w:color w:val="1F4E79"/>
          <w:sz w:val="20"/>
          <w:szCs w:val="20"/>
        </w:rPr>
        <w:t>#5 — ARIMA(2,1,2) (RMSE 99.44)</w:t>
      </w:r>
    </w:p>
    <w:p w14:paraId="4669109A">
      <w:pPr>
        <w:spacing w:before="80" w:after="80"/>
        <w:jc w:val="left"/>
      </w:pPr>
      <w:r>
        <w:rPr>
          <w:rFonts w:ascii="Arial" w:hAnsi="Arial" w:eastAsia="Arial" w:cs="Arial"/>
          <w:b w:val="0"/>
          <w:bCs w:val="0"/>
          <w:color w:val="333333"/>
          <w:sz w:val="20"/>
          <w:szCs w:val="20"/>
        </w:rPr>
        <w:t>Strong for non-seasonal products (M01AB, N05B). Ranks 5th on total demand because it ignores the seasonal component. USE for stable, non-seasonal product groups.</w:t>
      </w:r>
    </w:p>
    <w:p w14:paraId="730E526B">
      <w:pPr>
        <w:spacing w:before="120" w:after="40"/>
      </w:pPr>
      <w:r>
        <w:rPr>
          <w:rFonts w:ascii="Arial" w:hAnsi="Arial" w:eastAsia="Arial" w:cs="Arial"/>
          <w:b/>
          <w:bCs/>
          <w:color w:val="1F4E79"/>
          <w:sz w:val="20"/>
          <w:szCs w:val="20"/>
        </w:rPr>
        <w:t>#6 — Naive (RMSE 114.98)</w:t>
      </w:r>
    </w:p>
    <w:p w14:paraId="74743E11">
      <w:pPr>
        <w:spacing w:before="80" w:after="80"/>
        <w:jc w:val="left"/>
      </w:pPr>
      <w:r>
        <w:rPr>
          <w:rFonts w:ascii="Arial" w:hAnsi="Arial" w:eastAsia="Arial" w:cs="Arial"/>
          <w:b w:val="0"/>
          <w:bCs w:val="0"/>
          <w:color w:val="333333"/>
          <w:sz w:val="20"/>
          <w:szCs w:val="20"/>
        </w:rPr>
        <w:t>Worst performer — only included as a benchmark. The fact that every other model beats it confirms that even simple modelling adds value over no modelling.</w:t>
      </w:r>
    </w:p>
    <w:p w14:paraId="0F11BF74">
      <w:pPr>
        <w:spacing w:before="80" w:after="80"/>
        <w:jc w:val="left"/>
      </w:pPr>
    </w:p>
    <w:p w14:paraId="4B8D4660">
      <w:pPr>
        <w:pBdr>
          <w:bottom w:val="single" w:color="2E75B6" w:sz="4" w:space="1"/>
        </w:pBdr>
        <w:spacing w:before="120" w:after="120"/>
      </w:pPr>
    </w:p>
    <w:p w14:paraId="5D2FF61D">
      <w:pPr>
        <w:spacing w:before="80" w:after="80"/>
        <w:jc w:val="left"/>
      </w:pPr>
    </w:p>
    <w:p w14:paraId="25AEDDC2">
      <w:pPr>
        <w:spacing w:before="80" w:after="80"/>
      </w:pPr>
      <w:r>
        <w:rPr>
          <w:rFonts w:ascii="Arial" w:hAnsi="Arial" w:eastAsia="Arial" w:cs="Arial"/>
          <w:b/>
          <w:bCs/>
          <w:color w:val="1F4E79"/>
          <w:sz w:val="22"/>
          <w:szCs w:val="22"/>
        </w:rPr>
        <w:t>Decision rule for model selection:</w:t>
      </w:r>
    </w:p>
    <w:p w14:paraId="5D9077EB">
      <w:pPr>
        <w:pStyle w:val="16"/>
        <w:numPr>
          <w:ilvl w:val="0"/>
          <w:numId w:val="1"/>
        </w:numPr>
        <w:spacing w:before="60" w:after="60"/>
      </w:pPr>
      <w:r>
        <w:rPr>
          <w:rFonts w:ascii="Arial" w:hAnsi="Arial" w:eastAsia="Arial" w:cs="Arial"/>
          <w:sz w:val="20"/>
          <w:szCs w:val="20"/>
        </w:rPr>
        <w:t>If goal is to minimise worst-case inventory error (RMSE) → use 4-week Moving Average</w:t>
      </w:r>
    </w:p>
    <w:p w14:paraId="28DE4364">
      <w:pPr>
        <w:pStyle w:val="16"/>
        <w:numPr>
          <w:ilvl w:val="0"/>
          <w:numId w:val="1"/>
        </w:numPr>
        <w:spacing w:before="60" w:after="60"/>
      </w:pPr>
      <w:r>
        <w:rPr>
          <w:rFonts w:ascii="Arial" w:hAnsi="Arial" w:eastAsia="Arial" w:cs="Arial"/>
          <w:sz w:val="20"/>
          <w:szCs w:val="20"/>
        </w:rPr>
        <w:t>If goal is to minimise average weekly error (MAE/MAPE) → use LSTM</w:t>
      </w:r>
    </w:p>
    <w:p w14:paraId="5DDB3F4F">
      <w:pPr>
        <w:pStyle w:val="16"/>
        <w:numPr>
          <w:ilvl w:val="0"/>
          <w:numId w:val="1"/>
        </w:numPr>
        <w:spacing w:before="60" w:after="60"/>
      </w:pPr>
      <w:r>
        <w:rPr>
          <w:rFonts w:ascii="Arial" w:hAnsi="Arial" w:eastAsia="Arial" w:cs="Arial"/>
          <w:sz w:val="20"/>
          <w:szCs w:val="20"/>
        </w:rPr>
        <w:t>If forecasting individual seasonal products (N02BE, R06, R03) → use SARIMA</w:t>
      </w:r>
    </w:p>
    <w:p w14:paraId="3AF4846A">
      <w:pPr>
        <w:pStyle w:val="16"/>
        <w:numPr>
          <w:ilvl w:val="0"/>
          <w:numId w:val="1"/>
        </w:numPr>
        <w:spacing w:before="60" w:after="60"/>
      </w:pPr>
      <w:r>
        <w:rPr>
          <w:rFonts w:ascii="Arial" w:hAnsi="Arial" w:eastAsia="Arial" w:cs="Arial"/>
          <w:sz w:val="20"/>
          <w:szCs w:val="20"/>
        </w:rPr>
        <w:t>If forecasting stable low-volume products (M01AB, N05B, N05C) → use ARIMA</w:t>
      </w:r>
    </w:p>
    <w:p w14:paraId="5BD6E9E8">
      <w:pPr>
        <w:pStyle w:val="16"/>
        <w:numPr>
          <w:ilvl w:val="0"/>
          <w:numId w:val="1"/>
        </w:numPr>
        <w:spacing w:before="60" w:after="60"/>
      </w:pPr>
      <w:r>
        <w:rPr>
          <w:rFonts w:ascii="Arial" w:hAnsi="Arial" w:eastAsia="Arial" w:cs="Arial"/>
          <w:sz w:val="20"/>
          <w:szCs w:val="20"/>
        </w:rPr>
        <w:t>If operational simplicity is the priority → use 4-week Moving Average for all products</w:t>
      </w:r>
    </w:p>
    <w:p w14:paraId="77657CD0">
      <w:pPr>
        <w:spacing w:before="80" w:after="80"/>
        <w:jc w:val="left"/>
      </w:pPr>
    </w:p>
    <w:p w14:paraId="3E2AF5B8">
      <w:pPr>
        <w:spacing w:before="80" w:after="80"/>
        <w:jc w:val="left"/>
      </w:pPr>
      <w:r>
        <w:rPr>
          <w:rFonts w:ascii="Arial" w:hAnsi="Arial" w:eastAsia="Arial" w:cs="Arial"/>
          <w:b/>
          <w:bCs/>
          <w:color w:val="1F4E79"/>
          <w:sz w:val="20"/>
          <w:szCs w:val="20"/>
        </w:rPr>
        <w:t>The strongest recommendation is to run a hybrid system: 4-week Moving Average as the default weekly procurement tool, SARIMA for the top two revenue products (N02BE and R06), and LSTM as a monthly challenger to check whether neural network accuracy has improved with additional data. Track MAE and RMSE monthly; if the gap between models changes, update the selection.</w:t>
      </w:r>
    </w:p>
    <w:p w14:paraId="5C291657">
      <w:pPr>
        <w:pStyle w:val="2"/>
        <w:spacing w:before="320" w:after="160"/>
      </w:pPr>
      <w:r>
        <w:rPr>
          <w:rFonts w:ascii="Arial" w:hAnsi="Arial" w:eastAsia="Arial" w:cs="Arial"/>
          <w:b/>
          <w:bCs/>
          <w:color w:val="1F4E79"/>
          <w:sz w:val="32"/>
          <w:szCs w:val="32"/>
        </w:rPr>
        <w:t>14. References</w:t>
      </w:r>
    </w:p>
    <w:p w14:paraId="0CD36BC0">
      <w:pPr>
        <w:spacing w:before="80" w:after="80"/>
        <w:jc w:val="left"/>
      </w:pPr>
      <w:r>
        <w:rPr>
          <w:rFonts w:ascii="Arial" w:hAnsi="Arial" w:eastAsia="Arial" w:cs="Arial"/>
          <w:b w:val="0"/>
          <w:bCs w:val="0"/>
          <w:color w:val="000000"/>
          <w:sz w:val="20"/>
          <w:szCs w:val="20"/>
        </w:rPr>
        <w:t>Milan Zdravkovic, Pharma sales data analysis and forecasting, Kaggle Notebook:</w:t>
      </w:r>
    </w:p>
    <w:p w14:paraId="5F5F49FE">
      <w:pPr>
        <w:spacing w:before="80" w:after="80"/>
        <w:jc w:val="left"/>
      </w:pPr>
      <w:r>
        <w:rPr>
          <w:rFonts w:ascii="Arial" w:hAnsi="Arial" w:eastAsia="Arial" w:cs="Arial"/>
          <w:b w:val="0"/>
          <w:bCs w:val="0"/>
          <w:color w:val="2E75B6"/>
          <w:sz w:val="20"/>
          <w:szCs w:val="20"/>
        </w:rPr>
        <w:t>https://www.kaggle.com/code/milanzdravkovic/pharma-sales-data-analysis-and-forecasting/notebook</w:t>
      </w:r>
    </w:p>
    <w:p w14:paraId="1D032AFD">
      <w:pPr>
        <w:spacing w:before="80" w:after="80"/>
        <w:jc w:val="left"/>
      </w:pPr>
      <w:r>
        <w:rPr>
          <w:rFonts w:ascii="Arial" w:hAnsi="Arial" w:eastAsia="Arial" w:cs="Arial"/>
          <w:b w:val="0"/>
          <w:bCs w:val="0"/>
          <w:color w:val="000000"/>
          <w:sz w:val="20"/>
          <w:szCs w:val="20"/>
        </w:rPr>
        <w:t>Zdravkovic et al., Case study: univariate time series analysis and forecasting of pharmaceutical products sales data at small scale, ICIST 2020.</w:t>
      </w:r>
    </w:p>
    <w:p w14:paraId="44837930">
      <w:pPr>
        <w:spacing w:before="80" w:after="80"/>
        <w:jc w:val="left"/>
      </w:pPr>
      <w:r>
        <w:rPr>
          <w:rFonts w:ascii="Arial" w:hAnsi="Arial" w:eastAsia="Arial" w:cs="Arial"/>
          <w:b w:val="0"/>
          <w:bCs w:val="0"/>
          <w:color w:val="2E75B6"/>
          <w:sz w:val="20"/>
          <w:szCs w:val="20"/>
        </w:rPr>
        <w:t>Kaggle Pharma Sales Dataset: https://www.kaggle.com/datasets/milanzdravkovic/pharma-sales-data</w:t>
      </w:r>
    </w:p>
    <w:p w14:paraId="585C14B2">
      <w:pPr>
        <w:spacing w:before="80" w:after="80"/>
        <w:jc w:val="left"/>
      </w:pPr>
      <w:r>
        <w:rPr>
          <w:rFonts w:ascii="Arial" w:hAnsi="Arial" w:eastAsia="Arial" w:cs="Arial"/>
          <w:b w:val="0"/>
          <w:bCs w:val="0"/>
          <w:color w:val="888888"/>
          <w:sz w:val="18"/>
          <w:szCs w:val="18"/>
        </w:rPr>
        <w:t>Prepared by: Aman Kumar Jalan | Dataset: salesdaily.csv | Updated with SARIMA and full model verdict</w:t>
      </w:r>
    </w:p>
    <w:sectPr>
      <w:pgSz w:w="12240" w:h="15840"/>
      <w:pgMar w:top="1440" w:right="1260" w:bottom="1440" w:left="126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51E03A5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0"/>
      <w:szCs w:val="20"/>
    </w:rPr>
  </w:style>
  <w:style w:type="paragraph" w:styleId="2">
    <w:name w:val="heading 1"/>
    <w:next w:val="1"/>
    <w:qFormat/>
    <w:uiPriority w:val="0"/>
    <w:pPr>
      <w:spacing w:before="320" w:after="160"/>
      <w:outlineLvl w:val="0"/>
    </w:pPr>
    <w:rPr>
      <w:rFonts w:ascii="Arial" w:hAnsi="Arial" w:eastAsia="Arial" w:cs="Arial"/>
      <w:b/>
      <w:bCs/>
      <w:color w:val="1F4E79"/>
      <w:sz w:val="32"/>
      <w:szCs w:val="32"/>
    </w:rPr>
  </w:style>
  <w:style w:type="paragraph" w:styleId="3">
    <w:name w:val="heading 2"/>
    <w:next w:val="1"/>
    <w:qFormat/>
    <w:uiPriority w:val="0"/>
    <w:pPr>
      <w:spacing w:before="200" w:after="100"/>
      <w:outlineLvl w:val="1"/>
    </w:pPr>
    <w:rPr>
      <w:rFonts w:ascii="Arial" w:hAnsi="Arial" w:eastAsia="Arial" w:cs="Arial"/>
      <w:b/>
      <w:bCs/>
      <w:color w:val="2E75B6"/>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0"/>
      <w:szCs w:val="20"/>
    </w:rPr>
  </w:style>
  <w:style w:type="paragraph" w:styleId="6">
    <w:name w:val="heading 5"/>
    <w:next w:val="1"/>
    <w:qFormat/>
    <w:uiPriority w:val="0"/>
    <w:rPr>
      <w:rFonts w:ascii="Arial" w:hAnsi="Arial" w:eastAsia="Arial" w:cs="Arial"/>
      <w:color w:val="2E74B5"/>
      <w:sz w:val="20"/>
      <w:szCs w:val="20"/>
    </w:rPr>
  </w:style>
  <w:style w:type="paragraph" w:styleId="7">
    <w:name w:val="heading 6"/>
    <w:next w:val="1"/>
    <w:qFormat/>
    <w:uiPriority w:val="0"/>
    <w:rPr>
      <w:rFonts w:ascii="Arial" w:hAnsi="Arial" w:eastAsia="Arial" w:cs="Arial"/>
      <w:color w:val="1F4D78"/>
      <w:sz w:val="20"/>
      <w:szCs w:val="20"/>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0"/>
      <w:szCs w:val="20"/>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15</Pages>
  <Words>646</Words>
  <Characters>3794</Characters>
  <TotalTime>1</TotalTime>
  <ScaleCrop>false</ScaleCrop>
  <LinksUpToDate>false</LinksUpToDate>
  <CharactersWithSpaces>4324</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2026-06-07T18:41:00Z</dcterms:created>
  <dc:creator>Un-named</dc:creator>
  <cp:lastModifiedBy>KIIT0001</cp:lastModifiedBy>
  <dcterms:modified xsi:type="dcterms:W3CDTF">2026-06-07T19:37:05Z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4ACF87059D284D94B7EFB2199E48EDC0_13</vt:lpwstr>
  </property>
</Properties>
</file>