
<file path=[Content_Types].xml><?xml version="1.0" encoding="utf-8"?>
<Types xmlns="http://schemas.openxmlformats.org/package/2006/content-types">
  <Default Extension="xml" ContentType="application/xml"/>
  <Default Extension="tiff" ContentType="image/tiff"/>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CCEDB93" w14:textId="77777777" w:rsidR="00C80FDD" w:rsidRDefault="00C80FDD">
      <w:pPr>
        <w:spacing w:after="0" w:line="360" w:lineRule="auto"/>
        <w:jc w:val="both"/>
        <w:rPr>
          <w:rFonts w:ascii="Times New Roman" w:eastAsia="Times New Roman" w:hAnsi="Times New Roman" w:cs="Times New Roman"/>
          <w:b/>
          <w:bCs/>
          <w:sz w:val="24"/>
          <w:szCs w:val="24"/>
        </w:rPr>
      </w:pPr>
    </w:p>
    <w:p w14:paraId="06CA8A65" w14:textId="74C36239" w:rsidR="00C80FDD" w:rsidRDefault="00AA43D8">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Supplementary Figure</w:t>
      </w:r>
      <w:r w:rsidR="00902990">
        <w:rPr>
          <w:rFonts w:ascii="Times New Roman" w:eastAsia="Times New Roman" w:hAnsi="Times New Roman" w:cs="Times New Roman"/>
          <w:b/>
          <w:bCs/>
          <w:sz w:val="24"/>
          <w:szCs w:val="24"/>
        </w:rPr>
        <w:t xml:space="preserve">s </w:t>
      </w:r>
    </w:p>
    <w:p w14:paraId="069C2D15" w14:textId="77777777" w:rsidR="00AA43D8" w:rsidRDefault="00AA43D8">
      <w:pPr>
        <w:spacing w:after="0" w:line="360" w:lineRule="auto"/>
        <w:jc w:val="both"/>
        <w:rPr>
          <w:rFonts w:ascii="Times New Roman" w:eastAsia="Times New Roman" w:hAnsi="Times New Roman" w:cs="Times New Roman"/>
          <w:b/>
          <w:bCs/>
          <w:sz w:val="24"/>
          <w:szCs w:val="24"/>
        </w:rPr>
      </w:pPr>
      <w:bookmarkStart w:id="0" w:name="_GoBack"/>
      <w:bookmarkEnd w:id="0"/>
    </w:p>
    <w:p w14:paraId="054123CB" w14:textId="07066748" w:rsidR="00AA43D8" w:rsidRDefault="00AA43D8">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lang w:val="en-GB"/>
        </w:rPr>
        <w:drawing>
          <wp:inline distT="0" distB="0" distL="0" distR="0" wp14:anchorId="1BB4F78C" wp14:editId="44E6D363">
            <wp:extent cx="5943600" cy="321881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1.tiff"/>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218815"/>
                    </a:xfrm>
                    <a:prstGeom prst="rect">
                      <a:avLst/>
                    </a:prstGeom>
                  </pic:spPr>
                </pic:pic>
              </a:graphicData>
            </a:graphic>
          </wp:inline>
        </w:drawing>
      </w:r>
    </w:p>
    <w:p w14:paraId="232BFF10" w14:textId="3BAAF4C4" w:rsidR="00C80FDD" w:rsidRDefault="0090299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Figure </w:t>
      </w:r>
      <w:r w:rsidR="00AA43D8">
        <w:rPr>
          <w:rFonts w:ascii="Times New Roman" w:eastAsia="Times New Roman" w:hAnsi="Times New Roman" w:cs="Times New Roman"/>
          <w:b/>
          <w:bCs/>
          <w:sz w:val="24"/>
          <w:szCs w:val="24"/>
        </w:rPr>
        <w:t>S</w:t>
      </w:r>
      <w:r>
        <w:rPr>
          <w:rFonts w:ascii="Times New Roman" w:eastAsia="Times New Roman" w:hAnsi="Times New Roman" w:cs="Times New Roman"/>
          <w:b/>
          <w:bCs/>
          <w:sz w:val="24"/>
          <w:szCs w:val="24"/>
        </w:rPr>
        <w:t xml:space="preserve">1: </w:t>
      </w:r>
      <w:r>
        <w:rPr>
          <w:rFonts w:ascii="Times New Roman" w:eastAsia="Times New Roman" w:hAnsi="Times New Roman" w:cs="Times New Roman"/>
          <w:sz w:val="24"/>
          <w:szCs w:val="24"/>
        </w:rPr>
        <w:t>Heatmap showing the IC50 values of plant-derived and repurposed drugs across various human cancer cell lines. Each cell represents the IC50 value of a specific drug (y-axis) tested against a cancer cell line (x-axis). Darker shades indicate lower IC50 values (higher sensitivity), while lighter shades indicate higher IC50 values (lower sensitivity). The heatmap highlights drugs with broad-spectrum as well as tissue-specific anticancer activity, aiding in identifying potential candidates for drug repurposing.</w:t>
      </w:r>
    </w:p>
    <w:p w14:paraId="66484D5C" w14:textId="0FC0AC65" w:rsidR="00AA43D8" w:rsidRDefault="00AA43D8">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lang w:val="en-GB"/>
        </w:rPr>
        <w:lastRenderedPageBreak/>
        <w:drawing>
          <wp:inline distT="0" distB="0" distL="0" distR="0" wp14:anchorId="6DA26426" wp14:editId="671F6D24">
            <wp:extent cx="5943600" cy="3218815"/>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2.tiff"/>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218815"/>
                    </a:xfrm>
                    <a:prstGeom prst="rect">
                      <a:avLst/>
                    </a:prstGeom>
                  </pic:spPr>
                </pic:pic>
              </a:graphicData>
            </a:graphic>
          </wp:inline>
        </w:drawing>
      </w:r>
    </w:p>
    <w:p w14:paraId="69E4CF65" w14:textId="287CD241" w:rsidR="00C80FDD" w:rsidRDefault="0090299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Figure </w:t>
      </w:r>
      <w:r w:rsidR="00AA43D8">
        <w:rPr>
          <w:rFonts w:ascii="Times New Roman" w:eastAsia="Times New Roman" w:hAnsi="Times New Roman" w:cs="Times New Roman"/>
          <w:b/>
          <w:bCs/>
          <w:sz w:val="24"/>
          <w:szCs w:val="24"/>
        </w:rPr>
        <w:t>S</w:t>
      </w:r>
      <w:r>
        <w:rPr>
          <w:rFonts w:ascii="Times New Roman" w:eastAsia="Times New Roman" w:hAnsi="Times New Roman" w:cs="Times New Roman"/>
          <w:b/>
          <w:bCs/>
          <w:sz w:val="24"/>
          <w:szCs w:val="24"/>
        </w:rPr>
        <w:t>2:</w:t>
      </w:r>
      <w:r>
        <w:rPr>
          <w:rFonts w:ascii="Times New Roman" w:eastAsia="Times New Roman" w:hAnsi="Times New Roman" w:cs="Times New Roman"/>
          <w:sz w:val="24"/>
          <w:szCs w:val="24"/>
        </w:rPr>
        <w:t xml:space="preserve"> Tissue-wise distribution of cancer cell lines in the dataset, based on frequency. The most common cancer type was, representing the largest proportion of the total cell lines.</w:t>
      </w:r>
    </w:p>
    <w:p w14:paraId="69A8A941" w14:textId="5F9B0C8B" w:rsidR="00AA43D8" w:rsidRDefault="00AA43D8">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lang w:val="en-GB"/>
        </w:rPr>
        <w:drawing>
          <wp:inline distT="0" distB="0" distL="0" distR="0" wp14:anchorId="5A3D09A9" wp14:editId="256AC697">
            <wp:extent cx="5943600" cy="3218815"/>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3.tiff"/>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218815"/>
                    </a:xfrm>
                    <a:prstGeom prst="rect">
                      <a:avLst/>
                    </a:prstGeom>
                  </pic:spPr>
                </pic:pic>
              </a:graphicData>
            </a:graphic>
          </wp:inline>
        </w:drawing>
      </w:r>
    </w:p>
    <w:p w14:paraId="09F53395" w14:textId="579AD34A" w:rsidR="00C80FDD" w:rsidRDefault="0090299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Figure </w:t>
      </w:r>
      <w:r w:rsidR="00AA43D8">
        <w:rPr>
          <w:rFonts w:ascii="Times New Roman" w:eastAsia="Times New Roman" w:hAnsi="Times New Roman" w:cs="Times New Roman"/>
          <w:b/>
          <w:bCs/>
          <w:sz w:val="24"/>
          <w:szCs w:val="24"/>
        </w:rPr>
        <w:t>S</w:t>
      </w:r>
      <w:r>
        <w:rPr>
          <w:rFonts w:ascii="Times New Roman" w:eastAsia="Times New Roman" w:hAnsi="Times New Roman" w:cs="Times New Roman"/>
          <w:b/>
          <w:bCs/>
          <w:sz w:val="24"/>
          <w:szCs w:val="24"/>
        </w:rPr>
        <w:t xml:space="preserve">3: </w:t>
      </w:r>
      <w:r>
        <w:rPr>
          <w:rFonts w:ascii="Times New Roman" w:eastAsia="Times New Roman" w:hAnsi="Times New Roman" w:cs="Times New Roman"/>
          <w:sz w:val="24"/>
          <w:szCs w:val="24"/>
        </w:rPr>
        <w:t>Comparative IC50 heatmap for plant-based and repurposed drugs across five major cancer types: (A) Blood, (B) Lung, (C) Nervous System, (D) Urogenital System, and (E) Digestive System. Each heatmap shows IC50 values (</w:t>
      </w:r>
      <w:proofErr w:type="spellStart"/>
      <w:r>
        <w:rPr>
          <w:rFonts w:ascii="Times New Roman" w:eastAsia="Times New Roman" w:hAnsi="Times New Roman" w:cs="Times New Roman"/>
          <w:sz w:val="24"/>
          <w:szCs w:val="24"/>
        </w:rPr>
        <w:t>nM</w:t>
      </w:r>
      <w:proofErr w:type="spellEnd"/>
      <w:r>
        <w:rPr>
          <w:rFonts w:ascii="Times New Roman" w:eastAsia="Times New Roman" w:hAnsi="Times New Roman" w:cs="Times New Roman"/>
          <w:sz w:val="24"/>
          <w:szCs w:val="24"/>
        </w:rPr>
        <w:t xml:space="preserve">) for drug cell line pairs, where lower IC50 values </w:t>
      </w:r>
      <w:r>
        <w:rPr>
          <w:rFonts w:ascii="Times New Roman" w:eastAsia="Times New Roman" w:hAnsi="Times New Roman" w:cs="Times New Roman"/>
          <w:sz w:val="24"/>
          <w:szCs w:val="24"/>
        </w:rPr>
        <w:lastRenderedPageBreak/>
        <w:t>(higher sensitivity) are represented by darker shades. These results highlight drug efficacy patterns useful for repurposing and machine learning-guided predictions.</w:t>
      </w:r>
    </w:p>
    <w:p w14:paraId="0C515478" w14:textId="55C8C054" w:rsidR="00AA43D8" w:rsidRDefault="00AA43D8">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lang w:val="en-GB"/>
        </w:rPr>
        <w:drawing>
          <wp:inline distT="0" distB="0" distL="0" distR="0" wp14:anchorId="11874064" wp14:editId="1F7B6F1C">
            <wp:extent cx="5943600" cy="3218815"/>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 4.tiff"/>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218815"/>
                    </a:xfrm>
                    <a:prstGeom prst="rect">
                      <a:avLst/>
                    </a:prstGeom>
                  </pic:spPr>
                </pic:pic>
              </a:graphicData>
            </a:graphic>
          </wp:inline>
        </w:drawing>
      </w:r>
    </w:p>
    <w:p w14:paraId="1EC87F19" w14:textId="27222941" w:rsidR="00C80FDD" w:rsidRDefault="00902990">
      <w:pPr>
        <w:spacing w:after="0" w:line="360" w:lineRule="auto"/>
        <w:jc w:val="both"/>
        <w:rPr>
          <w:rFonts w:ascii="Times New Roman" w:eastAsia="Times New Roman" w:hAnsi="Times New Roman" w:cs="Times New Roman"/>
          <w:i/>
          <w:iCs/>
          <w:sz w:val="24"/>
          <w:szCs w:val="24"/>
        </w:rPr>
      </w:pPr>
      <w:r>
        <w:rPr>
          <w:rFonts w:ascii="Times New Roman" w:eastAsia="Times New Roman" w:hAnsi="Times New Roman" w:cs="Times New Roman"/>
          <w:b/>
          <w:bCs/>
          <w:sz w:val="24"/>
          <w:szCs w:val="24"/>
        </w:rPr>
        <w:t xml:space="preserve">Figure </w:t>
      </w:r>
      <w:r w:rsidR="00AA43D8">
        <w:rPr>
          <w:rFonts w:ascii="Times New Roman" w:eastAsia="Times New Roman" w:hAnsi="Times New Roman" w:cs="Times New Roman"/>
          <w:b/>
          <w:bCs/>
          <w:sz w:val="24"/>
          <w:szCs w:val="24"/>
        </w:rPr>
        <w:t>S</w:t>
      </w:r>
      <w:r>
        <w:rPr>
          <w:rFonts w:ascii="Times New Roman" w:eastAsia="Times New Roman" w:hAnsi="Times New Roman" w:cs="Times New Roman"/>
          <w:b/>
          <w:bCs/>
          <w:sz w:val="24"/>
          <w:szCs w:val="24"/>
        </w:rPr>
        <w:t xml:space="preserve">4: </w:t>
      </w:r>
      <w:r>
        <w:rPr>
          <w:rFonts w:ascii="Times New Roman" w:eastAsia="Times New Roman" w:hAnsi="Times New Roman" w:cs="Times New Roman"/>
          <w:sz w:val="24"/>
          <w:szCs w:val="24"/>
        </w:rPr>
        <w:t xml:space="preserve">Mutation frequency </w:t>
      </w:r>
      <w:proofErr w:type="spellStart"/>
      <w:r>
        <w:rPr>
          <w:rFonts w:ascii="Times New Roman" w:eastAsia="Times New Roman" w:hAnsi="Times New Roman" w:cs="Times New Roman"/>
          <w:sz w:val="24"/>
          <w:szCs w:val="24"/>
        </w:rPr>
        <w:t>heatmaps</w:t>
      </w:r>
      <w:proofErr w:type="spellEnd"/>
      <w:r>
        <w:rPr>
          <w:rFonts w:ascii="Times New Roman" w:eastAsia="Times New Roman" w:hAnsi="Times New Roman" w:cs="Times New Roman"/>
          <w:sz w:val="24"/>
          <w:szCs w:val="24"/>
        </w:rPr>
        <w:t xml:space="preserve"> across five major cancer types (A) Blood, (B) Lung, (C) Nervous System, (D) Urogenital System, and (E) Digestive System, showing the percentage of mutated samples for each target gene (x-axis) in relation to plant-derived and repurposed drugs (y-axis). Darker </w:t>
      </w:r>
      <w:proofErr w:type="spellStart"/>
      <w:r>
        <w:rPr>
          <w:rFonts w:ascii="Times New Roman" w:eastAsia="Times New Roman" w:hAnsi="Times New Roman" w:cs="Times New Roman"/>
          <w:sz w:val="24"/>
          <w:szCs w:val="24"/>
        </w:rPr>
        <w:t>colours</w:t>
      </w:r>
      <w:proofErr w:type="spellEnd"/>
      <w:r>
        <w:rPr>
          <w:rFonts w:ascii="Times New Roman" w:eastAsia="Times New Roman" w:hAnsi="Times New Roman" w:cs="Times New Roman"/>
          <w:sz w:val="24"/>
          <w:szCs w:val="24"/>
        </w:rPr>
        <w:t xml:space="preserve"> represent higher mutation frequency. The analysis identifies mutation-driven vulnerability and resistance signatures, supporting personalized drug repurposing strategies.</w:t>
      </w:r>
    </w:p>
    <w:p w14:paraId="5D623AF8" w14:textId="3535D5E2" w:rsidR="00AA43D8" w:rsidRDefault="00AA43D8">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lang w:val="en-GB"/>
        </w:rPr>
        <w:lastRenderedPageBreak/>
        <w:drawing>
          <wp:inline distT="0" distB="0" distL="0" distR="0" wp14:anchorId="6D5B0C80" wp14:editId="7110FB32">
            <wp:extent cx="5943600" cy="3218815"/>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 5.tiff"/>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218815"/>
                    </a:xfrm>
                    <a:prstGeom prst="rect">
                      <a:avLst/>
                    </a:prstGeom>
                  </pic:spPr>
                </pic:pic>
              </a:graphicData>
            </a:graphic>
          </wp:inline>
        </w:drawing>
      </w:r>
    </w:p>
    <w:p w14:paraId="0CC09CC1" w14:textId="1C7D25F8" w:rsidR="00C80FDD" w:rsidRDefault="0090299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Figure </w:t>
      </w:r>
      <w:r w:rsidR="00AA43D8">
        <w:rPr>
          <w:rFonts w:ascii="Times New Roman" w:eastAsia="Times New Roman" w:hAnsi="Times New Roman" w:cs="Times New Roman"/>
          <w:b/>
          <w:bCs/>
          <w:sz w:val="24"/>
          <w:szCs w:val="24"/>
        </w:rPr>
        <w:t>S</w:t>
      </w:r>
      <w:r>
        <w:rPr>
          <w:rFonts w:ascii="Times New Roman" w:eastAsia="Times New Roman" w:hAnsi="Times New Roman" w:cs="Times New Roman"/>
          <w:b/>
          <w:bCs/>
          <w:sz w:val="24"/>
          <w:szCs w:val="24"/>
        </w:rPr>
        <w:t xml:space="preserve">5: </w:t>
      </w:r>
      <w:r>
        <w:rPr>
          <w:rFonts w:ascii="Times New Roman" w:eastAsia="Times New Roman" w:hAnsi="Times New Roman" w:cs="Times New Roman"/>
          <w:sz w:val="24"/>
          <w:szCs w:val="24"/>
        </w:rPr>
        <w:t xml:space="preserve">Figures 5A through 5E each show a heatmap that illustrates how certain plant-based drug compounds interact with their gene targets in different cancer types. Specifically, (A) focuses on blood cancer, (B) on lung cancer, (C) on nervous system cancer, (D) on urogenital system cancer, and (E) on digestive system cancer. The </w:t>
      </w:r>
      <w:proofErr w:type="spellStart"/>
      <w:r>
        <w:rPr>
          <w:rFonts w:ascii="Times New Roman" w:eastAsia="Times New Roman" w:hAnsi="Times New Roman" w:cs="Times New Roman"/>
          <w:sz w:val="24"/>
          <w:szCs w:val="24"/>
        </w:rPr>
        <w:t>heatmaps</w:t>
      </w:r>
      <w:proofErr w:type="spellEnd"/>
      <w:r>
        <w:rPr>
          <w:rFonts w:ascii="Times New Roman" w:eastAsia="Times New Roman" w:hAnsi="Times New Roman" w:cs="Times New Roman"/>
          <w:sz w:val="24"/>
          <w:szCs w:val="24"/>
        </w:rPr>
        <w:t xml:space="preserve"> represent the strength of the connection between drugs and important cancer-related genes (oncogenes or tumor suppressor genes) in each cancer type. The drugs and genes included were chosen for their importance in treatment and how often they are altered in cancer cells from these specific tissues. Brighter colors indicate a stronger link between the drug and the gene, potentially suggesting better effectiveness or sensitivity. These visual representations can assist in finding promising drug candidates that target specific tissues, aiding in the development of tailored treatments.</w:t>
      </w:r>
    </w:p>
    <w:p w14:paraId="3381A5A6" w14:textId="1FECC98E" w:rsidR="00AA43D8" w:rsidRPr="00AA43D8" w:rsidRDefault="00AA43D8">
      <w:pPr>
        <w:spacing w:after="0"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noProof/>
          <w:sz w:val="24"/>
          <w:szCs w:val="24"/>
          <w:lang w:val="en-GB"/>
        </w:rPr>
        <w:lastRenderedPageBreak/>
        <w:drawing>
          <wp:inline distT="0" distB="0" distL="0" distR="0" wp14:anchorId="59FD036F" wp14:editId="172DA75E">
            <wp:extent cx="5943600" cy="3218815"/>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e 6.tiff"/>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218815"/>
                    </a:xfrm>
                    <a:prstGeom prst="rect">
                      <a:avLst/>
                    </a:prstGeom>
                  </pic:spPr>
                </pic:pic>
              </a:graphicData>
            </a:graphic>
          </wp:inline>
        </w:drawing>
      </w:r>
    </w:p>
    <w:p w14:paraId="544A5434" w14:textId="0FBCAE25" w:rsidR="00C80FDD" w:rsidRDefault="0090299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Figure </w:t>
      </w:r>
      <w:r w:rsidR="00AA43D8">
        <w:rPr>
          <w:rFonts w:ascii="Times New Roman" w:eastAsia="Times New Roman" w:hAnsi="Times New Roman" w:cs="Times New Roman"/>
          <w:b/>
          <w:bCs/>
          <w:sz w:val="24"/>
          <w:szCs w:val="24"/>
        </w:rPr>
        <w:t>S</w:t>
      </w:r>
      <w:r>
        <w:rPr>
          <w:rFonts w:ascii="Times New Roman" w:eastAsia="Times New Roman" w:hAnsi="Times New Roman" w:cs="Times New Roman"/>
          <w:b/>
          <w:bCs/>
          <w:sz w:val="24"/>
          <w:szCs w:val="24"/>
        </w:rPr>
        <w:t xml:space="preserve">6: </w:t>
      </w:r>
      <w:r>
        <w:rPr>
          <w:rFonts w:ascii="Times New Roman" w:eastAsia="Times New Roman" w:hAnsi="Times New Roman" w:cs="Times New Roman"/>
          <w:sz w:val="24"/>
          <w:szCs w:val="24"/>
        </w:rPr>
        <w:t xml:space="preserve">Heatmap showing the presence of mutated drug target genes across various cancer cell lines for selected anticancer drugs (A) Blood, (B) Lung, (C) Nervous system, (D) Urogenital system, and (E) Digestive system cancers. The x-axis represents individual cancer cell lines, and the y-axis lists the drugs under investigation. The </w:t>
      </w:r>
      <w:proofErr w:type="spellStart"/>
      <w:r>
        <w:rPr>
          <w:rFonts w:ascii="Times New Roman" w:eastAsia="Times New Roman" w:hAnsi="Times New Roman" w:cs="Times New Roman"/>
          <w:sz w:val="24"/>
          <w:szCs w:val="24"/>
        </w:rPr>
        <w:t>colour</w:t>
      </w:r>
      <w:proofErr w:type="spellEnd"/>
      <w:r>
        <w:rPr>
          <w:rFonts w:ascii="Times New Roman" w:eastAsia="Times New Roman" w:hAnsi="Times New Roman" w:cs="Times New Roman"/>
          <w:sz w:val="24"/>
          <w:szCs w:val="24"/>
        </w:rPr>
        <w:t xml:space="preserve"> gradient from blue to red denotes the frequency or intensity of mutation presence, with red indicating high mutation presence of the drug target and blue indicating its absence. This analysis helps in identifying cell lines with potentially higher susceptibility to specific drugs based on the mutational landscape.</w:t>
      </w:r>
    </w:p>
    <w:p w14:paraId="4D7A869B" w14:textId="3C19B377" w:rsidR="00AA43D8" w:rsidRDefault="00AA43D8">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lang w:val="en-GB"/>
        </w:rPr>
        <w:lastRenderedPageBreak/>
        <w:drawing>
          <wp:inline distT="0" distB="0" distL="0" distR="0" wp14:anchorId="4106ADC1" wp14:editId="0592CF70">
            <wp:extent cx="5943600" cy="3218815"/>
            <wp:effectExtent l="0" t="0" r="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e 7.tiff"/>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218815"/>
                    </a:xfrm>
                    <a:prstGeom prst="rect">
                      <a:avLst/>
                    </a:prstGeom>
                  </pic:spPr>
                </pic:pic>
              </a:graphicData>
            </a:graphic>
          </wp:inline>
        </w:drawing>
      </w:r>
    </w:p>
    <w:p w14:paraId="428D42A8" w14:textId="708AD0C2" w:rsidR="00C80FDD" w:rsidRDefault="0090299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Figure </w:t>
      </w:r>
      <w:r w:rsidR="00AA43D8">
        <w:rPr>
          <w:rFonts w:ascii="Times New Roman" w:eastAsia="Times New Roman" w:hAnsi="Times New Roman" w:cs="Times New Roman"/>
          <w:b/>
          <w:bCs/>
          <w:sz w:val="24"/>
          <w:szCs w:val="24"/>
        </w:rPr>
        <w:t>S</w:t>
      </w:r>
      <w:r>
        <w:rPr>
          <w:rFonts w:ascii="Times New Roman" w:eastAsia="Times New Roman" w:hAnsi="Times New Roman" w:cs="Times New Roman"/>
          <w:b/>
          <w:bCs/>
          <w:sz w:val="24"/>
          <w:szCs w:val="24"/>
        </w:rPr>
        <w:t xml:space="preserve">7: </w:t>
      </w:r>
      <w:r>
        <w:rPr>
          <w:rFonts w:ascii="Times New Roman" w:eastAsia="Times New Roman" w:hAnsi="Times New Roman" w:cs="Times New Roman"/>
          <w:sz w:val="24"/>
          <w:szCs w:val="24"/>
        </w:rPr>
        <w:t>Waterfall plots showing the distribution of mutation frequencies in cell lines associated with (A) Blood, (B) Lung, (C) Nervous system, (D) Urogenital system, and (E) Digestive system cancers. Each bar represents a single cell line, ordered by descending mutation count. These plots reveal the extent of genomic alterations across cell lines and highlight the most frequently mutated samples within each cancer type, providing insight into mutation-driven variability in drug response.</w:t>
      </w:r>
    </w:p>
    <w:p w14:paraId="6C2CB90D" w14:textId="66E291ED" w:rsidR="00AA43D8" w:rsidRDefault="00AA43D8">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lang w:val="en-GB"/>
        </w:rPr>
        <w:drawing>
          <wp:inline distT="0" distB="0" distL="0" distR="0" wp14:anchorId="1D05167A" wp14:editId="2B9A5B76">
            <wp:extent cx="5943600" cy="3218815"/>
            <wp:effectExtent l="0" t="0" r="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re 8.tif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218815"/>
                    </a:xfrm>
                    <a:prstGeom prst="rect">
                      <a:avLst/>
                    </a:prstGeom>
                  </pic:spPr>
                </pic:pic>
              </a:graphicData>
            </a:graphic>
          </wp:inline>
        </w:drawing>
      </w:r>
    </w:p>
    <w:p w14:paraId="4042F2DC" w14:textId="0AC41EDD" w:rsidR="00C80FDD" w:rsidRDefault="0090299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 xml:space="preserve">Figure </w:t>
      </w:r>
      <w:r w:rsidR="00AA43D8">
        <w:rPr>
          <w:rFonts w:ascii="Times New Roman" w:eastAsia="Times New Roman" w:hAnsi="Times New Roman" w:cs="Times New Roman"/>
          <w:b/>
          <w:bCs/>
          <w:sz w:val="24"/>
          <w:szCs w:val="24"/>
        </w:rPr>
        <w:t>S</w:t>
      </w:r>
      <w:r>
        <w:rPr>
          <w:rFonts w:ascii="Times New Roman" w:eastAsia="Times New Roman" w:hAnsi="Times New Roman" w:cs="Times New Roman"/>
          <w:b/>
          <w:bCs/>
          <w:sz w:val="24"/>
          <w:szCs w:val="24"/>
        </w:rPr>
        <w:t xml:space="preserve">8: </w:t>
      </w:r>
      <w:r>
        <w:rPr>
          <w:rFonts w:ascii="Times New Roman" w:eastAsia="Times New Roman" w:hAnsi="Times New Roman" w:cs="Times New Roman"/>
          <w:sz w:val="24"/>
          <w:szCs w:val="24"/>
        </w:rPr>
        <w:t>Gene expression differences were studied between drug-sensitive and drug-resistant cell lines across five main cancer types. (A) Blood, (B) Lung, (C) Nervous, (D) Urogenital, and (E) Digestive cancer. Each cell of the grid shows either box-plots (TPM or log2-normalized values) or volcano plots of the differentially expressed genes, with genes such as TP53, EGFR, KRAS, and PIK3CA being picked out for their potential roles in drug sensitivity modulation. These observations help in building a molecular framework for selecting the predictive features during the downstream machine-learning analyses.</w:t>
      </w:r>
    </w:p>
    <w:p w14:paraId="35D47D05" w14:textId="77777777" w:rsidR="00C80FDD" w:rsidRDefault="00C80FDD">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
    <w:p w14:paraId="33CCEBF4" w14:textId="77777777" w:rsidR="00C80FDD" w:rsidRDefault="00902990">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5784BFE3" w14:textId="77777777" w:rsidR="00C80FDD" w:rsidRDefault="00C80FDD">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
    <w:p w14:paraId="1AC255E9" w14:textId="77777777" w:rsidR="00C80FDD" w:rsidRDefault="00902990">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2C669B72" w14:textId="77777777" w:rsidR="00C80FDD" w:rsidRDefault="00C80FDD">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7766290C" w14:textId="77777777" w:rsidR="00C80FDD" w:rsidRDefault="00C80FDD">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254199E3" w14:textId="77777777" w:rsidR="00C80FDD" w:rsidRDefault="00C80FDD">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sectPr w:rsidR="00C80FDD">
      <w:pgSz w:w="12240" w:h="15840"/>
      <w:pgMar w:top="1440" w:right="1440" w:bottom="1440" w:left="1440" w:header="708" w:footer="708" w:gutter="0"/>
      <w:pgNumType w:start="1"/>
      <w:cols w:space="720"/>
      <w:titlePg/>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59F1EE4" w14:textId="77777777" w:rsidR="005879AC" w:rsidRDefault="005879AC">
      <w:pPr>
        <w:spacing w:after="0" w:line="240" w:lineRule="auto"/>
      </w:pPr>
      <w:r>
        <w:separator/>
      </w:r>
    </w:p>
  </w:endnote>
  <w:endnote w:type="continuationSeparator" w:id="0">
    <w:p w14:paraId="7C1DE5D3" w14:textId="77777777" w:rsidR="005879AC" w:rsidRDefault="005879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altName w:val="Times New Roman"/>
    <w:charset w:val="00"/>
    <w:family w:val="auto"/>
    <w:pitch w:val="default"/>
  </w:font>
  <w:font w:name="Courier New">
    <w:panose1 w:val="02070309020205020404"/>
    <w:charset w:val="00"/>
    <w:family w:val="auto"/>
    <w:pitch w:val="variable"/>
    <w:sig w:usb0="E0002AFF" w:usb1="C0007843" w:usb2="00000009" w:usb3="00000000" w:csb0="000001FF" w:csb1="00000000"/>
  </w:font>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Tahoma">
    <w:panose1 w:val="020B0604030504040204"/>
    <w:charset w:val="00"/>
    <w:family w:val="auto"/>
    <w:pitch w:val="variable"/>
    <w:sig w:usb0="E1002EFF" w:usb1="C000605B" w:usb2="00000029" w:usb3="00000000" w:csb0="000101FF" w:csb1="00000000"/>
  </w:font>
  <w:font w:name="Mangal">
    <w:panose1 w:val="02040503050203030202"/>
    <w:charset w:val="00"/>
    <w:family w:val="auto"/>
    <w:pitch w:val="variable"/>
    <w:sig w:usb0="00008003" w:usb1="00000000" w:usb2="00000000" w:usb3="00000000" w:csb0="00000001" w:csb1="00000000"/>
  </w:font>
  <w:font w:name="Georgia">
    <w:panose1 w:val="02040502050405020303"/>
    <w:charset w:val="00"/>
    <w:family w:val="auto"/>
    <w:pitch w:val="variable"/>
    <w:sig w:usb0="00000287" w:usb1="00000000" w:usb2="00000000" w:usb3="00000000" w:csb0="0000009F" w:csb1="00000000"/>
  </w:font>
  <w:font w:name="Arial">
    <w:panose1 w:val="020B0604020202020204"/>
    <w:charset w:val="00"/>
    <w:family w:val="auto"/>
    <w:pitch w:val="variable"/>
    <w:sig w:usb0="E0002AFF" w:usb1="C0007843" w:usb2="00000009" w:usb3="00000000" w:csb0="000001FF" w:csb1="00000000"/>
  </w:font>
  <w:font w:name="宋体">
    <w:charset w:val="86"/>
    <w:family w:val="auto"/>
    <w:pitch w:val="variable"/>
    <w:sig w:usb0="00000003" w:usb1="288F0000" w:usb2="00000016" w:usb3="00000000" w:csb0="00040001" w:csb1="00000000"/>
  </w:font>
  <w:font w:name="Cambria">
    <w:panose1 w:val="02040503050406030204"/>
    <w:charset w:val="00"/>
    <w:family w:val="auto"/>
    <w:pitch w:val="variable"/>
    <w:sig w:usb0="E00002FF" w:usb1="400004FF" w:usb2="00000000"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FD8C058" w14:textId="77777777" w:rsidR="005879AC" w:rsidRDefault="005879AC">
      <w:pPr>
        <w:spacing w:after="0" w:line="240" w:lineRule="auto"/>
      </w:pPr>
      <w:r>
        <w:separator/>
      </w:r>
    </w:p>
  </w:footnote>
  <w:footnote w:type="continuationSeparator" w:id="0">
    <w:p w14:paraId="1409085D" w14:textId="77777777" w:rsidR="005879AC" w:rsidRDefault="005879AC">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9A07DB9"/>
    <w:multiLevelType w:val="multilevel"/>
    <w:tmpl w:val="DC4013E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nsid w:val="54865625"/>
    <w:multiLevelType w:val="multilevel"/>
    <w:tmpl w:val="303A92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5F713E0D"/>
    <w:multiLevelType w:val="multilevel"/>
    <w:tmpl w:val="5BD69924"/>
    <w:lvl w:ilvl="0">
      <w:start w:val="1"/>
      <w:numFmt w:val="decimal"/>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3">
    <w:nsid w:val="7D9E627E"/>
    <w:multiLevelType w:val="multilevel"/>
    <w:tmpl w:val="A0E6091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9"/>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FDD"/>
    <w:rsid w:val="001C7B48"/>
    <w:rsid w:val="002B24BD"/>
    <w:rsid w:val="003358C8"/>
    <w:rsid w:val="0034733A"/>
    <w:rsid w:val="005879AC"/>
    <w:rsid w:val="00753FE7"/>
    <w:rsid w:val="008E156D"/>
    <w:rsid w:val="00902990"/>
    <w:rsid w:val="00AA43D8"/>
    <w:rsid w:val="00BF3151"/>
    <w:rsid w:val="00C80FDD"/>
    <w:rsid w:val="00D73B23"/>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815F843"/>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 w:eastAsia="zh-CN" w:bidi="ar-SA"/>
      </w:rPr>
    </w:rPrDefault>
    <w:pPrDefault>
      <w:pPr>
        <w:spacing w:after="200" w:line="276"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link w:val="Heading3Char"/>
    <w:pPr>
      <w:spacing w:before="280" w:after="280" w:line="240" w:lineRule="auto"/>
      <w:ind w:left="2160" w:hanging="360"/>
      <w:outlineLvl w:val="2"/>
    </w:pPr>
    <w:rPr>
      <w:rFonts w:ascii="Times New Roman" w:eastAsia="Times New Roman" w:hAnsi="Times New Roman" w:cs="Times New Roman"/>
      <w:sz w:val="20"/>
      <w:szCs w:val="20"/>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NormalWeb">
    <w:name w:val="Normal (Web)"/>
    <w:basedOn w:val="Normal"/>
    <w:uiPriority w:val="99"/>
    <w:unhideWhenUsed/>
    <w:rsid w:val="00291B57"/>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291B57"/>
    <w:rPr>
      <w:i/>
      <w:iCs/>
    </w:rPr>
  </w:style>
  <w:style w:type="character" w:styleId="Hyperlink">
    <w:name w:val="Hyperlink"/>
    <w:basedOn w:val="DefaultParagraphFont"/>
    <w:uiPriority w:val="99"/>
    <w:unhideWhenUsed/>
    <w:rsid w:val="00291B57"/>
    <w:rPr>
      <w:color w:val="0000FF" w:themeColor="hyperlink"/>
      <w:u w:val="single"/>
    </w:rPr>
  </w:style>
  <w:style w:type="character" w:customStyle="1" w:styleId="py-2">
    <w:name w:val="py-2"/>
    <w:basedOn w:val="DefaultParagraphFont"/>
    <w:rsid w:val="006B180B"/>
  </w:style>
  <w:style w:type="character" w:styleId="Strong">
    <w:name w:val="Strong"/>
    <w:basedOn w:val="DefaultParagraphFont"/>
    <w:uiPriority w:val="22"/>
    <w:qFormat/>
    <w:rsid w:val="00A93E65"/>
    <w:rPr>
      <w:b/>
      <w:bCs/>
    </w:rPr>
  </w:style>
  <w:style w:type="table" w:styleId="TableGrid">
    <w:name w:val="Table Grid"/>
    <w:basedOn w:val="TableNormal"/>
    <w:uiPriority w:val="59"/>
    <w:rsid w:val="00624BCF"/>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0A2A32"/>
    <w:pPr>
      <w:spacing w:after="0" w:line="240" w:lineRule="auto"/>
    </w:pPr>
    <w:rPr>
      <w:rFonts w:ascii="Tahoma" w:hAnsi="Tahoma"/>
      <w:sz w:val="16"/>
      <w:szCs w:val="14"/>
    </w:rPr>
  </w:style>
  <w:style w:type="character" w:customStyle="1" w:styleId="BalloonTextChar">
    <w:name w:val="Balloon Text Char"/>
    <w:basedOn w:val="DefaultParagraphFont"/>
    <w:link w:val="BalloonText"/>
    <w:uiPriority w:val="99"/>
    <w:semiHidden/>
    <w:rsid w:val="000A2A32"/>
    <w:rPr>
      <w:rFonts w:ascii="Tahoma" w:hAnsi="Tahoma" w:cs="Mangal"/>
      <w:sz w:val="16"/>
      <w:szCs w:val="14"/>
    </w:rPr>
  </w:style>
  <w:style w:type="character" w:customStyle="1" w:styleId="Heading3Char">
    <w:name w:val="Heading 3 Char"/>
    <w:basedOn w:val="DefaultParagraphFont"/>
    <w:link w:val="Heading3"/>
    <w:rsid w:val="00B94CFF"/>
    <w:rPr>
      <w:rFonts w:ascii="Times New Roman" w:eastAsia="Times New Roman" w:hAnsi="Times New Roman" w:cs="Times New Roman"/>
      <w:sz w:val="20"/>
      <w:lang w:val="en-GB" w:eastAsia="zh-CN" w:bidi="ar-SA"/>
    </w:rPr>
  </w:style>
  <w:style w:type="paragraph" w:styleId="BodyText">
    <w:name w:val="Body Text"/>
    <w:basedOn w:val="Normal"/>
    <w:link w:val="BodyTextChar"/>
    <w:uiPriority w:val="99"/>
    <w:semiHidden/>
    <w:unhideWhenUsed/>
    <w:rsid w:val="00B94CFF"/>
    <w:pPr>
      <w:spacing w:after="120"/>
    </w:pPr>
  </w:style>
  <w:style w:type="character" w:customStyle="1" w:styleId="BodyTextChar">
    <w:name w:val="Body Text Char"/>
    <w:basedOn w:val="DefaultParagraphFont"/>
    <w:link w:val="BodyText"/>
    <w:uiPriority w:val="99"/>
    <w:semiHidden/>
    <w:rsid w:val="00B94CFF"/>
    <w:rPr>
      <w:rFonts w:cs="Mangal"/>
    </w:rPr>
  </w:style>
  <w:style w:type="character" w:customStyle="1" w:styleId="identifier">
    <w:name w:val="identifier"/>
    <w:basedOn w:val="DefaultParagraphFont"/>
    <w:rsid w:val="009A247C"/>
  </w:style>
  <w:style w:type="character" w:customStyle="1" w:styleId="id-label">
    <w:name w:val="id-label"/>
    <w:basedOn w:val="DefaultParagraphFont"/>
    <w:rsid w:val="009A247C"/>
  </w:style>
  <w:style w:type="character" w:styleId="FollowedHyperlink">
    <w:name w:val="FollowedHyperlink"/>
    <w:basedOn w:val="DefaultParagraphFont"/>
    <w:uiPriority w:val="99"/>
    <w:semiHidden/>
    <w:unhideWhenUsed/>
    <w:rsid w:val="007C04BE"/>
    <w:rPr>
      <w:color w:val="800080" w:themeColor="followedHyperlink"/>
      <w:u w:val="single"/>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Header">
    <w:name w:val="header"/>
    <w:basedOn w:val="Normal"/>
    <w:link w:val="HeaderChar"/>
    <w:uiPriority w:val="99"/>
    <w:unhideWhenUsed/>
    <w:rsid w:val="002B24BD"/>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24BD"/>
  </w:style>
  <w:style w:type="paragraph" w:styleId="Footer">
    <w:name w:val="footer"/>
    <w:basedOn w:val="Normal"/>
    <w:link w:val="FooterChar"/>
    <w:uiPriority w:val="99"/>
    <w:unhideWhenUsed/>
    <w:rsid w:val="002B24B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24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4.tiff"/><Relationship Id="rId12" Type="http://schemas.openxmlformats.org/officeDocument/2006/relationships/image" Target="media/image5.tiff"/><Relationship Id="rId13" Type="http://schemas.openxmlformats.org/officeDocument/2006/relationships/image" Target="media/image6.tiff"/><Relationship Id="rId14" Type="http://schemas.openxmlformats.org/officeDocument/2006/relationships/image" Target="media/image7.tiff"/><Relationship Id="rId15" Type="http://schemas.openxmlformats.org/officeDocument/2006/relationships/image" Target="media/image8.tiff"/><Relationship Id="rId16" Type="http://schemas.openxmlformats.org/officeDocument/2006/relationships/fontTable" Target="fontTable.xml"/><Relationship Id="rId17"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tiff"/><Relationship Id="rId9" Type="http://schemas.openxmlformats.org/officeDocument/2006/relationships/image" Target="media/image2.tiff"/><Relationship Id="rId10" Type="http://schemas.openxmlformats.org/officeDocument/2006/relationships/image" Target="media/image3.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LSwp+qBPrBqjJNxeNbdR0Vv6AQ==">CgMxLjAyDmguMncxbjFjbnMzaHFsOAByITF1VUhTVEplVDhGWmxaOHZmdU91QkZCRGIyZ0hRVVpIUw==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655</Words>
  <Characters>3736</Characters>
  <Application>Microsoft Macintosh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4383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Abdul Rahman</dc:creator>
  <cp:lastModifiedBy>Microsoft Office User</cp:lastModifiedBy>
  <cp:revision>2</cp:revision>
  <dcterms:created xsi:type="dcterms:W3CDTF">2026-05-07T07:11:00Z</dcterms:created>
  <dcterms:modified xsi:type="dcterms:W3CDTF">2026-05-07T07:11:00Z</dcterms:modified>
</cp:coreProperties>
</file>