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BodyText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7" w:name="Xc3247faa838c2ddbf5d26769fcdacd2a0e69eee"/>
      <w:r>
        <w:t xml:space="preserve">4. Where it succeeds, where it fails, what we learned</w:t>
      </w:r>
      <w:bookmarkEnd w:id="27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28" w:name="with-more-time"/>
      <w:r>
        <w:t xml:space="preserve">5. With more time</w:t>
      </w:r>
      <w:bookmarkEnd w:id="28"/>
    </w:p>
    <w:p>
      <w:pPr>
        <w:pStyle w:val="FirstParagraph"/>
      </w:pPr>
      <w:r>
        <w:t xml:space="preserve">Priority-sorted (P0 = first):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Larger, repeated evals:</w:t>
      </w:r>
      <w:r>
        <w:t xml:space="preserve"> </w:t>
      </w:r>
      <w:r>
        <w:t xml:space="preserve">Expand beyond the 40-case suite and run</w:t>
      </w:r>
      <w:r>
        <w:t xml:space="preserve"> </w:t>
      </w:r>
      <w:r>
        <w:t xml:space="preserve">each configuration multiple times to measure variance and report</w:t>
      </w:r>
      <w:r>
        <w:t xml:space="preserve"> </w:t>
      </w:r>
      <w:r>
        <w:t xml:space="preserve">confidence intervals, rather than relying on a single saturated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Latency optimization:</w:t>
      </w:r>
      <w:r>
        <w:t xml:space="preserve"> </w:t>
      </w:r>
      <w:r>
        <w:t xml:space="preserve">Multi-hop queries currently take up to</w:t>
      </w:r>
      <w:r>
        <w:t xml:space="preserve"> </w:t>
      </w:r>
      <w:r>
        <w:t xml:space="preserve">~30s because each hop is a sequential, rate-limit-throttled live</w:t>
      </w:r>
      <w:r>
        <w:t xml:space="preserve"> </w:t>
      </w:r>
      <w:r>
        <w:t xml:space="preserve">Wikipedia search; parallelizing independent hops, caching hot articles,</w:t>
      </w:r>
      <w:r>
        <w:t xml:space="preserve"> </w:t>
      </w:r>
      <w:r>
        <w:t xml:space="preserve">and tuning per-turn effort are the obvious levers.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29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currently English-only suite</w:t>
      </w:r>
      <w:r>
        <w:t xml:space="preserve"> </w:t>
      </w:r>
      <w:r>
        <w:t xml:space="preserve">across languages and test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cases, where requirements for faithfulness, source quality, uncertainty</w:t>
      </w:r>
      <w:r>
        <w:t xml:space="preserve"> </w:t>
      </w:r>
      <w:r>
        <w:t xml:space="preserve">calibration, and appropriate abstention should be stricter. IAA matters</w:t>
      </w:r>
      <w:r>
        <w:t xml:space="preserve"> </w:t>
      </w:r>
      <w:r>
        <w:t xml:space="preserve">most here: judge agreement should be re-measured against domain-expert</w:t>
      </w:r>
      <w:r>
        <w:t xml:space="preserve"> </w:t>
      </w:r>
      <w:r>
        <w:t xml:space="preserve">human graders (clinicians, lawyers, financial analysts) with per-domain</w:t>
      </w:r>
      <w:r>
        <w:t xml:space="preserve"> </w:t>
      </w:r>
      <w:r>
        <w:t xml:space="preserve">Cohen’s kappa before trusting LLM-judge verdicts in these settings.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2026-07-21T23:32:12Z</dcterms:created>
  <dcterms:modified xsi:type="dcterms:W3CDTF">2026-07-21T23:32:12Z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