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7" w:name="Xc3247faa838c2ddbf5d26769fcdacd2a0e69eee"/>
      <w:r>
        <w:t xml:space="preserve">4. Where it succeeds, where it fails, what we learned</w:t>
      </w:r>
      <w:bookmarkEnd w:id="27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28" w:name="with-more-time"/>
      <w:r>
        <w:t xml:space="preserve">5. With more time</w:t>
      </w:r>
      <w:bookmarkEnd w:id="28"/>
    </w:p>
    <w:p>
      <w:pPr>
        <w:pStyle w:val="FirstParagraph"/>
      </w:pPr>
      <w:r>
        <w:t xml:space="preserve">Priority-sorted (P0 = first):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Larger, repeated evals:</w:t>
      </w:r>
      <w:r>
        <w:t xml:space="preserve"> </w:t>
      </w:r>
      <w:r>
        <w:t xml:space="preserve">Expand beyond the 40-case suite and run</w:t>
      </w:r>
      <w:r>
        <w:t xml:space="preserve"> </w:t>
      </w:r>
      <w:r>
        <w:t xml:space="preserve">each configuration multiple times to measure variance and report</w:t>
      </w:r>
      <w:r>
        <w:t xml:space="preserve"> </w:t>
      </w:r>
      <w:r>
        <w:t xml:space="preserve">confidence intervals, rather than relying on a single saturated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29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currently English-only suite</w:t>
      </w:r>
      <w:r>
        <w:t xml:space="preserve"> </w:t>
      </w:r>
      <w:r>
        <w:t xml:space="preserve">across languages and test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cases, where requirements for faithfulness, source quality, uncertainty</w:t>
      </w:r>
      <w:r>
        <w:t xml:space="preserve"> </w:t>
      </w:r>
      <w:r>
        <w:t xml:space="preserve">calibration, and appropriate abstention should be stricter. IAA matters</w:t>
      </w:r>
      <w:r>
        <w:t xml:space="preserve"> </w:t>
      </w:r>
      <w:r>
        <w:t xml:space="preserve">most here: judge agreement should be re-measured against domain-expert</w:t>
      </w:r>
      <w:r>
        <w:t xml:space="preserve"> </w:t>
      </w:r>
      <w:r>
        <w:t xml:space="preserve">human graders (clinicians, lawyers, financial analysts) with per-domain</w:t>
      </w:r>
      <w:r>
        <w:t xml:space="preserve"> </w:t>
      </w:r>
      <w:r>
        <w:t xml:space="preserve">Cohen’s kappa before trusting LLM-judge verdicts in these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2026-07-21T20:27:26Z</dcterms:created>
  <dcterms:modified xsi:type="dcterms:W3CDTF">2026-07-21T20:27:26Z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