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color w:val="000000"/>
        </w:rPr>
      </w:pPr>
      <w:r w:rsidDel="00000000" w:rsidR="00000000" w:rsidRPr="00000000">
        <w:rPr>
          <w:rtl w:val="0"/>
        </w:rPr>
        <w:t xml:space="preserve">Clinical knowledge extraction via sparse embedding regression (KESER) with multi-center large scale electronic health record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Link: </w:t>
      </w:r>
      <w:hyperlink r:id="rId9">
        <w:r w:rsidDel="00000000" w:rsidR="00000000" w:rsidRPr="00000000">
          <w:rPr>
            <w:color w:val="000000"/>
            <w:u w:val="single"/>
            <w:rtl w:val="0"/>
          </w:rPr>
          <w:t xml:space="preserve">https://www.nature.com/articles/s41746-021-00519-z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79" w:lineRule="auto"/>
        <w:rPr>
          <w:rFonts w:ascii="Aptos" w:cs="Aptos" w:eastAsia="Aptos" w:hAnsi="Aptos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79" w:lineRule="auto"/>
        <w:rPr>
          <w:rFonts w:ascii="Aptos" w:cs="Aptos" w:eastAsia="Aptos" w:hAnsi="Aptos"/>
          <w:color w:val="00000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4"/>
          <w:szCs w:val="24"/>
          <w:rtl w:val="0"/>
        </w:rPr>
        <w:t xml:space="preserve">Motivation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79" w:lineRule="auto"/>
        <w:rPr>
          <w:rFonts w:ascii="Aptos" w:cs="Aptos" w:eastAsia="Aptos" w:hAnsi="Aptos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color w:val="000000"/>
          <w:sz w:val="24"/>
          <w:szCs w:val="24"/>
          <w:u w:val="single"/>
          <w:rtl w:val="0"/>
        </w:rPr>
        <w:t xml:space="preserve">What is the problem being solved?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 multi-center large-scale code embeddings efficiently identify relevant features related to a disease of interest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Integrate the different types of structured data efficiently (codified EHR data)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Establish a highly cooperative and shareable clinical knowledge network across institutions</w:t>
      </w:r>
    </w:p>
    <w:p w:rsidR="00000000" w:rsidDel="00000000" w:rsidP="00000000" w:rsidRDefault="00000000" w:rsidRPr="00000000" w14:paraId="00000009">
      <w:pPr>
        <w:spacing w:after="160" w:line="279" w:lineRule="auto"/>
        <w:rPr>
          <w:rFonts w:ascii="Aptos" w:cs="Aptos" w:eastAsia="Aptos" w:hAnsi="Aptos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color w:val="000000"/>
          <w:sz w:val="24"/>
          <w:szCs w:val="24"/>
          <w:u w:val="single"/>
          <w:rtl w:val="0"/>
        </w:rPr>
        <w:t xml:space="preserve">Why is it important?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comprehensive longitudinal data allow for studies to examine a broad range of hypotheses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information about the dependency structure across different EHR elements -&gt; provide information about the relationship of conditions and codes at a particular institution and equivalent codes across institutions.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longer be associated with individual patient data -&gt; be readily shared -&gt; facilitate multi-center collaborations</w:t>
      </w:r>
    </w:p>
    <w:p w:rsidR="00000000" w:rsidDel="00000000" w:rsidP="00000000" w:rsidRDefault="00000000" w:rsidRPr="00000000" w14:paraId="0000000D">
      <w:pPr>
        <w:spacing w:after="160" w:line="279" w:lineRule="auto"/>
        <w:rPr>
          <w:rFonts w:ascii="Aptos" w:cs="Aptos" w:eastAsia="Aptos" w:hAnsi="Aptos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color w:val="000000"/>
          <w:sz w:val="24"/>
          <w:szCs w:val="24"/>
          <w:u w:val="single"/>
          <w:rtl w:val="0"/>
        </w:rPr>
        <w:t xml:space="preserve">What previous work exists?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Manually select individual EHR features and map specific EHR codes to represent each feature, requiring input from clinical and informatics experts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ICD (International Classification of Disease): disease conditions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LOINC (Logical Observation Identifiers Names and Codes): laboratory tests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CPT (Current Procedural Terminology) and CCS (Clinical Classifications Software): procedures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RxNorm and NDC (National Drug Code): medications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Previous embeddings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Code2Vec19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Med2Vec21 </w:t>
      </w:r>
    </w:p>
    <w:p w:rsidR="00000000" w:rsidDel="00000000" w:rsidP="00000000" w:rsidRDefault="00000000" w:rsidRPr="00000000" w14:paraId="00000017">
      <w:pPr>
        <w:ind w:left="0" w:firstLine="0"/>
        <w:rPr>
          <w:rFonts w:ascii="Aptos" w:cs="Aptos" w:eastAsia="Aptos" w:hAnsi="Apto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Aptos" w:cs="Aptos" w:eastAsia="Aptos" w:hAnsi="Aptos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color w:val="000000"/>
          <w:sz w:val="24"/>
          <w:szCs w:val="24"/>
          <w:u w:val="single"/>
          <w:rtl w:val="0"/>
        </w:rPr>
        <w:t xml:space="preserve">Why is the previous work insufficient to solve the problem?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Susceptible to subjective bias and time-consuming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Sharing algorithms across institutions -&gt; need to identify institution-specific codes and coding patterns in collaborative or replication studies.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Require the use of patient-level data -&gt; hinders the ability to share data across institutions.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Previous embeddings were primarily derived for specific applications (not for the creation of knowledge networks) -&gt; tuned the key hyper-parameters -&gt; limit the applicability of the learned embedding vectors to other downstream tasks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79" w:lineRule="auto"/>
        <w:rPr>
          <w:rFonts w:ascii="Aptos" w:cs="Aptos" w:eastAsia="Aptos" w:hAnsi="Aptos"/>
          <w:color w:val="00000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4"/>
          <w:szCs w:val="24"/>
          <w:rtl w:val="0"/>
        </w:rPr>
        <w:t xml:space="preserve">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Data pre-processing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EHR data from two large hospital systems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 Corporate Data Warehouse (CDW)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Mass General Brigham (MGB).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Aggregate four codified data domains (i.e., diagnosis, procedures, lab measurements, and medications) into PheCode, CCS, RxNorm, LOINC codes, and manual lab concepts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frequency control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Create embedding vectors (SVD-SPPMI algorithm)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Co-occurrence matrix (C(w,c)):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any given patient, scan through each of their codes as a target code. For any given target code occurring at time t (w_t)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all codes occurring within 30 days of t as co-occurrences with w_t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Total numbers of co-occurrences for all possible pairs of codes are aggregated over all target codes (i) within each patient and (ii) across all patients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Constructed two separate </w:t>
      </w:r>
      <w:r w:rsidDel="00000000" w:rsidR="00000000" w:rsidRPr="00000000">
        <w:rPr>
          <w:rtl w:val="0"/>
        </w:rPr>
        <w:t xml:space="preserve">co occurrence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matrices at each site -&gt; to select tuning parameters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892550" cy="614969"/>
            <wp:effectExtent b="0" l="0" r="0" t="0"/>
            <wp:docPr id="187729678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614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k=1; C(w, .)= row of sum of C(w,c); |D| = total sum of co-occurrence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SPPMI matrix first d-dimensional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SVD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U_d diag(lamda_1, lamda_2,...)U_d^T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d-dimensional embedding vectors  Vd  = U_d diag(sqrt(lamda_1), sqrt(lamda)2,...)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Feature selection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 conditional distribution of the target code w and other codes by imposing a Gaussian distribution on the embedding vectors and inferring the dependency via a Gaussian graphical model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091112" cy="636389"/>
            <wp:effectExtent b="0" l="0" r="0" t="0"/>
            <wp:docPr id="187729679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2" cy="636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B^(m)_wc encodes the conditional dependency between codes w and c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B^(m)_wc = 0 if V^(m)_w is independent of V^(m)_c given all other code vectors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KESER 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https://celehs.connect.hms.harvard.edu/kesernetwork/</w:t>
        </w:r>
      </w:hyperlink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screening: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based on marginal cosine similarity and consider codes in Ω^(m)_0:05 = {c : (cos(V^(m)_w, V^(m)_c) &gt; = ρ0:05; c≠w}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Single site: Elastic net penalized regression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Estimate B^(m) = {B^(m)_wc, c≠ w} as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182534" cy="1327150"/>
            <wp:effectExtent b="0" l="0" r="0" t="0"/>
            <wp:docPr id="187729678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534" cy="132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Multiple sites: Integrative least squared regression with a mixture of ridge and group sparse penalty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512733" cy="1562100"/>
            <wp:effectExtent b="0" l="0" r="0" t="0"/>
            <wp:docPr id="187729679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2733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B^(m)_wc ≠ 0 -&gt; important features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Tuning parameters (lamda) selected by CV on SPPMI matrix</w:t>
      </w:r>
    </w:p>
    <w:p w:rsidR="00000000" w:rsidDel="00000000" w:rsidP="00000000" w:rsidRDefault="00000000" w:rsidRPr="00000000" w14:paraId="0000003F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Evaluation of embeddings performance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Accuracy in detecting known similar (if they shared the same integer to calculate the SNR and AUC) pairs and related pairs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AUC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sensitivity of detecting pairs by thresholding cosine similarities to achieve a FPR (Type I error) of 0.01, 0.05 or 0.10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Knowledge mapping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Trained embeddings at MGB and VA can be used to map codes across the two institutions via orthogonal transformation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an orthogonal matrix Q to minimize the distance between V_MGB and V_VA*Q</w:t>
      </w:r>
    </w:p>
    <w:p w:rsidR="00000000" w:rsidDel="00000000" w:rsidP="00000000" w:rsidRDefault="00000000" w:rsidRPr="00000000" w14:paraId="00000047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79" w:lineRule="auto"/>
        <w:rPr>
          <w:rFonts w:ascii="Aptos" w:cs="Aptos" w:eastAsia="Aptos" w:hAnsi="Aptos"/>
          <w:color w:val="00000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4"/>
          <w:szCs w:val="24"/>
          <w:rtl w:val="0"/>
        </w:rPr>
        <w:t xml:space="preserve">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Performance of embeddings pre-KESER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embedding dimensions: retaining 95% of the variation in the SVD (d_95%) -&gt; MGB: 1800; VA: 2900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dimensions by maximizing either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signal-to-noise ratio (SNR)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AUC associated with pairs with known relations against random pairs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280741" cy="2225675"/>
            <wp:effectExtent b="0" l="0" r="0" t="0"/>
            <wp:docPr id="187729679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0741" cy="222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Performance of embeddings post-KESER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943600" cy="1171575"/>
            <wp:effectExtent b="0" l="0" r="0" t="0"/>
            <wp:docPr id="187729679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Knowledge mapping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and 9 lab codes uniquely identified by VA and MGB respectively-&gt; majority of the lab codes are unique to the site -&gt; high cross-site heterogeneity in lab coding.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KESERINT integrates data from both sites -&gt; achieve higher accuracy in reflecting clinical knowledge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 successfully select informative and clinically meaningful features that can be used effectively for phenotyping and other downstream analyses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Evaluations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Embedding algorithms: SVD-SPPMI &gt; GloVe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KESER: INT ~ MGB -&gt; maybe MGB is sufficient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 selection: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Averaged AUC: KESER_MGB &gt; PheCode, FULL, and SAFE features.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Averaged F-score: KESER_MGB &gt; PheCode, FULL, and SAFE features.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95% CI of accuracies: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KESER-selected features ~ SAFE features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21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FULL features and main PheCode alone are substantially wider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216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79" w:lineRule="auto"/>
        <w:rPr>
          <w:rFonts w:ascii="Aptos" w:cs="Aptos" w:eastAsia="Aptos" w:hAnsi="Aptos"/>
          <w:color w:val="00000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4"/>
          <w:szCs w:val="24"/>
          <w:rtl w:val="0"/>
        </w:rPr>
        <w:t xml:space="preserve">Contributions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Facilitate multi-center collaborative studies using EHR data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Past: require that each institution perform analyses individually with results compared across institutions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Coding behaviors, disease management and strategies, and healthcare delivery patterns can vary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Opportunity to develop an integrated clinical knowledge network with input from many institutions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Knowledge network can be updated over time across multiple healthcare systems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Allow the use of grouped lab codes in research studies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 codes are much less standardized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Past: no established grouping structure can be used at scale for research studies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Grouped lab codes based on the similarity between the vectors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Tailor the dimension of embedding vectors to the goals of building knowledge network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Past: GloVe 300; CUI 500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Lower dim: identifying near synonymous concepts or translations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Higher dim: assessing relatedness and embedding regression aiming to optimize feature selection and building knowledge networks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KESER regression performs better with higher dimensional embedding vectors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Computational efficient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Past: SGNS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SVD-SPPMI approach does not need to conduct the negative sampling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Robustness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Past: GloVe has convergence issues when fitting for higher dimensions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Sparsity of the SPPMI matrices</w:t>
        <w:br w:type="textWrapping"/>
      </w:r>
    </w:p>
    <w:p w:rsidR="00000000" w:rsidDel="00000000" w:rsidP="00000000" w:rsidRDefault="00000000" w:rsidRPr="00000000" w14:paraId="00000079">
      <w:pPr>
        <w:ind w:left="0" w:firstLine="0"/>
        <w:rPr>
          <w:rFonts w:ascii="Aptos" w:cs="Aptos" w:eastAsia="Aptos" w:hAnsi="Aptos"/>
          <w:color w:val="00000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4"/>
          <w:szCs w:val="24"/>
          <w:rtl w:val="0"/>
        </w:rPr>
        <w:t xml:space="preserve">Limitations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KESER high dimension embedding vectors are not suitable for all tasks</w:t>
      </w:r>
    </w:p>
    <w:p w:rsidR="00000000" w:rsidDel="00000000" w:rsidP="00000000" w:rsidRDefault="00000000" w:rsidRPr="00000000" w14:paraId="0000007B">
      <w:pPr>
        <w:spacing w:after="160" w:line="279" w:lineRule="auto"/>
        <w:rPr>
          <w:rFonts w:ascii="Aptos" w:cs="Aptos" w:eastAsia="Aptos" w:hAnsi="Apto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79" w:lineRule="auto"/>
        <w:rPr>
          <w:rFonts w:ascii="Aptos" w:cs="Aptos" w:eastAsia="Aptos" w:hAnsi="Aptos"/>
          <w:color w:val="00000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4"/>
          <w:szCs w:val="24"/>
          <w:rtl w:val="0"/>
        </w:rPr>
        <w:t xml:space="preserve">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Why does the method section come after the results and discussion section?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“d_95% is obtained by retaining 95% of the variation in the SVD.”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What does this mean?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Similar to variation in PCA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Same conditional distribution question as last week’s paper.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“We evaluate the quality of the cross-institution mapping based on the top-1, top-5, and top-10 accuracy calculated based on the test set.”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What are “top-1, top-5, and top-10 accuracy” referring to? I thought there was only 1 cross-institution map and 1 set of testing data. Then, how did they get multiple accuracy measures? Did they average out the accuracies of top-5/10?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machine learning top k: calculate accuracy based on top k observations that has highest prediction probability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https://pub.aimind.so/learn-about-the-top-k-accuracy-score-using-the-glass-dataset-f2530c9c90ac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before="0" w:line="279" w:lineRule="auto"/>
        <w:ind w:left="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WAI YU NG" w:id="0" w:date="2024-09-26T13:48:05Z"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http://www.gabormelli.com/RKB/Singular_Value_Decomposition_(SVD)_Task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086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cstheme="majorBidi" w:eastAsiaTheme="majorEastAsia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unhideWhenUsed w:val="1"/>
    <w:qFormat w:val="1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6">
    <w:name w:val="heading 6"/>
    <w:basedOn w:val="Normal"/>
    <w:next w:val="Normal"/>
    <w:link w:val="Heading6Char"/>
    <w:uiPriority w:val="9"/>
    <w:unhideWhenUsed w:val="1"/>
    <w:qFormat w:val="1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cstheme="majorBidi" w:eastAsiaTheme="majorEastAsia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unhideWhenUsed w:val="1"/>
    <w:qFormat w:val="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8">
    <w:name w:val="heading 8"/>
    <w:basedOn w:val="Normal"/>
    <w:next w:val="Normal"/>
    <w:link w:val="Heading8Char"/>
    <w:uiPriority w:val="9"/>
    <w:unhideWhenUsed w:val="1"/>
    <w:qFormat w:val="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cstheme="majorBidi" w:eastAsiaTheme="majorEastAsia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unhideWhenUsed w:val="1"/>
    <w:qFormat w:val="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 w:val="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 w:val="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 w:val="1"/>
    <w:rPr>
      <w:i w:val="1"/>
      <w:iCs w:val="1"/>
      <w:color w:val="0f4761" w:themeColor="accent1" w:themeShade="0000BF"/>
    </w:rPr>
  </w:style>
  <w:style w:type="character" w:styleId="QuoteChar" w:customStyle="1">
    <w:name w:val="Quote Char"/>
    <w:basedOn w:val="DefaultParagraphFont"/>
    <w:link w:val="Quote"/>
    <w:uiPriority w:val="29"/>
    <w:rPr>
      <w:i w:val="1"/>
      <w:iCs w:val="1"/>
      <w:color w:val="404040" w:themeColor="text1" w:themeTint="0000BF"/>
    </w:rPr>
  </w:style>
  <w:style w:type="paragraph" w:styleId="Quote">
    <w:name w:val="Quote"/>
    <w:basedOn w:val="Normal"/>
    <w:next w:val="Normal"/>
    <w:link w:val="QuoteChar"/>
    <w:uiPriority w:val="29"/>
    <w:qFormat w:val="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Pr>
      <w:b w:val="1"/>
      <w:bCs w:val="1"/>
      <w:smallCaps w:val="1"/>
      <w:color w:val="0f4761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hyperlink" Target="https://celehs.connect.hms.harvard.edu/kesernetwork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nature.com/articles/s41746-021-00519-z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hyperlink" Target="https://pub.aimind.so/learn-about-the-top-k-accuracy-score-using-the-glass-dataset-f2530c9c90ac" TargetMode="External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A7cuRUnd7zMNLpDazy4r9cfxuw==">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2024-09-14T15:48:24.2177366Z</dcterms:created>
  <dc:creator>Wai Yu Amanda Ng</dc:creator>
</cp:coreProperties>
</file>