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761"/>
        </w:rPr>
        <w:t>Activity Listing — Study Report</w:t>
      </w:r>
    </w:p>
    <w:p>
      <w:r>
        <w:t>Client study: Finance Dept Activity Listing</w:t>
      </w:r>
    </w:p>
    <w:p>
      <w:r>
        <w:t>Window: 2026-06-01 to 2026-06-30</w:t>
      </w:r>
    </w:p>
    <w:p>
      <w:r>
        <w:t>Method: measured activity data + in-the-moment sampling. Required time excludes non-value-added waste (rework, waiting, over-processing). Figures are reported by role; no individual is identified or ranked.</w:t>
      </w:r>
    </w:p>
    <w:p>
      <w:pPr>
        <w:pStyle w:val="Heading1"/>
      </w:pPr>
      <w:r>
        <w:t>Manload — required vs. actual headcount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Gap</w:t>
            </w:r>
          </w:p>
        </w:tc>
        <w:tc>
          <w:tcPr>
            <w:tcW w:type="dxa" w:w="1440"/>
          </w:tcPr>
          <w:p>
            <w:r>
              <w:t>VA %</w:t>
            </w:r>
          </w:p>
        </w:tc>
        <w:tc>
          <w:tcPr>
            <w:tcW w:type="dxa" w:w="1440"/>
          </w:tcPr>
          <w:p>
            <w:r>
              <w:t>Waste %</w:t>
            </w:r>
          </w:p>
        </w:tc>
      </w:tr>
      <w:tr>
        <w:tc>
          <w:tcPr>
            <w:tcW w:type="dxa" w:w="1440"/>
          </w:tcPr>
          <w:p>
            <w:r>
              <w:t>Finance Manager</w:t>
            </w:r>
          </w:p>
        </w:tc>
        <w:tc>
          <w:tcPr>
            <w:tcW w:type="dxa" w:w="1440"/>
          </w:tcPr>
          <w:p>
            <w:r>
              <w:t>1.02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+0.02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Senior Accountant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+0.00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Staff Accountant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+0.03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</w:tbl>
    <w:p>
      <w:pPr>
        <w:pStyle w:val="Heading1"/>
      </w:pPr>
      <w:r>
        <w:t>Cyclical roles — baseline vs. peak load</w:t>
      </w:r>
    </w:p>
    <w:p>
      <w:r>
        <w:t>For cyclical functions, headcount is reported as a range across the cycle rather than a single average. Peak corresponds to month-end close.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</w:tr>
      <w:tr>
        <w:tc>
          <w:tcPr>
            <w:tcW w:type="dxa" w:w="2160"/>
          </w:tcPr>
          <w:p>
            <w:r>
              <w:t>Senior Accountant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1.88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Senior Accountant</w:t>
            </w:r>
          </w:p>
        </w:tc>
        <w:tc>
          <w:tcPr>
            <w:tcW w:type="dxa" w:w="2160"/>
          </w:tcPr>
          <w:p>
            <w:r>
              <w:t>peak</w:t>
            </w:r>
          </w:p>
        </w:tc>
        <w:tc>
          <w:tcPr>
            <w:tcW w:type="dxa" w:w="2160"/>
          </w:tcPr>
          <w:p>
            <w:r>
              <w:t>2.33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Staff Accountant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2.85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Staff Accountant</w:t>
            </w:r>
          </w:p>
        </w:tc>
        <w:tc>
          <w:tcPr>
            <w:tcW w:type="dxa" w:w="2160"/>
          </w:tcPr>
          <w:p>
            <w:r>
              <w:t>peak</w:t>
            </w:r>
          </w:p>
        </w:tc>
        <w:tc>
          <w:tcPr>
            <w:tcW w:type="dxa" w:w="2160"/>
          </w:tcPr>
          <w:p>
            <w:r>
              <w:t>3.53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pPr>
        <w:pStyle w:val="Heading1"/>
      </w:pPr>
      <w:r>
        <w:t>Recommendations</w:t>
      </w:r>
    </w:p>
    <w:p>
      <w:r>
        <w:t>[Consultant to complete: process changes to remove the waste identified above, and staffing decision for cyclical peaks — staff-to-peak, staff-to-average, or smooth.]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