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F3864"/>
          <w:sz w:val="44"/>
          <w:szCs w:val="44"/>
        </w:rPr>
        <w:t xml:space="preserve">Methodology, Prioritization, Features &amp; KPIs</w:t>
      </w:r>
    </w:p>
    <w:p>
      <w:pPr>
        <w:pBdr>
          <w:bottom w:val="single" w:color="1F3864" w:sz="8" w:space="4"/>
        </w:pBdr>
        <w:spacing w:after="60"/>
      </w:pPr>
      <w:r>
        <w:rPr>
          <w:rFonts w:ascii="Calibri" w:cs="Calibri" w:eastAsia="Calibri" w:hAnsi="Calibri"/>
          <w:color w:val="595959"/>
          <w:sz w:val="26"/>
          <w:szCs w:val="26"/>
        </w:rPr>
        <w:t xml:space="preserve">Chemical Injection Equipment Management System (CIEMS)</w:t>
      </w:r>
    </w:p>
    <w:p>
      <w:pPr>
        <w:spacing w:after="200"/>
      </w:pPr>
      <w:r>
        <w:rPr>
          <w:rFonts w:ascii="Calibri" w:cs="Calibri" w:eastAsia="Calibri" w:hAnsi="Calibri"/>
          <w:color w:val="7F7F7F"/>
          <w:sz w:val="18"/>
          <w:szCs w:val="18"/>
        </w:rPr>
        <w:t xml:space="preserve">Chemical Injection Equipment Management System (CIEMS)  |  Business Analyst Challenge  |  Version 1.0</w:t>
      </w:r>
    </w:p>
    <w:p>
      <w:pPr>
        <w:pStyle w:val="Heading1"/>
        <w:spacing w:after="140" w:before="300"/>
      </w:pPr>
      <w:r>
        <w:rPr>
          <w:rFonts w:ascii="Calibri" w:cs="Calibri" w:eastAsia="Calibri" w:hAnsi="Calibri"/>
          <w:b/>
          <w:bCs/>
          <w:color w:val="1F3864"/>
          <w:sz w:val="32"/>
          <w:szCs w:val="32"/>
        </w:rPr>
        <w:t xml:space="preserve">1. Summary</w:t>
      </w:r>
    </w:p>
    <w:p>
      <w:pPr>
        <w:pStyle w:val="ListParagraph"/>
        <w:numPr>
          <w:ilvl w:val="0"/>
          <w:numId w:val="2"/>
        </w:numPr>
        <w:spacing w:after="50"/>
      </w:pPr>
      <w:r>
        <w:rPr>
          <w:rFonts w:ascii="Calibri" w:cs="Calibri" w:eastAsia="Calibri" w:hAnsi="Calibri"/>
          <w:b/>
          <w:bCs/>
          <w:sz w:val="21"/>
          <w:szCs w:val="21"/>
        </w:rPr>
        <w:t xml:space="preserve">Methodology:</w:t>
      </w:r>
      <w:r>
        <w:rPr>
          <w:rFonts w:ascii="Calibri" w:cs="Calibri" w:eastAsia="Calibri" w:hAnsi="Calibri"/>
          <w:sz w:val="21"/>
          <w:szCs w:val="21"/>
        </w:rPr>
        <w:t xml:space="preserve"> Scrum with a short discovery sprint (Sprint 0) and a fixed integration contract – an agile core with light upfront specification (hybrid).</w:t>
      </w:r>
    </w:p>
    <w:p>
      <w:pPr>
        <w:pStyle w:val="ListParagraph"/>
        <w:numPr>
          <w:ilvl w:val="0"/>
          <w:numId w:val="2"/>
        </w:numPr>
        <w:spacing w:after="50"/>
      </w:pPr>
      <w:r>
        <w:rPr>
          <w:rFonts w:ascii="Calibri" w:cs="Calibri" w:eastAsia="Calibri" w:hAnsi="Calibri"/>
          <w:b/>
          <w:bCs/>
          <w:sz w:val="21"/>
          <w:szCs w:val="21"/>
        </w:rPr>
        <w:t xml:space="preserve">Prioritization:</w:t>
      </w:r>
      <w:r>
        <w:rPr>
          <w:rFonts w:ascii="Calibri" w:cs="Calibri" w:eastAsia="Calibri" w:hAnsi="Calibri"/>
          <w:sz w:val="21"/>
          <w:szCs w:val="21"/>
        </w:rPr>
        <w:t xml:space="preserve"> MoSCoW to define the MVP, then WSJF (Weighted Shortest Job First) to order the backlog, with dependencies overriding the score.</w:t>
      </w:r>
    </w:p>
    <w:p>
      <w:pPr>
        <w:pStyle w:val="ListParagraph"/>
        <w:numPr>
          <w:ilvl w:val="0"/>
          <w:numId w:val="2"/>
        </w:numPr>
        <w:spacing w:after="50"/>
      </w:pPr>
      <w:r>
        <w:rPr>
          <w:rFonts w:ascii="Calibri" w:cs="Calibri" w:eastAsia="Calibri" w:hAnsi="Calibri"/>
          <w:b/>
          <w:bCs/>
          <w:sz w:val="21"/>
          <w:szCs w:val="21"/>
        </w:rPr>
        <w:t xml:space="preserve">MVP (Release 1):</w:t>
      </w:r>
      <w:r>
        <w:rPr>
          <w:rFonts w:ascii="Calibri" w:cs="Calibri" w:eastAsia="Calibri" w:hAnsi="Calibri"/>
          <w:sz w:val="21"/>
          <w:szCs w:val="21"/>
        </w:rPr>
        <w:t xml:space="preserve"> registry, association with rule validation, real-time data ingestion, injection rate, autonomy, consumption per well, dashboard and tank detail.</w:t>
      </w:r>
    </w:p>
    <w:p>
      <w:pPr>
        <w:pStyle w:val="ListParagraph"/>
        <w:numPr>
          <w:ilvl w:val="0"/>
          <w:numId w:val="2"/>
        </w:numPr>
        <w:spacing w:after="50"/>
      </w:pPr>
      <w:r>
        <w:rPr>
          <w:rFonts w:ascii="Calibri" w:cs="Calibri" w:eastAsia="Calibri" w:hAnsi="Calibri"/>
          <w:b/>
          <w:bCs/>
          <w:sz w:val="21"/>
          <w:szCs w:val="21"/>
        </w:rPr>
        <w:t xml:space="preserve">Indicators:</w:t>
      </w:r>
      <w:r>
        <w:rPr>
          <w:rFonts w:ascii="Calibri" w:cs="Calibri" w:eastAsia="Calibri" w:hAnsi="Calibri"/>
          <w:sz w:val="21"/>
          <w:szCs w:val="21"/>
        </w:rPr>
        <w:t xml:space="preserve"> a small set of product, business and data-quality KPIs, each with formula, target and justification.</w:t>
      </w:r>
    </w:p>
    <w:p>
      <w:pPr>
        <w:pStyle w:val="Heading1"/>
        <w:spacing w:after="140" w:before="300"/>
      </w:pPr>
      <w:r>
        <w:rPr>
          <w:rFonts w:ascii="Calibri" w:cs="Calibri" w:eastAsia="Calibri" w:hAnsi="Calibri"/>
          <w:b/>
          <w:bCs/>
          <w:color w:val="1F3864"/>
          <w:sz w:val="32"/>
          <w:szCs w:val="32"/>
        </w:rPr>
        <w:t xml:space="preserve">2. Recommended Development Methodology</w:t>
      </w:r>
    </w:p>
    <w:p>
      <w:pPr>
        <w:pStyle w:val="Heading2"/>
        <w:spacing w:after="100" w:before="240"/>
      </w:pPr>
      <w:r>
        <w:rPr>
          <w:rFonts w:ascii="Calibri" w:cs="Calibri" w:eastAsia="Calibri" w:hAnsi="Calibri"/>
          <w:b/>
          <w:bCs/>
          <w:color w:val="2F5496"/>
          <w:sz w:val="26"/>
          <w:szCs w:val="26"/>
        </w:rPr>
        <w:t xml:space="preserve">2.1 Recommendation: Scrum (with Sprint 0)</w:t>
      </w:r>
    </w:p>
    <w:p>
      <w:pPr>
        <w:spacing w:after="100"/>
      </w:pPr>
      <w:r>
        <w:rPr>
          <w:rFonts w:ascii="Calibri" w:cs="Calibri" w:eastAsia="Calibri" w:hAnsi="Calibri"/>
          <w:sz w:val="21"/>
          <w:szCs w:val="21"/>
        </w:rPr>
        <w:t xml:space="preserve">For the implementation phase, </w:t>
      </w:r>
      <w:r>
        <w:rPr>
          <w:rFonts w:ascii="Calibri" w:cs="Calibri" w:eastAsia="Calibri" w:hAnsi="Calibri"/>
          <w:b/>
          <w:bCs/>
          <w:sz w:val="21"/>
          <w:szCs w:val="21"/>
        </w:rPr>
        <w:t xml:space="preserve">Scrum with 2-week sprints</w:t>
      </w:r>
      <w:r>
        <w:rPr>
          <w:rFonts w:ascii="Calibri" w:cs="Calibri" w:eastAsia="Calibri" w:hAnsi="Calibri"/>
          <w:sz w:val="21"/>
          <w:szCs w:val="21"/>
        </w:rPr>
        <w:t xml:space="preserve"> is the most suitable approach, preceded by a </w:t>
      </w:r>
      <w:r>
        <w:rPr>
          <w:rFonts w:ascii="Calibri" w:cs="Calibri" w:eastAsia="Calibri" w:hAnsi="Calibri"/>
          <w:b/>
          <w:bCs/>
          <w:sz w:val="21"/>
          <w:szCs w:val="21"/>
        </w:rPr>
        <w:t xml:space="preserve">Sprint 0</w:t>
      </w:r>
      <w:r>
        <w:rPr>
          <w:rFonts w:ascii="Calibri" w:cs="Calibri" w:eastAsia="Calibri" w:hAnsi="Calibri"/>
          <w:sz w:val="21"/>
          <w:szCs w:val="21"/>
        </w:rPr>
        <w:t xml:space="preserve"> for architecture, environment, integration samples and backlog refinement. The specification produced in this challenge acts as the initial, refined product backlog.</w:t>
      </w:r>
    </w:p>
    <w:p>
      <w:pPr>
        <w:pStyle w:val="Heading3"/>
        <w:spacing w:after="60" w:before="160"/>
      </w:pPr>
      <w:r>
        <w:rPr>
          <w:rFonts w:ascii="Calibri" w:cs="Calibri" w:eastAsia="Calibri" w:hAnsi="Calibri"/>
          <w:b/>
          <w:bCs/>
          <w:color w:val="404040"/>
          <w:sz w:val="22"/>
          <w:szCs w:val="22"/>
        </w:rPr>
        <w:t xml:space="preserve">Why Scrum fits this project</w:t>
      </w:r>
    </w:p>
    <w:p>
      <w:pPr>
        <w:pStyle w:val="ListParagraph"/>
        <w:numPr>
          <w:ilvl w:val="0"/>
          <w:numId w:val="2"/>
        </w:numPr>
        <w:spacing w:after="50"/>
      </w:pPr>
      <w:r>
        <w:rPr>
          <w:rFonts w:ascii="Calibri" w:cs="Calibri" w:eastAsia="Calibri" w:hAnsi="Calibri"/>
          <w:b/>
          <w:bCs/>
          <w:sz w:val="21"/>
          <w:szCs w:val="21"/>
        </w:rPr>
        <w:t xml:space="preserve">Requirements are well understood but not frozen.</w:t>
      </w:r>
      <w:r>
        <w:rPr>
          <w:rFonts w:ascii="Calibri" w:cs="Calibri" w:eastAsia="Calibri" w:hAnsi="Calibri"/>
          <w:sz w:val="21"/>
          <w:szCs w:val="21"/>
        </w:rPr>
        <w:t xml:space="preserve"> Core rules (3 products, A × C, 20%) are clear, but allocation logic, alert levels and units will change after users see real data. Short feedback loops reduce rework.</w:t>
      </w:r>
    </w:p>
    <w:p>
      <w:pPr>
        <w:pStyle w:val="ListParagraph"/>
        <w:numPr>
          <w:ilvl w:val="0"/>
          <w:numId w:val="2"/>
        </w:numPr>
        <w:spacing w:after="50"/>
      </w:pPr>
      <w:r>
        <w:rPr>
          <w:rFonts w:ascii="Calibri" w:cs="Calibri" w:eastAsia="Calibri" w:hAnsi="Calibri"/>
          <w:b/>
          <w:bCs/>
          <w:sz w:val="21"/>
          <w:szCs w:val="21"/>
        </w:rPr>
        <w:t xml:space="preserve">Two very different user groups</w:t>
      </w:r>
      <w:r>
        <w:rPr>
          <w:rFonts w:ascii="Calibri" w:cs="Calibri" w:eastAsia="Calibri" w:hAnsi="Calibri"/>
          <w:sz w:val="21"/>
          <w:szCs w:val="21"/>
        </w:rPr>
        <w:t xml:space="preserve"> (Sales and Field Technicians) need to validate usability early; each sprint ends with a demo to both.</w:t>
      </w:r>
    </w:p>
    <w:p>
      <w:pPr>
        <w:pStyle w:val="ListParagraph"/>
        <w:numPr>
          <w:ilvl w:val="0"/>
          <w:numId w:val="2"/>
        </w:numPr>
        <w:spacing w:after="50"/>
      </w:pPr>
      <w:r>
        <w:rPr>
          <w:rFonts w:ascii="Calibri" w:cs="Calibri" w:eastAsia="Calibri" w:hAnsi="Calibri"/>
          <w:b/>
          <w:bCs/>
          <w:sz w:val="21"/>
          <w:szCs w:val="21"/>
        </w:rPr>
        <w:t xml:space="preserve">Incremental value:</w:t>
      </w:r>
      <w:r>
        <w:rPr>
          <w:rFonts w:ascii="Calibri" w:cs="Calibri" w:eastAsia="Calibri" w:hAnsi="Calibri"/>
          <w:sz w:val="21"/>
          <w:szCs w:val="21"/>
        </w:rPr>
        <w:t xml:space="preserve"> registry and association can go live while analytics are still being refined, so the client starts replacing spreadsheets early.</w:t>
      </w:r>
    </w:p>
    <w:p>
      <w:pPr>
        <w:pStyle w:val="ListParagraph"/>
        <w:numPr>
          <w:ilvl w:val="0"/>
          <w:numId w:val="2"/>
        </w:numPr>
        <w:spacing w:after="50"/>
      </w:pPr>
      <w:r>
        <w:rPr>
          <w:rFonts w:ascii="Calibri" w:cs="Calibri" w:eastAsia="Calibri" w:hAnsi="Calibri"/>
          <w:b/>
          <w:bCs/>
          <w:sz w:val="21"/>
          <w:szCs w:val="21"/>
        </w:rPr>
        <w:t xml:space="preserve">Integration risk is discovered, not assumed.</w:t>
      </w:r>
      <w:r>
        <w:rPr>
          <w:rFonts w:ascii="Calibri" w:cs="Calibri" w:eastAsia="Calibri" w:hAnsi="Calibri"/>
          <w:sz w:val="21"/>
          <w:szCs w:val="21"/>
        </w:rPr>
        <w:t xml:space="preserve"> Real-time data quality (gaps, refills, units) is best handled with early, frequent ingestion tests.</w:t>
      </w:r>
    </w:p>
    <w:p>
      <w:pPr>
        <w:pStyle w:val="ListParagraph"/>
        <w:numPr>
          <w:ilvl w:val="0"/>
          <w:numId w:val="2"/>
        </w:numPr>
        <w:spacing w:after="50"/>
      </w:pPr>
      <w:r>
        <w:rPr>
          <w:rFonts w:ascii="Calibri" w:cs="Calibri" w:eastAsia="Calibri" w:hAnsi="Calibri"/>
          <w:b/>
          <w:bCs/>
          <w:sz w:val="21"/>
          <w:szCs w:val="21"/>
        </w:rPr>
        <w:t xml:space="preserve">Multi-site growth:</w:t>
      </w:r>
      <w:r>
        <w:rPr>
          <w:rFonts w:ascii="Calibri" w:cs="Calibri" w:eastAsia="Calibri" w:hAnsi="Calibri"/>
          <w:sz w:val="21"/>
          <w:szCs w:val="21"/>
        </w:rPr>
        <w:t xml:space="preserve"> new sites and rules arrive continuously, which suits a product backlog managed by a Product Owner.</w:t>
      </w:r>
    </w:p>
    <w:p>
      <w:pPr>
        <w:pStyle w:val="Heading2"/>
        <w:spacing w:after="100" w:before="240"/>
      </w:pPr>
      <w:r>
        <w:rPr>
          <w:rFonts w:ascii="Calibri" w:cs="Calibri" w:eastAsia="Calibri" w:hAnsi="Calibri"/>
          <w:b/>
          <w:bCs/>
          <w:color w:val="2F5496"/>
          <w:sz w:val="26"/>
          <w:szCs w:val="26"/>
        </w:rPr>
        <w:t xml:space="preserve">2.2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2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7"/>
                <w:szCs w:val="17"/>
              </w:rPr>
              <w:t xml:space="preserve">Criterion</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7"/>
                <w:szCs w:val="17"/>
              </w:rPr>
              <w:t xml:space="preserve">Scrum (recommended)</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7"/>
                <w:szCs w:val="17"/>
              </w:rPr>
              <w:t xml:space="preserve">Waterfall</w:t>
            </w:r>
          </w:p>
        </w:tc>
        <w:tc>
          <w:tcPr>
            <w:tcW w:type="dxa" w:w="22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7"/>
                <w:szCs w:val="17"/>
              </w:rPr>
              <w:t xml:space="preserve">Kanban</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Requirement stability</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Handles changes per sprint</w:t>
            </w:r>
          </w:p>
        </w:tc>
        <w:tc>
          <w:tcPr>
            <w:tcW w:type="dxa" w:w="2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Needs frozen scope</w:t>
            </w:r>
          </w:p>
        </w:tc>
        <w:tc>
          <w:tcPr>
            <w:tcW w:type="dxa" w:w="22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Handles changes continuously</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Early user feedback</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Every sprint (demo)</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Only at UAT, late</w:t>
            </w:r>
          </w:p>
        </w:tc>
        <w:tc>
          <w:tcPr>
            <w:tcW w:type="dxa" w:w="22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Continuous but less structured</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Integration / data risk</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Mitigated early</w:t>
            </w:r>
          </w:p>
        </w:tc>
        <w:tc>
          <w:tcPr>
            <w:tcW w:type="dxa" w:w="2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Discovered late</w:t>
            </w:r>
          </w:p>
        </w:tc>
        <w:tc>
          <w:tcPr>
            <w:tcW w:type="dxa" w:w="22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Mitigated, no time-box</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Predictability of scope / date</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Release plan with velocity</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High if scope stable</w:t>
            </w:r>
          </w:p>
        </w:tc>
        <w:tc>
          <w:tcPr>
            <w:tcW w:type="dxa" w:w="22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Low (flow-based)</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Governance / documentation</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Light; specification already exists</w:t>
            </w:r>
          </w:p>
        </w:tc>
        <w:tc>
          <w:tcPr>
            <w:tcW w:type="dxa" w:w="2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Heavy</w:t>
            </w:r>
          </w:p>
        </w:tc>
        <w:tc>
          <w:tcPr>
            <w:tcW w:type="dxa" w:w="22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Light</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Team size fit (4–7 people)</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Good</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Good</w:t>
            </w:r>
          </w:p>
        </w:tc>
        <w:tc>
          <w:tcPr>
            <w:tcW w:type="dxa" w:w="22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Good</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Overall fit for CIEMS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Best</w:t>
            </w:r>
          </w:p>
        </w:tc>
        <w:tc>
          <w:tcPr>
            <w:tcW w:type="dxa" w:w="2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Good for contract-driven phases (this specification)</w:t>
            </w:r>
          </w:p>
        </w:tc>
        <w:tc>
          <w:tcPr>
            <w:tcW w:type="dxa" w:w="22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Good for the support phase after go-live</w:t>
            </w:r>
          </w:p>
        </w:tc>
      </w:tr>
    </w:tbl>
    <w:p>
      <w:pPr>
        <w:spacing w:after="80"/>
      </w:pPr>
    </w:p>
    <w:p>
      <w:pPr>
        <w:spacing w:after="100"/>
      </w:pPr>
      <w:r>
        <w:rPr>
          <w:rFonts w:ascii="Calibri" w:cs="Calibri" w:eastAsia="Calibri" w:hAnsi="Calibri"/>
          <w:b/>
          <w:bCs/>
          <w:sz w:val="21"/>
          <w:szCs w:val="21"/>
        </w:rPr>
        <w:t xml:space="preserve">Note:</w:t>
      </w:r>
      <w:r>
        <w:rPr>
          <w:rFonts w:ascii="Calibri" w:cs="Calibri" w:eastAsia="Calibri" w:hAnsi="Calibri"/>
          <w:sz w:val="21"/>
          <w:szCs w:val="21"/>
        </w:rPr>
        <w:t xml:space="preserve"> the specification phase itself (this challenge) follows a sequential, waterfall-like flow (elicitation → detailing → validation), which is appropriate to reach client agreement. After sign-off, the implementation follows Scrum, and once in production the team can move to Kanban for support and small changes.</w:t>
      </w:r>
    </w:p>
    <w:p>
      <w:pPr>
        <w:pStyle w:val="Heading2"/>
        <w:spacing w:after="100" w:before="240"/>
      </w:pPr>
      <w:r>
        <w:rPr>
          <w:rFonts w:ascii="Calibri" w:cs="Calibri" w:eastAsia="Calibri" w:hAnsi="Calibri"/>
          <w:b/>
          <w:bCs/>
          <w:color w:val="2F5496"/>
          <w:sz w:val="26"/>
          <w:szCs w:val="26"/>
        </w:rPr>
        <w:t xml:space="preserve">2.3 Suggested team and ceremonies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8"/>
                <w:szCs w:val="18"/>
              </w:rPr>
              <w:t xml:space="preserve">Item</w:t>
            </w:r>
          </w:p>
        </w:tc>
        <w:tc>
          <w:tcPr>
            <w:tcW w:type="dxa" w:w="69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8"/>
                <w:szCs w:val="18"/>
              </w:rPr>
              <w:t xml:space="preserve">Proposal</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8"/>
                <w:szCs w:val="18"/>
              </w:rPr>
              <w:t xml:space="preserve">Team</w:t>
            </w:r>
          </w:p>
        </w:tc>
        <w:tc>
          <w:tcPr>
            <w:tcW w:type="dxa" w:w="69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8"/>
                <w:szCs w:val="18"/>
              </w:rPr>
              <w:t xml:space="preserve">Product Owner (client), Business Analyst, UX designer (part-time), 2–3 developers, 1 QA, Tech lead / architect (part-time)</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8"/>
                <w:szCs w:val="18"/>
              </w:rPr>
              <w:t xml:space="preserve">Cadence</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8"/>
                <w:szCs w:val="18"/>
              </w:rPr>
              <w:t xml:space="preserve">2-week sprints; planning, daily, review with Sales and Field Technicians, retrospective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8"/>
                <w:szCs w:val="18"/>
              </w:rPr>
              <w:t xml:space="preserve">Definition of Ready</w:t>
            </w:r>
          </w:p>
        </w:tc>
        <w:tc>
          <w:tcPr>
            <w:tcW w:type="dxa" w:w="69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8"/>
                <w:szCs w:val="18"/>
              </w:rPr>
              <w:t xml:space="preserve">Story has acceptance criteria, rule IDs, screen reference and no open question</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8"/>
                <w:szCs w:val="18"/>
              </w:rPr>
              <w:t xml:space="preserve">Definition of Done</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8"/>
                <w:szCs w:val="18"/>
              </w:rPr>
              <w:t xml:space="preserve">Code reviewed, automated tests (including calculation examples), acceptance criteria verified by BA/PO, deployed in staging, documentation updated</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8"/>
                <w:szCs w:val="18"/>
              </w:rPr>
              <w:t xml:space="preserve">Tooling</w:t>
            </w:r>
          </w:p>
        </w:tc>
        <w:tc>
          <w:tcPr>
            <w:tcW w:type="dxa" w:w="69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8"/>
                <w:szCs w:val="18"/>
              </w:rPr>
              <w:t xml:space="preserve">Jira or Azure Boards for backlog; requirements linked to stories for traceability</w:t>
            </w:r>
          </w:p>
        </w:tc>
      </w:tr>
    </w:tbl>
    <w:p>
      <w:pPr>
        <w:pStyle w:val="Heading1"/>
        <w:spacing w:after="140" w:before="300"/>
      </w:pPr>
      <w:r>
        <w:rPr>
          <w:rFonts w:ascii="Calibri" w:cs="Calibri" w:eastAsia="Calibri" w:hAnsi="Calibri"/>
          <w:b/>
          <w:bCs/>
          <w:color w:val="1F3864"/>
          <w:sz w:val="32"/>
          <w:szCs w:val="32"/>
        </w:rPr>
        <w:t xml:space="preserve">3. Prioritization Simulation</w:t>
      </w:r>
    </w:p>
    <w:p>
      <w:pPr>
        <w:pStyle w:val="Heading2"/>
        <w:spacing w:after="100" w:before="240"/>
      </w:pPr>
      <w:r>
        <w:rPr>
          <w:rFonts w:ascii="Calibri" w:cs="Calibri" w:eastAsia="Calibri" w:hAnsi="Calibri"/>
          <w:b/>
          <w:bCs/>
          <w:color w:val="2F5496"/>
          <w:sz w:val="26"/>
          <w:szCs w:val="26"/>
        </w:rPr>
        <w:t xml:space="preserve">3.1 Method</w:t>
      </w:r>
    </w:p>
    <w:p>
      <w:pPr>
        <w:spacing w:after="100"/>
      </w:pPr>
      <w:r>
        <w:rPr>
          <w:rFonts w:ascii="Calibri" w:cs="Calibri" w:eastAsia="Calibri" w:hAnsi="Calibri"/>
          <w:sz w:val="21"/>
          <w:szCs w:val="21"/>
        </w:rPr>
        <w:t xml:space="preserve">Requirements were grouped into epics. Each epic was scored on </w:t>
      </w:r>
      <w:r>
        <w:rPr>
          <w:rFonts w:ascii="Calibri" w:cs="Calibri" w:eastAsia="Calibri" w:hAnsi="Calibri"/>
          <w:b/>
          <w:bCs/>
          <w:sz w:val="21"/>
          <w:szCs w:val="21"/>
        </w:rPr>
        <w:t xml:space="preserve">Business Value (BV)</w:t>
      </w:r>
      <w:r>
        <w:rPr>
          <w:rFonts w:ascii="Calibri" w:cs="Calibri" w:eastAsia="Calibri" w:hAnsi="Calibri"/>
          <w:sz w:val="21"/>
          <w:szCs w:val="21"/>
        </w:rPr>
        <w:t xml:space="preserve">, </w:t>
      </w:r>
      <w:r>
        <w:rPr>
          <w:rFonts w:ascii="Calibri" w:cs="Calibri" w:eastAsia="Calibri" w:hAnsi="Calibri"/>
          <w:b/>
          <w:bCs/>
          <w:sz w:val="21"/>
          <w:szCs w:val="21"/>
        </w:rPr>
        <w:t xml:space="preserve">Time Criticality (TC)</w:t>
      </w:r>
      <w:r>
        <w:rPr>
          <w:rFonts w:ascii="Calibri" w:cs="Calibri" w:eastAsia="Calibri" w:hAnsi="Calibri"/>
          <w:sz w:val="21"/>
          <w:szCs w:val="21"/>
        </w:rPr>
        <w:t xml:space="preserve"> and </w:t>
      </w:r>
      <w:r>
        <w:rPr>
          <w:rFonts w:ascii="Calibri" w:cs="Calibri" w:eastAsia="Calibri" w:hAnsi="Calibri"/>
          <w:b/>
          <w:bCs/>
          <w:sz w:val="21"/>
          <w:szCs w:val="21"/>
        </w:rPr>
        <w:t xml:space="preserve">Risk Reduction / Opportunity Enablement (RR)</w:t>
      </w:r>
      <w:r>
        <w:rPr>
          <w:rFonts w:ascii="Calibri" w:cs="Calibri" w:eastAsia="Calibri" w:hAnsi="Calibri"/>
          <w:sz w:val="21"/>
          <w:szCs w:val="21"/>
        </w:rPr>
        <w:t xml:space="preserve"> using the Fibonacci scale (1, 2, 3, 5, 8, 13), and on </w:t>
      </w:r>
      <w:r>
        <w:rPr>
          <w:rFonts w:ascii="Calibri" w:cs="Calibri" w:eastAsia="Calibri" w:hAnsi="Calibri"/>
          <w:b/>
          <w:bCs/>
          <w:sz w:val="21"/>
          <w:szCs w:val="21"/>
        </w:rPr>
        <w:t xml:space="preserve">Job Size</w:t>
      </w:r>
      <w:r>
        <w:rPr>
          <w:rFonts w:ascii="Calibri" w:cs="Calibri" w:eastAsia="Calibri" w:hAnsi="Calibri"/>
          <w:sz w:val="21"/>
          <w:szCs w:val="21"/>
        </w:rPr>
        <w:t xml:space="preserve"> (relative effort in points). </w:t>
      </w:r>
      <w:r>
        <w:rPr>
          <w:rFonts w:ascii="Calibri" w:cs="Calibri" w:eastAsia="Calibri" w:hAnsi="Calibri"/>
          <w:b/>
          <w:bCs/>
          <w:sz w:val="21"/>
          <w:szCs w:val="21"/>
        </w:rPr>
        <w:t xml:space="preserve">WSJF = (BV + TC + RR) ÷ Size.</w:t>
      </w:r>
      <w:r>
        <w:rPr>
          <w:rFonts w:ascii="Calibri" w:cs="Calibri" w:eastAsia="Calibri" w:hAnsi="Calibri"/>
          <w:sz w:val="21"/>
          <w:szCs w:val="21"/>
        </w:rPr>
        <w:t xml:space="preserve"> The scores are a simulation based on the requirements; in a real project they would be agreed in a workshop with the Product Owner, Sales and the development team.</w:t>
      </w:r>
    </w:p>
    <w:p>
      <w:pPr>
        <w:pStyle w:val="Heading2"/>
        <w:spacing w:after="100" w:before="240"/>
      </w:pPr>
      <w:r>
        <w:rPr>
          <w:rFonts w:ascii="Calibri" w:cs="Calibri" w:eastAsia="Calibri" w:hAnsi="Calibri"/>
          <w:b/>
          <w:bCs/>
          <w:color w:val="2F5496"/>
          <w:sz w:val="26"/>
          <w:szCs w:val="26"/>
        </w:rPr>
        <w:t xml:space="preserve">3.2 Scoring result (sorted by WSJF)</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560"/>
        <w:gridCol w:w="560"/>
        <w:gridCol w:w="3000"/>
        <w:gridCol w:w="1300"/>
        <w:gridCol w:w="460"/>
        <w:gridCol w:w="460"/>
        <w:gridCol w:w="460"/>
        <w:gridCol w:w="560"/>
        <w:gridCol w:w="760"/>
        <w:gridCol w:w="700"/>
      </w:tblGrid>
      <w:tr>
        <w:trPr>
          <w:tblHeader/>
        </w:trPr>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Rank</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ID</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Epic</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Reqs</w:t>
            </w:r>
          </w:p>
        </w:tc>
        <w:tc>
          <w:tcPr>
            <w:tcW w:type="dxa" w:w="4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BV</w:t>
            </w:r>
          </w:p>
        </w:tc>
        <w:tc>
          <w:tcPr>
            <w:tcW w:type="dxa" w:w="4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TC</w:t>
            </w:r>
          </w:p>
        </w:tc>
        <w:tc>
          <w:tcPr>
            <w:tcW w:type="dxa" w:w="4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RR</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Size</w:t>
            </w:r>
          </w:p>
        </w:tc>
        <w:tc>
          <w:tcPr>
            <w:tcW w:type="dxa" w:w="7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MoSCoW</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WSJF</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1</w:t>
            </w:r>
          </w:p>
        </w:tc>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E01</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Authentication, roles and site access</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FR-24</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5</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8</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8</w:t>
            </w:r>
          </w:p>
        </w:tc>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5</w:t>
            </w:r>
          </w:p>
        </w:tc>
        <w:tc>
          <w:tcPr>
            <w:tcW w:type="dxa" w:w="7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M</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4.20</w:t>
            </w:r>
          </w:p>
        </w:tc>
      </w:tr>
      <w:tr>
        <w:trPr>
          <w:cantSplit/>
        </w:trPr>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2</w:t>
            </w:r>
          </w:p>
        </w:tc>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E14</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Audit log</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FR-25</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3</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3</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5</w:t>
            </w:r>
          </w:p>
        </w:tc>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3</w:t>
            </w:r>
          </w:p>
        </w:tc>
        <w:tc>
          <w:tcPr>
            <w:tcW w:type="dxa" w:w="7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3.67</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3</w:t>
            </w:r>
          </w:p>
        </w:tc>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E03</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Tank–well association with rule validation (3 products, A × C)</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FR-08–11</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13</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8</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8</w:t>
            </w:r>
          </w:p>
        </w:tc>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8</w:t>
            </w:r>
          </w:p>
        </w:tc>
        <w:tc>
          <w:tcPr>
            <w:tcW w:type="dxa" w:w="7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M</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3.63</w:t>
            </w:r>
          </w:p>
        </w:tc>
      </w:tr>
      <w:tr>
        <w:trPr>
          <w:cantSplit/>
        </w:trPr>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4</w:t>
            </w:r>
          </w:p>
        </w:tc>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E05</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Injection rate and autonomy calculation</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FR-16, 18</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13</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8</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8</w:t>
            </w:r>
          </w:p>
        </w:tc>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8</w:t>
            </w:r>
          </w:p>
        </w:tc>
        <w:tc>
          <w:tcPr>
            <w:tcW w:type="dxa" w:w="7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M</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3.63</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5</w:t>
            </w:r>
          </w:p>
        </w:tc>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E06</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Estimated consumption per well</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FR-17</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8</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5</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5</w:t>
            </w:r>
          </w:p>
        </w:tc>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5</w:t>
            </w:r>
          </w:p>
        </w:tc>
        <w:tc>
          <w:tcPr>
            <w:tcW w:type="dxa" w:w="7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M</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3.60</w:t>
            </w:r>
          </w:p>
        </w:tc>
      </w:tr>
      <w:tr>
        <w:trPr>
          <w:cantSplit/>
        </w:trPr>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6</w:t>
            </w:r>
          </w:p>
        </w:tc>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E09</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Refill event detection</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FR-15</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8</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5</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5</w:t>
            </w:r>
          </w:p>
        </w:tc>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5</w:t>
            </w:r>
          </w:p>
        </w:tc>
        <w:tc>
          <w:tcPr>
            <w:tcW w:type="dxa" w:w="7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3.60</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7</w:t>
            </w:r>
          </w:p>
        </w:tc>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E13</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Parameter configuration (thresholds, incompatibilities)</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FR-26</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5</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2</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3</w:t>
            </w:r>
          </w:p>
        </w:tc>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3</w:t>
            </w:r>
          </w:p>
        </w:tc>
        <w:tc>
          <w:tcPr>
            <w:tcW w:type="dxa" w:w="7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3.33</w:t>
            </w:r>
          </w:p>
        </w:tc>
      </w:tr>
      <w:tr>
        <w:trPr>
          <w:cantSplit/>
        </w:trPr>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8</w:t>
            </w:r>
          </w:p>
        </w:tc>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E02</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Equipment registry (sites, products, tanks, wells)</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FR-01–04, 06, 07</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8</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13</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5</w:t>
            </w:r>
          </w:p>
        </w:tc>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8</w:t>
            </w:r>
          </w:p>
        </w:tc>
        <w:tc>
          <w:tcPr>
            <w:tcW w:type="dxa" w:w="7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M</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3.25</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9</w:t>
            </w:r>
          </w:p>
        </w:tc>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E10</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Alerts (in-app / e-mail)</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FR-22</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8</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5</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3</w:t>
            </w:r>
          </w:p>
        </w:tc>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5</w:t>
            </w:r>
          </w:p>
        </w:tc>
        <w:tc>
          <w:tcPr>
            <w:tcW w:type="dxa" w:w="7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3.20</w:t>
            </w:r>
          </w:p>
        </w:tc>
      </w:tr>
      <w:tr>
        <w:trPr>
          <w:cantSplit/>
        </w:trPr>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10</w:t>
            </w:r>
          </w:p>
        </w:tc>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E04</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Real-time data ingestion and data quality</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FR-13, 14</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13</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13</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13</w:t>
            </w:r>
          </w:p>
        </w:tc>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13</w:t>
            </w:r>
          </w:p>
        </w:tc>
        <w:tc>
          <w:tcPr>
            <w:tcW w:type="dxa" w:w="7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M</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3.00</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11</w:t>
            </w:r>
          </w:p>
        </w:tc>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E07</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Site dashboard (autonomy ranking, status)</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FR-19</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13</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8</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3</w:t>
            </w:r>
          </w:p>
        </w:tc>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8</w:t>
            </w:r>
          </w:p>
        </w:tc>
        <w:tc>
          <w:tcPr>
            <w:tcW w:type="dxa" w:w="7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M</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3.00</w:t>
            </w:r>
          </w:p>
        </w:tc>
      </w:tr>
      <w:tr>
        <w:trPr>
          <w:cantSplit/>
        </w:trPr>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12</w:t>
            </w:r>
          </w:p>
        </w:tc>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E11</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Well detail</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FR-21</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5</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2</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2</w:t>
            </w:r>
          </w:p>
        </w:tc>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3</w:t>
            </w:r>
          </w:p>
        </w:tc>
        <w:tc>
          <w:tcPr>
            <w:tcW w:type="dxa" w:w="7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3.00</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13</w:t>
            </w:r>
          </w:p>
        </w:tc>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E15</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Export (CSV / XLSX / PDF)</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FR-23</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5</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2</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1</w:t>
            </w:r>
          </w:p>
        </w:tc>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3</w:t>
            </w:r>
          </w:p>
        </w:tc>
        <w:tc>
          <w:tcPr>
            <w:tcW w:type="dxa" w:w="7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2.67</w:t>
            </w:r>
          </w:p>
        </w:tc>
      </w:tr>
      <w:tr>
        <w:trPr>
          <w:cantSplit/>
        </w:trPr>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14</w:t>
            </w:r>
          </w:p>
        </w:tc>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E08</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Tank detail and volume trend</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FR-20</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8</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3</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2</w:t>
            </w:r>
          </w:p>
        </w:tc>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5</w:t>
            </w:r>
          </w:p>
        </w:tc>
        <w:tc>
          <w:tcPr>
            <w:tcW w:type="dxa" w:w="7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M</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2.60</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15</w:t>
            </w:r>
          </w:p>
        </w:tc>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E16</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Equipment CSV import</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FR-27</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5</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3</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3</w:t>
            </w:r>
          </w:p>
        </w:tc>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5</w:t>
            </w:r>
          </w:p>
        </w:tc>
        <w:tc>
          <w:tcPr>
            <w:tcW w:type="dxa" w:w="7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C</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2.20</w:t>
            </w:r>
          </w:p>
        </w:tc>
      </w:tr>
      <w:tr>
        <w:trPr>
          <w:cantSplit/>
        </w:trPr>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16</w:t>
            </w:r>
          </w:p>
        </w:tc>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E17</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Pump registry</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FR-05</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2</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1</w:t>
            </w:r>
          </w:p>
        </w:tc>
        <w:tc>
          <w:tcPr>
            <w:tcW w:type="dxa" w:w="4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1</w:t>
            </w:r>
          </w:p>
        </w:tc>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2</w:t>
            </w:r>
          </w:p>
        </w:tc>
        <w:tc>
          <w:tcPr>
            <w:tcW w:type="dxa" w:w="7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C</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2.00</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17</w:t>
            </w:r>
          </w:p>
        </w:tc>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E12</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Association matrix view</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FR-12</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5</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2</w:t>
            </w:r>
          </w:p>
        </w:tc>
        <w:tc>
          <w:tcPr>
            <w:tcW w:type="dxa" w:w="4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2</w:t>
            </w:r>
          </w:p>
        </w:tc>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5</w:t>
            </w:r>
          </w:p>
        </w:tc>
        <w:tc>
          <w:tcPr>
            <w:tcW w:type="dxa" w:w="7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1.80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spacing w:after="40"/>
            </w:pPr>
            <w:r>
              <w:rPr>
                <w:rFonts w:ascii="Calibri" w:cs="Calibri" w:eastAsia="Calibri" w:hAnsi="Calibri"/>
                <w:b/>
                <w:bCs/>
                <w:sz w:val="20"/>
                <w:szCs w:val="20"/>
              </w:rPr>
              <w:t xml:space="preserve">Dependencies override the score.</w:t>
            </w:r>
            <w:r>
              <w:rPr>
                <w:rFonts w:ascii="Calibri" w:cs="Calibri" w:eastAsia="Calibri" w:hAnsi="Calibri"/>
                <w:sz w:val="20"/>
                <w:szCs w:val="20"/>
              </w:rPr>
              <w:t xml:space="preserve"> E04 (ingestion) and E02 (registry) are prerequisites for E05–E08, so they are built first even if another epic scores higher. E01 is needed before any real user can test. E09 (refill detection) is built together with E05 because the injection rate is wrong without it.</w:t>
            </w:r>
          </w:p>
        </w:tc>
      </w:tr>
    </w:tbl>
    <w:p>
      <w:pPr>
        <w:pStyle w:val="Heading2"/>
        <w:spacing w:after="100" w:before="240"/>
      </w:pPr>
      <w:r>
        <w:rPr>
          <w:rFonts w:ascii="Calibri" w:cs="Calibri" w:eastAsia="Calibri" w:hAnsi="Calibri"/>
          <w:b/>
          <w:bCs/>
          <w:color w:val="2F5496"/>
          <w:sz w:val="26"/>
          <w:szCs w:val="26"/>
        </w:rPr>
        <w:t xml:space="preserve">3.3 Release plan (assumed velocity ≈ 18–20 points /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3700"/>
        <w:gridCol w:w="316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7"/>
                <w:szCs w:val="17"/>
              </w:rPr>
              <w:t xml:space="preserve">Release</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7"/>
                <w:szCs w:val="17"/>
              </w:rPr>
              <w:t xml:space="preserve">Sprint</w:t>
            </w:r>
          </w:p>
        </w:tc>
        <w:tc>
          <w:tcPr>
            <w:tcW w:type="dxa" w:w="3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7"/>
                <w:szCs w:val="17"/>
              </w:rPr>
              <w:t xml:space="preserve">Epics (points)</w:t>
            </w:r>
          </w:p>
        </w:tc>
        <w:tc>
          <w:tcPr>
            <w:tcW w:type="dxa" w:w="31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7"/>
                <w:szCs w:val="17"/>
              </w:rPr>
              <w:t xml:space="preserve">Outcome for users</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Sprint 0</w:t>
            </w:r>
          </w:p>
        </w:tc>
        <w:tc>
          <w:tcPr>
            <w:tcW w:type="dxa" w:w="3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Architecture, environments, RTD sample data, CI/CD, backlog refinement</w:t>
            </w:r>
          </w:p>
        </w:tc>
        <w:tc>
          <w:tcPr>
            <w:tcW w:type="dxa" w:w="31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Technical baseline and validated integration sample</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R1 – MVP</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Sprint 1</w:t>
            </w:r>
          </w:p>
        </w:tc>
        <w:tc>
          <w:tcPr>
            <w:tcW w:type="dxa" w:w="3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E01 (5) + E02 (8) = 13</w:t>
            </w:r>
          </w:p>
        </w:tc>
        <w:tc>
          <w:tcPr>
            <w:tcW w:type="dxa" w:w="31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Login, sites, tanks and wells registered by Sales</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Sprint 2</w:t>
            </w:r>
          </w:p>
        </w:tc>
        <w:tc>
          <w:tcPr>
            <w:tcW w:type="dxa" w:w="3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E03 (8) + E04 part 1 (6) = 14</w:t>
            </w:r>
          </w:p>
        </w:tc>
        <w:tc>
          <w:tcPr>
            <w:tcW w:type="dxa" w:w="31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Associations with rule validation; data starts flowing</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Sprint 3</w:t>
            </w:r>
          </w:p>
        </w:tc>
        <w:tc>
          <w:tcPr>
            <w:tcW w:type="dxa" w:w="3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E04 part 2 (7) + E09 (5) + E05 (8) = 20</w:t>
            </w:r>
          </w:p>
        </w:tc>
        <w:tc>
          <w:tcPr>
            <w:tcW w:type="dxa" w:w="31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Reliable hourly data, refill detection, injection rate and autonomy</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Sprint 4</w:t>
            </w:r>
          </w:p>
        </w:tc>
        <w:tc>
          <w:tcPr>
            <w:tcW w:type="dxa" w:w="3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E06 (5) + E07 (8) + E08 (5) = 18</w:t>
            </w:r>
          </w:p>
        </w:tc>
        <w:tc>
          <w:tcPr>
            <w:tcW w:type="dxa" w:w="31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Dashboard, tank detail and consumption per well → </w:t>
            </w:r>
            <w:r>
              <w:rPr>
                <w:rFonts w:ascii="Calibri" w:cs="Calibri" w:eastAsia="Calibri" w:hAnsi="Calibri"/>
                <w:b/>
                <w:bCs/>
                <w:sz w:val="17"/>
                <w:szCs w:val="17"/>
              </w:rPr>
              <w:t xml:space="preserve">MVP go-live at one pilot site</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R2 – Adoption</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Sprint 5</w:t>
            </w:r>
          </w:p>
        </w:tc>
        <w:tc>
          <w:tcPr>
            <w:tcW w:type="dxa" w:w="3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E10 (5) + E11 (3) + E12 (5) + E13 (3) = 16</w:t>
            </w:r>
          </w:p>
        </w:tc>
        <w:tc>
          <w:tcPr>
            <w:tcW w:type="dxa" w:w="31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Alerts, well detail, matrix view, configurable parameters</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bCs/>
                <w:sz w:val="17"/>
                <w:szCs w:val="17"/>
              </w:rPr>
              <w:t xml:space="preserve">R3 – Scale</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Sprint 6</w:t>
            </w:r>
          </w:p>
        </w:tc>
        <w:tc>
          <w:tcPr>
            <w:tcW w:type="dxa" w:w="3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E14 (3) + E15 (3) + E16 (5) + E17 (2) = 13</w:t>
            </w:r>
          </w:p>
        </w:tc>
        <w:tc>
          <w:tcPr>
            <w:tcW w:type="dxa" w:w="31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7"/>
                <w:szCs w:val="17"/>
              </w:rPr>
              <w:t xml:space="preserve">Audit, export, CSV onboarding of new sites, pumps</w:t>
            </w:r>
          </w:p>
        </w:tc>
      </w:tr>
    </w:tbl>
    <w:p>
      <w:pPr>
        <w:spacing w:after="80"/>
      </w:pPr>
    </w:p>
    <w:p>
      <w:pPr>
        <w:spacing w:after="100"/>
      </w:pPr>
      <w:r>
        <w:rPr>
          <w:rFonts w:ascii="Calibri" w:cs="Calibri" w:eastAsia="Calibri" w:hAnsi="Calibri"/>
          <w:sz w:val="21"/>
          <w:szCs w:val="21"/>
        </w:rPr>
        <w:t xml:space="preserve">Total ≈ 94 points ≈ 6 sprints (≈ 12 weeks) plus Sprint 0. The pilot at one site after Sprint 4 gives real feedback before investing in R2 and R3; priorities are re-scored at each review.</w:t>
      </w:r>
    </w:p>
    <w:p>
      <w:pPr>
        <w:pStyle w:val="Heading1"/>
        <w:spacing w:after="140" w:before="300"/>
      </w:pPr>
      <w:r>
        <w:rPr>
          <w:rFonts w:ascii="Calibri" w:cs="Calibri" w:eastAsia="Calibri" w:hAnsi="Calibri"/>
          <w:b/>
          <w:bCs/>
          <w:color w:val="1F3864"/>
          <w:sz w:val="32"/>
          <w:szCs w:val="32"/>
        </w:rPr>
        <w:t xml:space="preserve">4. Suggested Features</w:t>
      </w:r>
    </w:p>
    <w:p>
      <w:pPr>
        <w:spacing w:after="100"/>
      </w:pPr>
      <w:r>
        <w:rPr>
          <w:rFonts w:ascii="Calibri" w:cs="Calibri" w:eastAsia="Calibri" w:hAnsi="Calibri"/>
          <w:sz w:val="21"/>
          <w:szCs w:val="21"/>
        </w:rPr>
        <w:t xml:space="preserve">Beyond the client’s list, the features below were identified to increase adoption and the value of the platform for Sales and Field Technicians. They are </w:t>
      </w:r>
      <w:r>
        <w:rPr>
          <w:rFonts w:ascii="Calibri" w:cs="Calibri" w:eastAsia="Calibri" w:hAnsi="Calibri"/>
          <w:b/>
          <w:bCs/>
          <w:sz w:val="21"/>
          <w:szCs w:val="21"/>
        </w:rPr>
        <w:t xml:space="preserve">suggestions</w:t>
      </w:r>
      <w:r>
        <w:rPr>
          <w:rFonts w:ascii="Calibri" w:cs="Calibri" w:eastAsia="Calibri" w:hAnsi="Calibri"/>
          <w:sz w:val="21"/>
          <w:szCs w:val="21"/>
        </w:rPr>
        <w:t xml:space="preserve"> for validation with the client and are not part of the MVP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100"/>
        <w:gridCol w:w="3100"/>
        <w:gridCol w:w="1100"/>
        <w:gridCol w:w="1610"/>
      </w:tblGrid>
      <w:tr>
        <w:trPr>
          <w:tblHeader/>
        </w:trPr>
        <w:tc>
          <w:tcPr>
            <w:tcW w:type="dxa" w:w="4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w:t>
            </w:r>
          </w:p>
        </w:tc>
        <w:tc>
          <w:tcPr>
            <w:tcW w:type="dxa" w:w="3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Feature</w:t>
            </w:r>
          </w:p>
        </w:tc>
        <w:tc>
          <w:tcPr>
            <w:tcW w:type="dxa" w:w="3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Benefit / justification</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Users</w:t>
            </w:r>
          </w:p>
        </w:tc>
        <w:tc>
          <w:tcPr>
            <w:tcW w:type="dxa" w:w="161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Suggested release</w:t>
            </w:r>
          </w:p>
        </w:tc>
      </w:tr>
      <w:tr>
        <w:trPr>
          <w:cantSplit/>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F1</w:t>
            </w:r>
          </w:p>
        </w:tc>
        <w:tc>
          <w:tcPr>
            <w:tcW w:type="dxa" w:w="3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Site schematic view</w:t>
            </w:r>
            <w:r>
              <w:rPr>
                <w:rFonts w:ascii="Calibri" w:cs="Calibri" w:eastAsia="Calibri" w:hAnsi="Calibri"/>
                <w:b w:val="false"/>
                <w:bCs w:val="false"/>
                <w:sz w:val="16"/>
                <w:szCs w:val="16"/>
              </w:rPr>
              <w:t xml:space="preserve"> – auto-generated diagram like Figure 1 (tanks, pumps, wells, colour per product) built from the associations</w:t>
            </w:r>
          </w:p>
        </w:tc>
        <w:tc>
          <w:tcPr>
            <w:tcW w:type="dxa" w:w="3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Field Technicians recognize the physical plant; helps catch registration errors visually and speeds up onboarding</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Field Tech, Sales</w:t>
            </w:r>
          </w:p>
        </w:tc>
        <w:tc>
          <w:tcPr>
            <w:tcW w:type="dxa" w:w="16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R2</w:t>
            </w:r>
          </w:p>
        </w:tc>
      </w:tr>
      <w:tr>
        <w:trPr>
          <w:cantSplit/>
        </w:trPr>
        <w:tc>
          <w:tcPr>
            <w:tcW w:type="dxa" w:w="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F2</w:t>
            </w:r>
          </w:p>
        </w:tc>
        <w:tc>
          <w:tcPr>
            <w:tcW w:type="dxa" w:w="3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Delivery planner / what-if</w:t>
            </w:r>
            <w:r>
              <w:rPr>
                <w:rFonts w:ascii="Calibri" w:cs="Calibri" w:eastAsia="Calibri" w:hAnsi="Calibri"/>
                <w:b w:val="false"/>
                <w:bCs w:val="false"/>
                <w:sz w:val="16"/>
                <w:szCs w:val="16"/>
              </w:rPr>
              <w:t xml:space="preserve"> – given a delivery date and volume, simulate the new autonomy; suggest the volume needed to reach a target number of days</w:t>
            </w:r>
          </w:p>
        </w:tc>
        <w:tc>
          <w:tcPr>
            <w:tcW w:type="dxa" w:w="3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Turns the autonomy forecast into a delivery decision, the core Sales need</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Sales</w:t>
            </w:r>
          </w:p>
        </w:tc>
        <w:tc>
          <w:tcPr>
            <w:tcW w:type="dxa" w:w="161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R2 / R3</w:t>
            </w:r>
          </w:p>
        </w:tc>
      </w:tr>
      <w:tr>
        <w:trPr>
          <w:cantSplit/>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F3</w:t>
            </w:r>
          </w:p>
        </w:tc>
        <w:tc>
          <w:tcPr>
            <w:tcW w:type="dxa" w:w="3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Scheduled e-mail report</w:t>
            </w:r>
            <w:r>
              <w:rPr>
                <w:rFonts w:ascii="Calibri" w:cs="Calibri" w:eastAsia="Calibri" w:hAnsi="Calibri"/>
                <w:b w:val="false"/>
                <w:bCs w:val="false"/>
                <w:sz w:val="16"/>
                <w:szCs w:val="16"/>
              </w:rPr>
              <w:t xml:space="preserve"> (weekly autonomy ranking per site)</w:t>
            </w:r>
          </w:p>
        </w:tc>
        <w:tc>
          <w:tcPr>
            <w:tcW w:type="dxa" w:w="3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Keeps Sales engaged without logging in; supports planning routines</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Sales</w:t>
            </w:r>
          </w:p>
        </w:tc>
        <w:tc>
          <w:tcPr>
            <w:tcW w:type="dxa" w:w="16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R2</w:t>
            </w:r>
          </w:p>
        </w:tc>
      </w:tr>
      <w:tr>
        <w:trPr>
          <w:cantSplit/>
        </w:trPr>
        <w:tc>
          <w:tcPr>
            <w:tcW w:type="dxa" w:w="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F4</w:t>
            </w:r>
          </w:p>
        </w:tc>
        <w:tc>
          <w:tcPr>
            <w:tcW w:type="dxa" w:w="3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Anomaly detection</w:t>
            </w:r>
            <w:r>
              <w:rPr>
                <w:rFonts w:ascii="Calibri" w:cs="Calibri" w:eastAsia="Calibri" w:hAnsi="Calibri"/>
                <w:b w:val="false"/>
                <w:bCs w:val="false"/>
                <w:sz w:val="16"/>
                <w:szCs w:val="16"/>
              </w:rPr>
              <w:t xml:space="preserve"> – tank with no consumption while wells produce (pump failure) or unusual drop (leak)</w:t>
            </w:r>
          </w:p>
        </w:tc>
        <w:tc>
          <w:tcPr>
            <w:tcW w:type="dxa" w:w="3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Protects well treatment and avoids lost sales or product losses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Sales, Field Tech</w:t>
            </w:r>
          </w:p>
        </w:tc>
        <w:tc>
          <w:tcPr>
            <w:tcW w:type="dxa" w:w="161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R3</w:t>
            </w:r>
          </w:p>
        </w:tc>
      </w:tr>
      <w:tr>
        <w:trPr>
          <w:cantSplit/>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F5</w:t>
            </w:r>
          </w:p>
        </w:tc>
        <w:tc>
          <w:tcPr>
            <w:tcW w:type="dxa" w:w="3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Data-quality center</w:t>
            </w:r>
            <w:r>
              <w:rPr>
                <w:rFonts w:ascii="Calibri" w:cs="Calibri" w:eastAsia="Calibri" w:hAnsi="Calibri"/>
                <w:b w:val="false"/>
                <w:bCs w:val="false"/>
                <w:sz w:val="16"/>
                <w:szCs w:val="16"/>
              </w:rPr>
              <w:t xml:space="preserve"> – list of missing tags, stale readings, unmapped equipment</w:t>
            </w:r>
          </w:p>
        </w:tc>
        <w:tc>
          <w:tcPr>
            <w:tcW w:type="dxa" w:w="3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Builds trust in the numbers; the forecast is only as good as the data</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Sales, Admin</w:t>
            </w:r>
          </w:p>
        </w:tc>
        <w:tc>
          <w:tcPr>
            <w:tcW w:type="dxa" w:w="16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R2</w:t>
            </w:r>
          </w:p>
        </w:tc>
      </w:tr>
      <w:tr>
        <w:trPr>
          <w:cantSplit/>
        </w:trPr>
        <w:tc>
          <w:tcPr>
            <w:tcW w:type="dxa" w:w="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F6</w:t>
            </w:r>
          </w:p>
        </w:tc>
        <w:tc>
          <w:tcPr>
            <w:tcW w:type="dxa" w:w="3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Tablet-friendly quick association</w:t>
            </w:r>
            <w:r>
              <w:rPr>
                <w:rFonts w:ascii="Calibri" w:cs="Calibri" w:eastAsia="Calibri" w:hAnsi="Calibri"/>
                <w:b w:val="false"/>
                <w:bCs w:val="false"/>
                <w:sz w:val="16"/>
                <w:szCs w:val="16"/>
              </w:rPr>
              <w:t xml:space="preserve"> with large touch targets and instant rule feedback</w:t>
            </w:r>
          </w:p>
        </w:tc>
        <w:tc>
          <w:tcPr>
            <w:tcW w:type="dxa" w:w="3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Field Technicians work outdoors, on varied devices and cannot install software</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Field Tech</w:t>
            </w:r>
          </w:p>
        </w:tc>
        <w:tc>
          <w:tcPr>
            <w:tcW w:type="dxa" w:w="161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R1</w:t>
            </w:r>
          </w:p>
        </w:tc>
      </w:tr>
      <w:tr>
        <w:trPr>
          <w:cantSplit/>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F7</w:t>
            </w:r>
          </w:p>
        </w:tc>
        <w:tc>
          <w:tcPr>
            <w:tcW w:type="dxa" w:w="3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Notes and attachments on equipment</w:t>
            </w:r>
            <w:r>
              <w:rPr>
                <w:rFonts w:ascii="Calibri" w:cs="Calibri" w:eastAsia="Calibri" w:hAnsi="Calibri"/>
                <w:b w:val="false"/>
                <w:bCs w:val="false"/>
                <w:sz w:val="16"/>
                <w:szCs w:val="16"/>
              </w:rPr>
              <w:t xml:space="preserve"> (e.g., tank inspection, material change)</w:t>
            </w:r>
          </w:p>
        </w:tc>
        <w:tc>
          <w:tcPr>
            <w:tcW w:type="dxa" w:w="3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Keeps field knowledge in one place</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Field Tech, Sales</w:t>
            </w:r>
          </w:p>
        </w:tc>
        <w:tc>
          <w:tcPr>
            <w:tcW w:type="dxa" w:w="16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R3</w:t>
            </w:r>
          </w:p>
        </w:tc>
      </w:tr>
      <w:tr>
        <w:trPr>
          <w:cantSplit/>
        </w:trPr>
        <w:tc>
          <w:tcPr>
            <w:tcW w:type="dxa" w:w="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F8</w:t>
            </w:r>
          </w:p>
        </w:tc>
        <w:tc>
          <w:tcPr>
            <w:tcW w:type="dxa" w:w="3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Saved filters and favourites</w:t>
            </w:r>
            <w:r>
              <w:rPr>
                <w:rFonts w:ascii="Calibri" w:cs="Calibri" w:eastAsia="Calibri" w:hAnsi="Calibri"/>
                <w:b w:val="false"/>
                <w:bCs w:val="false"/>
                <w:sz w:val="16"/>
                <w:szCs w:val="16"/>
              </w:rPr>
              <w:t xml:space="preserve"> (e.g., “my sites, critical only”)</w:t>
            </w:r>
          </w:p>
        </w:tc>
        <w:tc>
          <w:tcPr>
            <w:tcW w:type="dxa" w:w="3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Reduces clicks for users who follow many sites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Sales</w:t>
            </w:r>
          </w:p>
        </w:tc>
        <w:tc>
          <w:tcPr>
            <w:tcW w:type="dxa" w:w="161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R2</w:t>
            </w:r>
          </w:p>
        </w:tc>
      </w:tr>
      <w:tr>
        <w:trPr>
          <w:cantSplit/>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F9</w:t>
            </w:r>
          </w:p>
        </w:tc>
        <w:tc>
          <w:tcPr>
            <w:tcW w:type="dxa" w:w="3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In-app guided tour and contextual help</w:t>
            </w:r>
            <w:r>
              <w:rPr>
                <w:rFonts w:ascii="Calibri" w:cs="Calibri" w:eastAsia="Calibri" w:hAnsi="Calibri"/>
                <w:b w:val="false"/>
                <w:bCs w:val="false"/>
                <w:sz w:val="16"/>
                <w:szCs w:val="16"/>
              </w:rPr>
              <w:t xml:space="preserve"> on rules (why A and C cannot be combined)</w:t>
            </w:r>
          </w:p>
        </w:tc>
        <w:tc>
          <w:tcPr>
            <w:tcW w:type="dxa" w:w="3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Improves first-use experience and reduces support</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All</w:t>
            </w:r>
          </w:p>
        </w:tc>
        <w:tc>
          <w:tcPr>
            <w:tcW w:type="dxa" w:w="16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R1</w:t>
            </w:r>
          </w:p>
        </w:tc>
      </w:tr>
      <w:tr>
        <w:trPr>
          <w:cantSplit/>
        </w:trPr>
        <w:tc>
          <w:tcPr>
            <w:tcW w:type="dxa" w:w="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F10</w:t>
            </w:r>
          </w:p>
        </w:tc>
        <w:tc>
          <w:tcPr>
            <w:tcW w:type="dxa" w:w="3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Consumption vs. expected dosage comparison</w:t>
            </w:r>
            <w:r>
              <w:rPr>
                <w:rFonts w:ascii="Calibri" w:cs="Calibri" w:eastAsia="Calibri" w:hAnsi="Calibri"/>
                <w:b w:val="false"/>
                <w:bCs w:val="false"/>
                <w:sz w:val="16"/>
                <w:szCs w:val="16"/>
              </w:rPr>
              <w:t xml:space="preserve"> (if target dosage is provided)</w:t>
            </w:r>
          </w:p>
        </w:tc>
        <w:tc>
          <w:tcPr>
            <w:tcW w:type="dxa" w:w="3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Indicates under/over-injection and supports commercial discussion with operators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Sales</w:t>
            </w:r>
          </w:p>
        </w:tc>
        <w:tc>
          <w:tcPr>
            <w:tcW w:type="dxa" w:w="161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Future</w:t>
            </w:r>
          </w:p>
        </w:tc>
      </w:tr>
    </w:tbl>
    <w:p>
      <w:pPr>
        <w:pStyle w:val="Heading1"/>
        <w:spacing w:after="140" w:before="300"/>
      </w:pPr>
      <w:r>
        <w:rPr>
          <w:rFonts w:ascii="Calibri" w:cs="Calibri" w:eastAsia="Calibri" w:hAnsi="Calibri"/>
          <w:b/>
          <w:bCs/>
          <w:color w:val="1F3864"/>
          <w:sz w:val="32"/>
          <w:szCs w:val="32"/>
        </w:rPr>
        <w:t xml:space="preserve">5. Indicators (KPIs)</w:t>
      </w:r>
    </w:p>
    <w:p>
      <w:pPr>
        <w:spacing w:after="100"/>
      </w:pPr>
      <w:r>
        <w:rPr>
          <w:rFonts w:ascii="Calibri" w:cs="Calibri" w:eastAsia="Calibri" w:hAnsi="Calibri"/>
          <w:sz w:val="21"/>
          <w:szCs w:val="21"/>
        </w:rPr>
        <w:t xml:space="preserve">Indicators are split into </w:t>
      </w:r>
      <w:r>
        <w:rPr>
          <w:rFonts w:ascii="Calibri" w:cs="Calibri" w:eastAsia="Calibri" w:hAnsi="Calibri"/>
          <w:b/>
          <w:bCs/>
          <w:sz w:val="21"/>
          <w:szCs w:val="21"/>
        </w:rPr>
        <w:t xml:space="preserve">product adoption</w:t>
      </w:r>
      <w:r>
        <w:rPr>
          <w:rFonts w:ascii="Calibri" w:cs="Calibri" w:eastAsia="Calibri" w:hAnsi="Calibri"/>
          <w:sz w:val="21"/>
          <w:szCs w:val="21"/>
        </w:rPr>
        <w:t xml:space="preserve">, </w:t>
      </w:r>
      <w:r>
        <w:rPr>
          <w:rFonts w:ascii="Calibri" w:cs="Calibri" w:eastAsia="Calibri" w:hAnsi="Calibri"/>
          <w:b/>
          <w:bCs/>
          <w:sz w:val="21"/>
          <w:szCs w:val="21"/>
        </w:rPr>
        <w:t xml:space="preserve">business value</w:t>
      </w:r>
      <w:r>
        <w:rPr>
          <w:rFonts w:ascii="Calibri" w:cs="Calibri" w:eastAsia="Calibri" w:hAnsi="Calibri"/>
          <w:sz w:val="21"/>
          <w:szCs w:val="21"/>
        </w:rPr>
        <w:t xml:space="preserve">, </w:t>
      </w:r>
      <w:r>
        <w:rPr>
          <w:rFonts w:ascii="Calibri" w:cs="Calibri" w:eastAsia="Calibri" w:hAnsi="Calibri"/>
          <w:b/>
          <w:bCs/>
          <w:sz w:val="21"/>
          <w:szCs w:val="21"/>
        </w:rPr>
        <w:t xml:space="preserve">data quality</w:t>
      </w:r>
      <w:r>
        <w:rPr>
          <w:rFonts w:ascii="Calibri" w:cs="Calibri" w:eastAsia="Calibri" w:hAnsi="Calibri"/>
          <w:sz w:val="21"/>
          <w:szCs w:val="21"/>
        </w:rPr>
        <w:t xml:space="preserve"> and </w:t>
      </w:r>
      <w:r>
        <w:rPr>
          <w:rFonts w:ascii="Calibri" w:cs="Calibri" w:eastAsia="Calibri" w:hAnsi="Calibri"/>
          <w:b/>
          <w:bCs/>
          <w:sz w:val="21"/>
          <w:szCs w:val="21"/>
        </w:rPr>
        <w:t xml:space="preserve">satisfaction</w:t>
      </w:r>
      <w:r>
        <w:rPr>
          <w:rFonts w:ascii="Calibri" w:cs="Calibri" w:eastAsia="Calibri" w:hAnsi="Calibri"/>
          <w:sz w:val="21"/>
          <w:szCs w:val="21"/>
        </w:rPr>
        <w:t xml:space="preserve">. Targets are initial proposals to be calibrated after the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900"/>
        <w:gridCol w:w="26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KPI</w:t>
            </w:r>
          </w:p>
        </w:tc>
        <w:tc>
          <w:tcPr>
            <w:tcW w:type="dxa" w:w="2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Formula</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Target (proposal)</w:t>
            </w:r>
          </w:p>
        </w:tc>
        <w:tc>
          <w:tcPr>
            <w:tcW w:type="dxa" w:w="26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6"/>
                <w:szCs w:val="16"/>
              </w:rPr>
              <w:t xml:space="preserve">Why it matters</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Adoption</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p>
        </w:tc>
        <w:tc>
          <w:tcPr>
            <w:tcW w:type="dxa" w:w="26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Weekly active users by role</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Distinct users per week ÷ invited users</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 80% Sales, ≥ 60% Field Tech after 3 months</w:t>
            </w:r>
          </w:p>
        </w:tc>
        <w:tc>
          <w:tcPr>
            <w:tcW w:type="dxa" w:w="26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Shows whether the platform replaced spreadsheets; low adoption by technicians signals usability problems</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Equipment coverage</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Equipment registered ÷ equipment existing in the field</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 95% per site</w:t>
            </w:r>
          </w:p>
        </w:tc>
        <w:tc>
          <w:tcPr>
            <w:tcW w:type="dxa" w:w="26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The forecast is incomplete if tanks or wells are missing</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Association accuracy</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Corrected associations ÷ total associations created (within 30 days)</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 5%</w:t>
            </w:r>
          </w:p>
        </w:tc>
        <w:tc>
          <w:tcPr>
            <w:tcW w:type="dxa" w:w="26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Detects confusion in the association flow or bad field information</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Time to associate</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Median time from opening SCR-04 to saving</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 2 min</w:t>
            </w:r>
          </w:p>
        </w:tc>
        <w:tc>
          <w:tcPr>
            <w:tcW w:type="dxa" w:w="26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Measures efficiency of the field flow; supports the “no training” goal</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Rule-block rate</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Blocked actions (BR-05/06) ÷ attempts</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Monitor (no target)</w:t>
            </w:r>
          </w:p>
        </w:tc>
        <w:tc>
          <w:tcPr>
            <w:tcW w:type="dxa" w:w="26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High values show either training needs or wrong physical setups; helps decide on rule tuning</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Business value</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p>
        </w:tc>
        <w:tc>
          <w:tcPr>
            <w:tcW w:type="dxa" w:w="26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Forecast accuracy</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MAPE between predicted autonomy and actual days until the 20% level (measured 7 days ahead)</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 15%</w:t>
            </w:r>
          </w:p>
        </w:tc>
        <w:tc>
          <w:tcPr>
            <w:tcW w:type="dxa" w:w="26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Core quality metric: if Sales do not trust the days shown, they will not use them</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Tanks below 20% before delivery</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Tanks that reached the minimum level ÷ total tanks per month</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 2%</w:t>
            </w:r>
          </w:p>
        </w:tc>
        <w:tc>
          <w:tcPr>
            <w:tcW w:type="dxa" w:w="26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Directly represents service failure and risk to the client operation</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Planning lead time</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Average days between first warning and delivery date</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 5 days</w:t>
            </w:r>
          </w:p>
        </w:tc>
        <w:tc>
          <w:tcPr>
            <w:tcW w:type="dxa" w:w="26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Shows whether Sales plans deliveries early instead of in emergencies</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Deliveries planned with system data</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Deliveries scheduled from autonomy ranking ÷ total deliveries</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 70%</w:t>
            </w:r>
          </w:p>
        </w:tc>
        <w:tc>
          <w:tcPr>
            <w:tcW w:type="dxa" w:w="26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Direct evidence the platform supports the decision it was built for</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Unallocated consumption</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Tank rate not distributed to wells ÷ total tank rate</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 5%</w:t>
            </w:r>
          </w:p>
        </w:tc>
        <w:tc>
          <w:tcPr>
            <w:tcW w:type="dxa" w:w="26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Reveals missing associations or zero-production wells, protecting consumption per well estimates</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Data quality</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p>
        </w:tc>
        <w:tc>
          <w:tcPr>
            <w:tcW w:type="dxa" w:w="26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Data completeness</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Hourly readings received ÷ expected</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 98%</w:t>
            </w:r>
          </w:p>
        </w:tc>
        <w:tc>
          <w:tcPr>
            <w:tcW w:type="dxa" w:w="26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Autonomy depends on complete hourly data</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Data freshness</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Tanks with reading &lt; 3 h old ÷ total tanks</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 99%</w:t>
            </w:r>
          </w:p>
        </w:tc>
        <w:tc>
          <w:tcPr>
            <w:tcW w:type="dxa" w:w="26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Stale data hides critical situations (BR-22)</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Ingestion latency</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Time from RTD timestamp to availability in CIEMS</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 15 min</w:t>
            </w:r>
          </w:p>
        </w:tc>
        <w:tc>
          <w:tcPr>
            <w:tcW w:type="dxa" w:w="26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Keeps the view close to real time (NFR-04)</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Satisfaction</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p>
        </w:tc>
        <w:tc>
          <w:tcPr>
            <w:tcW w:type="dxa" w:w="26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SUS / CSAT by role</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Quarterly survey (SUS for usability, CSAT per feature)</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SUS ≥ 75</w:t>
            </w:r>
          </w:p>
        </w:tc>
        <w:tc>
          <w:tcPr>
            <w:tcW w:type="dxa" w:w="26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Captures perceived usability and guides the backlog</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Support requests per 100 users</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Tickets ÷ active users × 100</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Decreasing trend</w:t>
            </w:r>
          </w:p>
        </w:tc>
        <w:tc>
          <w:tcPr>
            <w:tcW w:type="dxa" w:w="26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6"/>
                <w:szCs w:val="16"/>
              </w:rPr>
              <w:t xml:space="preserve">Indicates clarity of the product and quality of help content</w:t>
            </w:r>
          </w:p>
        </w:tc>
      </w:tr>
    </w:tbl>
    <w:p>
      <w:pPr>
        <w:spacing w:after="80"/>
      </w:pPr>
    </w:p>
    <w:p>
      <w:pPr>
        <w:pStyle w:val="Heading2"/>
        <w:spacing w:after="100" w:before="240"/>
      </w:pPr>
      <w:r>
        <w:rPr>
          <w:rFonts w:ascii="Calibri" w:cs="Calibri" w:eastAsia="Calibri" w:hAnsi="Calibri"/>
          <w:b/>
          <w:bCs/>
          <w:color w:val="2F5496"/>
          <w:sz w:val="26"/>
          <w:szCs w:val="26"/>
        </w:rPr>
        <w:t xml:space="preserve">5.1 Dashboard for the product team</w:t>
      </w:r>
    </w:p>
    <w:p>
      <w:pPr>
        <w:pStyle w:val="ListParagraph"/>
        <w:numPr>
          <w:ilvl w:val="0"/>
          <w:numId w:val="2"/>
        </w:numPr>
        <w:spacing w:after="50"/>
      </w:pPr>
      <w:r>
        <w:rPr>
          <w:rFonts w:ascii="Calibri" w:cs="Calibri" w:eastAsia="Calibri" w:hAnsi="Calibri"/>
          <w:b/>
          <w:bCs/>
          <w:sz w:val="21"/>
          <w:szCs w:val="21"/>
        </w:rPr>
        <w:t xml:space="preserve">Leading indicators</w:t>
      </w:r>
      <w:r>
        <w:rPr>
          <w:rFonts w:ascii="Calibri" w:cs="Calibri" w:eastAsia="Calibri" w:hAnsi="Calibri"/>
          <w:sz w:val="21"/>
          <w:szCs w:val="21"/>
        </w:rPr>
        <w:t xml:space="preserve"> (adoption, data quality) are reviewed at every sprint review: they warn early about low acceptance.</w:t>
      </w:r>
    </w:p>
    <w:p>
      <w:pPr>
        <w:pStyle w:val="ListParagraph"/>
        <w:numPr>
          <w:ilvl w:val="0"/>
          <w:numId w:val="2"/>
        </w:numPr>
        <w:spacing w:after="50"/>
      </w:pPr>
      <w:r>
        <w:rPr>
          <w:rFonts w:ascii="Calibri" w:cs="Calibri" w:eastAsia="Calibri" w:hAnsi="Calibri"/>
          <w:b/>
          <w:bCs/>
          <w:sz w:val="21"/>
          <w:szCs w:val="21"/>
        </w:rPr>
        <w:t xml:space="preserve">Lagging indicators</w:t>
      </w:r>
      <w:r>
        <w:rPr>
          <w:rFonts w:ascii="Calibri" w:cs="Calibri" w:eastAsia="Calibri" w:hAnsi="Calibri"/>
          <w:sz w:val="21"/>
          <w:szCs w:val="21"/>
        </w:rPr>
        <w:t xml:space="preserve"> (forecast accuracy, tanks below 20%, planned deliveries) are reviewed monthly with the client sponsor to prove business value.</w:t>
      </w:r>
    </w:p>
    <w:p>
      <w:pPr>
        <w:pStyle w:val="ListParagraph"/>
        <w:numPr>
          <w:ilvl w:val="0"/>
          <w:numId w:val="2"/>
        </w:numPr>
        <w:spacing w:after="50"/>
      </w:pPr>
      <w:r>
        <w:rPr>
          <w:rFonts w:ascii="Calibri" w:cs="Calibri" w:eastAsia="Calibri" w:hAnsi="Calibri"/>
          <w:sz w:val="21"/>
          <w:szCs w:val="21"/>
        </w:rPr>
        <w:t xml:space="preserve">Each KPI has an owner: Product Owner (adoption, satisfaction), Sales manager (business), Integration lead (data quality).</w:t>
      </w:r>
    </w:p>
    <w:p>
      <w:pPr>
        <w:pStyle w:val="Heading1"/>
        <w:spacing w:after="140" w:before="300"/>
      </w:pPr>
      <w:r>
        <w:rPr>
          <w:rFonts w:ascii="Calibri" w:cs="Calibri" w:eastAsia="Calibri" w:hAnsi="Calibri"/>
          <w:b/>
          <w:bCs/>
          <w:color w:val="1F3864"/>
          <w:sz w:val="32"/>
          <w:szCs w:val="32"/>
        </w:rPr>
        <w:t xml:space="preserve">6. Risks to Consider in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8"/>
                <w:szCs w:val="18"/>
              </w:rPr>
              <w:t xml:space="preserve">Risk</w:t>
            </w:r>
          </w:p>
        </w:tc>
        <w:tc>
          <w:tcPr>
            <w:tcW w:type="dxa" w:w="5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Calibri" w:cs="Calibri" w:eastAsia="Calibri" w:hAnsi="Calibri"/>
                <w:b/>
                <w:bCs/>
                <w:color w:val="FFFFFF"/>
                <w:sz w:val="18"/>
                <w:szCs w:val="18"/>
              </w:rPr>
              <w:t xml:space="preserve">Mitigation</w:t>
            </w:r>
          </w:p>
        </w:tc>
      </w:tr>
      <w:tr>
        <w:trPr>
          <w:cantSplit/>
        </w:trPr>
        <w:tc>
          <w:tcPr>
            <w:tcW w:type="dxa" w:w="3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8"/>
                <w:szCs w:val="18"/>
              </w:rPr>
              <w:t xml:space="preserve">RTD data has gaps, noise or undocumented units</w:t>
            </w:r>
          </w:p>
        </w:tc>
        <w:tc>
          <w:tcPr>
            <w:tcW w:type="dxa" w:w="5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8"/>
                <w:szCs w:val="18"/>
              </w:rPr>
              <w:t xml:space="preserve">Sprint 0 data profiling; quality flags; configurable refill threshold; early pilot</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8"/>
                <w:szCs w:val="18"/>
              </w:rPr>
              <w:t xml:space="preserve">Users keep working in spreadsheets</w:t>
            </w:r>
          </w:p>
        </w:tc>
        <w:tc>
          <w:tcPr>
            <w:tcW w:type="dxa" w:w="5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8"/>
                <w:szCs w:val="18"/>
              </w:rPr>
              <w:t xml:space="preserve">Import (E16), quick wins for field flow (F6), weekly report (F3), KPI follow-up</w:t>
            </w:r>
          </w:p>
        </w:tc>
      </w:tr>
      <w:tr>
        <w:trPr>
          <w:cantSplit/>
        </w:trPr>
        <w:tc>
          <w:tcPr>
            <w:tcW w:type="dxa" w:w="3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8"/>
                <w:szCs w:val="18"/>
              </w:rPr>
              <w:t xml:space="preserve">Allocation by production is only an estimate</w:t>
            </w:r>
          </w:p>
        </w:tc>
        <w:tc>
          <w:tcPr>
            <w:tcW w:type="dxa" w:w="5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pPr>
            <w:r>
              <w:rPr>
                <w:rFonts w:ascii="Calibri" w:cs="Calibri" w:eastAsia="Calibri" w:hAnsi="Calibri"/>
                <w:b w:val="false"/>
                <w:bCs w:val="false"/>
                <w:sz w:val="18"/>
                <w:szCs w:val="18"/>
              </w:rPr>
              <w:t xml:space="preserve">Show as “estimated”; document the method; allow future alternative criteria</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8"/>
                <w:szCs w:val="18"/>
              </w:rPr>
              <w:t xml:space="preserve">Rules change by site or client</w:t>
            </w:r>
          </w:p>
        </w:tc>
        <w:tc>
          <w:tcPr>
            <w:tcW w:type="dxa" w:w="5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rFonts w:ascii="Calibri" w:cs="Calibri" w:eastAsia="Calibri" w:hAnsi="Calibri"/>
                <w:b w:val="false"/>
                <w:bCs w:val="false"/>
                <w:sz w:val="18"/>
                <w:szCs w:val="18"/>
              </w:rPr>
              <w:t xml:space="preserve">Keep incompatibility pairs and thresholds as configuration (E13)</w:t>
            </w:r>
          </w:p>
        </w:tc>
      </w:tr>
    </w:tbl>
    <w:sectPr>
      <w:footerReference w:type="default" r:id="rId7"/>
      <w:pgSz w:w="12240" w:h="15840" w:orient="portrait"/>
      <w:pgMar w:top="12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CIEMS – Methodology Prioritization and KPIs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2026-09-30T22:56:50.829Z</dcterms:created>
  <dcterms:modified xsi:type="dcterms:W3CDTF">2026-09-30T22:56:50.836Z</dcterms:modified>
</cp:coreProperties>
</file>

<file path=docProps/custom.xml><?xml version="1.0" encoding="utf-8"?>
<Properties xmlns="http://schemas.openxmlformats.org/officeDocument/2006/custom-properties" xmlns:vt="http://schemas.openxmlformats.org/officeDocument/2006/docPropsVTypes"/>
</file>