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2021-08-31</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
        </w:rPr>
        <w:t xml:space="preserve">State the research questions you plan to answer with this analysis.</w:t>
      </w:r>
    </w:p>
    <w:bookmarkEnd w:id="23"/>
    <w:bookmarkEnd w:id="24"/>
    <w:bookmarkStart w:id="32" w:name="methods-and-results"/>
    <w:p>
      <w:pPr>
        <w:pStyle w:val="Heading1"/>
      </w:pPr>
      <w:r>
        <w:rPr>
          <w:rStyle w:val="SectionNumber"/>
        </w:rPr>
        <w:t xml:space="preserve">3</w:t>
      </w:r>
      <w:r>
        <w:tab/>
      </w:r>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30" w:name="exploratory-analysis"/>
    <w:p>
      <w:pPr>
        <w:pStyle w:val="Heading2"/>
      </w:pPr>
      <w:r>
        <w:rPr>
          <w:rStyle w:val="SectionNumber"/>
        </w:rPr>
        <w:t xml:space="preserve">3.3</w:t>
      </w:r>
      <w:r>
        <w:tab/>
      </w:r>
      <w:r>
        <w:t xml:space="preserve">Exploratory analysis</w:t>
      </w:r>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
        </w:rPr>
        <w:t xml:space="preserve"> </w:t>
      </w:r>
      <w:r>
        <w:rPr>
          <w:i/>
        </w:rPr>
        <w:t xml:space="preserve">“</w:t>
      </w:r>
      <w:r>
        <w:rPr>
          <w:i/>
        </w:rPr>
        <w:t xml:space="preserve">p&lt;0.05 means statistical significance</w:t>
      </w:r>
      <w:r>
        <w:rPr>
          <w:i/>
        </w:rPr>
        <w:t xml:space="preserve">”</w:t>
      </w:r>
      <w:r>
        <w:rPr>
          <w:i/>
        </w:rPr>
        <w:t xml:space="preserve"> </w:t>
      </w:r>
      <w:r>
        <w:rPr>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0.0"/>
        <w:tblLook w:firstRow="1" w:lastRow="0" w:firstColumn="0" w:lastColumn="0" w:noHBand="0" w:noVBand="0"/>
        <w:tblCaption w:val="Table 3.1: Data summary table."/>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BMI</w:t>
            </w:r>
          </w:p>
        </w:tc>
        <w:tc>
          <w:tcPr>
            <w:tcBorders>
              <w:bottom w:val="single"/>
            </w:tcBorders>
            <w:vAlign w:val="bottom"/>
          </w:tcPr>
          <w:p>
            <w:pPr>
              <w:pStyle w:val="Compact"/>
              <w:jc w:val="left"/>
            </w:pPr>
            <w:r>
              <w:t xml:space="preserve">CHD_status</w:t>
            </w:r>
          </w:p>
        </w:tc>
      </w:tr>
      <w:tr>
        <w:tc>
          <w:p>
            <w:pPr>
              <w:pStyle w:val="Compact"/>
              <w:jc w:val="left"/>
            </w:pPr>
            <w:r>
              <w:t xml:space="preserve">Min.</w:t>
            </w:r>
          </w:p>
        </w:tc>
        <w:tc>
          <w:p>
            <w:pPr>
              <w:pStyle w:val="Compact"/>
              <w:jc w:val="left"/>
            </w:pPr>
            <w:r>
              <w:t xml:space="preserve">133</w:t>
            </w:r>
          </w:p>
        </w:tc>
        <w:tc>
          <w:p>
            <w:pPr>
              <w:pStyle w:val="Compact"/>
              <w:jc w:val="left"/>
            </w:pPr>
            <w:r>
              <w:t xml:space="preserve">45</w:t>
            </w:r>
          </w:p>
        </w:tc>
        <w:tc>
          <w:p>
            <w:pPr>
              <w:pStyle w:val="Compact"/>
              <w:jc w:val="left"/>
            </w:pPr>
            <w:r>
              <w:t xml:space="preserve">19.9593554942662</w:t>
            </w:r>
          </w:p>
        </w:tc>
        <w:tc>
          <w:p>
            <w:pPr>
              <w:pStyle w:val="Compact"/>
              <w:jc w:val="left"/>
            </w:pPr>
            <w:r>
              <w:t xml:space="preserve">10</w:t>
            </w:r>
          </w:p>
        </w:tc>
      </w:tr>
      <w:tr>
        <w:tc>
          <w:p>
            <w:pPr>
              <w:pStyle w:val="Compact"/>
              <w:jc w:val="left"/>
            </w:pPr>
            <w:r>
              <w:t xml:space="preserve">1st Qu.</w:t>
            </w:r>
          </w:p>
        </w:tc>
        <w:tc>
          <w:p>
            <w:pPr>
              <w:pStyle w:val="Compact"/>
              <w:jc w:val="left"/>
            </w:pPr>
            <w:r>
              <w:t xml:space="preserve">155.25</w:t>
            </w:r>
          </w:p>
        </w:tc>
        <w:tc>
          <w:p>
            <w:pPr>
              <w:pStyle w:val="Compact"/>
              <w:jc w:val="left"/>
            </w:pPr>
            <w:r>
              <w:t xml:space="preserve">54.25</w:t>
            </w:r>
          </w:p>
        </w:tc>
        <w:tc>
          <w:p>
            <w:pPr>
              <w:pStyle w:val="Compact"/>
              <w:jc w:val="left"/>
            </w:pPr>
            <w:r>
              <w:t xml:space="preserve">22.571725880779</w:t>
            </w:r>
          </w:p>
        </w:tc>
        <w:tc>
          <w:p>
            <w:pPr>
              <w:pStyle w:val="Compact"/>
              <w:jc w:val="left"/>
            </w:pPr>
            <w:r>
              <w:t xml:space="preserve">character</w:t>
            </w:r>
          </w:p>
        </w:tc>
      </w:tr>
      <w:tr>
        <w:tc>
          <w:p>
            <w:pPr>
              <w:pStyle w:val="Compact"/>
              <w:jc w:val="left"/>
            </w:pPr>
            <w:r>
              <w:t xml:space="preserve">Median</w:t>
            </w:r>
          </w:p>
        </w:tc>
        <w:tc>
          <w:p>
            <w:pPr>
              <w:pStyle w:val="Compact"/>
              <w:jc w:val="left"/>
            </w:pPr>
            <w:r>
              <w:t xml:space="preserve">166</w:t>
            </w:r>
          </w:p>
        </w:tc>
        <w:tc>
          <w:p>
            <w:pPr>
              <w:pStyle w:val="Compact"/>
              <w:jc w:val="left"/>
            </w:pPr>
            <w:r>
              <w:t xml:space="preserve">73</w:t>
            </w:r>
          </w:p>
        </w:tc>
        <w:tc>
          <w:p>
            <w:pPr>
              <w:pStyle w:val="Compact"/>
              <w:jc w:val="left"/>
            </w:pPr>
            <w:r>
              <w:t xml:space="preserve">24.2004664223267</w:t>
            </w:r>
          </w:p>
        </w:tc>
        <w:tc>
          <w:p>
            <w:pPr>
              <w:pStyle w:val="Compact"/>
              <w:jc w:val="left"/>
            </w:pPr>
            <w:r>
              <w:t xml:space="preserve">character</w:t>
            </w:r>
          </w:p>
        </w:tc>
      </w:tr>
      <w:tr>
        <w:tc>
          <w:p>
            <w:pPr>
              <w:pStyle w:val="Compact"/>
              <w:jc w:val="left"/>
            </w:pPr>
            <w:r>
              <w:t xml:space="preserve">Mean</w:t>
            </w:r>
          </w:p>
        </w:tc>
        <w:tc>
          <w:p>
            <w:pPr>
              <w:pStyle w:val="Compact"/>
              <w:jc w:val="left"/>
            </w:pPr>
            <w:r>
              <w:t xml:space="preserve">165.5</w:t>
            </w:r>
          </w:p>
        </w:tc>
        <w:tc>
          <w:p>
            <w:pPr>
              <w:pStyle w:val="Compact"/>
              <w:jc w:val="left"/>
            </w:pPr>
            <w:r>
              <w:t xml:space="preserve">72</w:t>
            </w:r>
          </w:p>
        </w:tc>
        <w:tc>
          <w:p>
            <w:pPr>
              <w:pStyle w:val="Compact"/>
              <w:jc w:val="left"/>
            </w:pPr>
            <w:r>
              <w:t xml:space="preserve">26.1808687605625</w:t>
            </w:r>
          </w:p>
        </w:tc>
        <w:tc>
          <w:p>
            <w:pPr>
              <w:pStyle w:val="Compact"/>
              <w:jc w:val="left"/>
            </w:pPr>
            <w:r>
              <w:t xml:space="preserve">10</w:t>
            </w:r>
          </w:p>
        </w:tc>
      </w:tr>
      <w:tr>
        <w:tc>
          <w:p>
            <w:pPr>
              <w:pStyle w:val="Compact"/>
              <w:jc w:val="left"/>
            </w:pPr>
            <w:r>
              <w:t xml:space="preserve">3rd Qu.</w:t>
            </w:r>
          </w:p>
        </w:tc>
        <w:tc>
          <w:p>
            <w:pPr>
              <w:pStyle w:val="Compact"/>
              <w:jc w:val="left"/>
            </w:pPr>
            <w:r>
              <w:t xml:space="preserve">177.25</w:t>
            </w:r>
          </w:p>
        </w:tc>
        <w:tc>
          <w:p>
            <w:pPr>
              <w:pStyle w:val="Compact"/>
              <w:jc w:val="left"/>
            </w:pPr>
            <w:r>
              <w:t xml:space="preserve">87.5</w:t>
            </w:r>
          </w:p>
        </w:tc>
        <w:tc>
          <w:p>
            <w:pPr>
              <w:pStyle w:val="Compact"/>
              <w:jc w:val="left"/>
            </w:pPr>
            <w:r>
              <w:t xml:space="preserve">25.2524935284466</w:t>
            </w:r>
          </w:p>
        </w:tc>
        <w:tc>
          <w:p>
            <w:pPr>
              <w:pStyle w:val="Compact"/>
              <w:jc w:val="left"/>
            </w:pPr>
            <w:r>
              <w:t xml:space="preserve">character</w:t>
            </w:r>
          </w:p>
        </w:tc>
      </w:tr>
      <w:tr>
        <w:tc>
          <w:p>
            <w:pPr>
              <w:pStyle w:val="Compact"/>
              <w:jc w:val="left"/>
            </w:pPr>
            <w:r>
              <w:t xml:space="preserve">Max.</w:t>
            </w:r>
          </w:p>
        </w:tc>
        <w:tc>
          <w:p>
            <w:pPr>
              <w:pStyle w:val="Compact"/>
              <w:jc w:val="left"/>
            </w:pPr>
            <w:r>
              <w:t xml:space="preserve">192</w:t>
            </w:r>
          </w:p>
        </w:tc>
        <w:tc>
          <w:p>
            <w:pPr>
              <w:pStyle w:val="Compact"/>
              <w:jc w:val="left"/>
            </w:pPr>
            <w:r>
              <w:t xml:space="preserve">110</w:t>
            </w:r>
          </w:p>
        </w:tc>
        <w:tc>
          <w:p>
            <w:pPr>
              <w:pStyle w:val="Compact"/>
              <w:jc w:val="left"/>
            </w:pPr>
            <w:r>
              <w:t xml:space="preserve">39.9187109885324</w:t>
            </w:r>
          </w:p>
        </w:tc>
        <w:tc>
          <w:p>
            <w:pPr>
              <w:pStyle w:val="Compact"/>
              <w:jc w:val="left"/>
            </w:pPr>
            <w:r>
              <w:t xml:space="preserve">character</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CaptionedFigure"/>
      </w:pPr>
      <w:r>
        <w:drawing>
          <wp:inline>
            <wp:extent cx="3688181" cy="1691181"/>
            <wp:effectExtent b="0" l="0" r="0" t="0"/>
            <wp:docPr descr="Figure 3.1: Scatterplot 1: Weight vs. Height" title="" id="1" name="Picture"/>
            <a:graphic>
              <a:graphicData uri="http://schemas.openxmlformats.org/drawingml/2006/picture">
                <pic:pic>
                  <pic:nvPicPr>
                    <pic:cNvPr descr="../../results/resultfigure_scatter1.png" id="0" name="Picture"/>
                    <pic:cNvPicPr>
                      <a:picLocks noChangeArrowheads="1" noChangeAspect="1"/>
                    </pic:cNvPicPr>
                  </pic:nvPicPr>
                  <pic:blipFill>
                    <a:blip r:embed="rId27"/>
                    <a:stretch>
                      <a:fillRect/>
                    </a:stretch>
                  </pic:blipFill>
                  <pic:spPr bwMode="auto">
                    <a:xfrm>
                      <a:off x="0" y="0"/>
                      <a:ext cx="3688181" cy="1691181"/>
                    </a:xfrm>
                    <a:prstGeom prst="rect">
                      <a:avLst/>
                    </a:prstGeom>
                    <a:noFill/>
                    <a:ln w="9525">
                      <a:noFill/>
                      <a:headEnd/>
                      <a:tailEnd/>
                    </a:ln>
                  </pic:spPr>
                </pic:pic>
              </a:graphicData>
            </a:graphic>
          </wp:inline>
        </w:drawing>
      </w:r>
    </w:p>
    <w:p>
      <w:pPr>
        <w:pStyle w:val="ImageCaption"/>
      </w:pPr>
      <w:r>
        <w:t xml:space="preserve">Figure 3.1: Scatterplot 1: Weight vs. Height</w:t>
      </w:r>
    </w:p>
    <w:p>
      <w:pPr>
        <w:pStyle w:val="CaptionedFigure"/>
      </w:pPr>
      <w:r>
        <w:drawing>
          <wp:inline>
            <wp:extent cx="3688181" cy="1691181"/>
            <wp:effectExtent b="0" l="0" r="0" t="0"/>
            <wp:docPr descr="Figure 3.2: Scatterplot 2: BMI vs. Height" title="" id="1" name="Picture"/>
            <a:graphic>
              <a:graphicData uri="http://schemas.openxmlformats.org/drawingml/2006/picture">
                <pic:pic>
                  <pic:nvPicPr>
                    <pic:cNvPr descr="../../results/resultfigure_scatter2.png" id="0" name="Picture"/>
                    <pic:cNvPicPr>
                      <a:picLocks noChangeArrowheads="1" noChangeAspect="1"/>
                    </pic:cNvPicPr>
                  </pic:nvPicPr>
                  <pic:blipFill>
                    <a:blip r:embed="rId28"/>
                    <a:stretch>
                      <a:fillRect/>
                    </a:stretch>
                  </pic:blipFill>
                  <pic:spPr bwMode="auto">
                    <a:xfrm>
                      <a:off x="0" y="0"/>
                      <a:ext cx="3688181" cy="1691181"/>
                    </a:xfrm>
                    <a:prstGeom prst="rect">
                      <a:avLst/>
                    </a:prstGeom>
                    <a:noFill/>
                    <a:ln w="9525">
                      <a:noFill/>
                      <a:headEnd/>
                      <a:tailEnd/>
                    </a:ln>
                  </pic:spPr>
                </pic:pic>
              </a:graphicData>
            </a:graphic>
          </wp:inline>
        </w:drawing>
      </w:r>
    </w:p>
    <w:p>
      <w:pPr>
        <w:pStyle w:val="ImageCaption"/>
      </w:pPr>
      <w:r>
        <w:t xml:space="preserve">Figure 3.2: Scatterplot 2: BMI vs. Height</w:t>
      </w:r>
    </w:p>
    <w:p>
      <w:pPr>
        <w:pStyle w:val="CaptionedFigure"/>
      </w:pPr>
      <w:r>
        <w:drawing>
          <wp:inline>
            <wp:extent cx="3688181" cy="1691181"/>
            <wp:effectExtent b="0" l="0" r="0" t="0"/>
            <wp:docPr descr="Figure 3.3: Boxplot: Height vs. CHD Status" title="" id="1" name="Picture"/>
            <a:graphic>
              <a:graphicData uri="http://schemas.openxmlformats.org/drawingml/2006/picture">
                <pic:pic>
                  <pic:nvPicPr>
                    <pic:cNvPr descr="../../results/resultfigure_boxplot.png" id="0" name="Picture"/>
                    <pic:cNvPicPr>
                      <a:picLocks noChangeArrowheads="1" noChangeAspect="1"/>
                    </pic:cNvPicPr>
                  </pic:nvPicPr>
                  <pic:blipFill>
                    <a:blip r:embed="rId29"/>
                    <a:stretch>
                      <a:fillRect/>
                    </a:stretch>
                  </pic:blipFill>
                  <pic:spPr bwMode="auto">
                    <a:xfrm>
                      <a:off x="0" y="0"/>
                      <a:ext cx="3688181" cy="1691181"/>
                    </a:xfrm>
                    <a:prstGeom prst="rect">
                      <a:avLst/>
                    </a:prstGeom>
                    <a:noFill/>
                    <a:ln w="9525">
                      <a:noFill/>
                      <a:headEnd/>
                      <a:tailEnd/>
                    </a:ln>
                  </pic:spPr>
                </pic:pic>
              </a:graphicData>
            </a:graphic>
          </wp:inline>
        </w:drawing>
      </w:r>
    </w:p>
    <w:p>
      <w:pPr>
        <w:pStyle w:val="ImageCaption"/>
      </w:pPr>
      <w:r>
        <w:t xml:space="preserve">Figure 3.3: Boxplot: Height vs. CHD Status</w:t>
      </w:r>
    </w:p>
    <w:bookmarkEnd w:id="30"/>
    <w:bookmarkStart w:id="31" w:name="full-analysis"/>
    <w:p>
      <w:pPr>
        <w:pStyle w:val="Heading2"/>
      </w:pPr>
      <w:r>
        <w:rPr>
          <w:rStyle w:val="SectionNumber"/>
        </w:rPr>
        <w:t xml:space="preserve">3.4</w:t>
      </w:r>
      <w:r>
        <w:tab/>
      </w:r>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
        <w:tblW w:type="pct" w:w="0.0"/>
        <w:tblLook w:firstRow="1" w:lastRow="0" w:firstColumn="0" w:lastColumn="0" w:noHBand="0" w:noVBand="0"/>
        <w:tblCaption w:val="Table 3.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31"/>
    <w:bookmarkEnd w:id="32"/>
    <w:bookmarkStart w:id="37" w:name="discussion"/>
    <w:p>
      <w:pPr>
        <w:pStyle w:val="Heading1"/>
      </w:pPr>
      <w:r>
        <w:rPr>
          <w:rStyle w:val="SectionNumber"/>
        </w:rPr>
        <w:t xml:space="preserve">4</w:t>
      </w:r>
      <w:r>
        <w:tab/>
      </w:r>
      <w:r>
        <w:t xml:space="preserve">Discussion</w:t>
      </w:r>
    </w:p>
    <w:bookmarkStart w:id="33" w:name="summary-and-interpretation"/>
    <w:p>
      <w:pPr>
        <w:pStyle w:val="Heading2"/>
      </w:pPr>
      <w:r>
        <w:rPr>
          <w:rStyle w:val="SectionNumber"/>
        </w:rPr>
        <w:t xml:space="preserve">4.1</w:t>
      </w:r>
      <w:r>
        <w:tab/>
      </w:r>
      <w:r>
        <w:t xml:space="preserve">Summary and Interpretation</w:t>
      </w:r>
    </w:p>
    <w:p>
      <w:pPr>
        <w:pStyle w:val="FirstParagraph"/>
      </w:pPr>
      <w:r>
        <w:rPr>
          <w:i/>
        </w:rPr>
        <w:t xml:space="preserve">Summarize what you did, what you found and what it means.</w:t>
      </w:r>
    </w:p>
    <w:bookmarkEnd w:id="33"/>
    <w:bookmarkStart w:id="34" w:name="strengths-and-limitations"/>
    <w:p>
      <w:pPr>
        <w:pStyle w:val="Heading2"/>
      </w:pPr>
      <w:r>
        <w:rPr>
          <w:rStyle w:val="SectionNumber"/>
        </w:rPr>
        <w:t xml:space="preserve">4.2</w:t>
      </w:r>
      <w:r>
        <w:tab/>
      </w:r>
      <w:r>
        <w:t xml:space="preserve">Strengths and Limitations</w:t>
      </w:r>
    </w:p>
    <w:p>
      <w:pPr>
        <w:pStyle w:val="FirstParagraph"/>
      </w:pPr>
      <w:r>
        <w:rPr>
          <w:i/>
        </w:rPr>
        <w:t xml:space="preserve">Discuss what you perceive as strengths and limitations of your analysis.</w:t>
      </w:r>
    </w:p>
    <w:bookmarkEnd w:id="34"/>
    <w:bookmarkStart w:id="36" w:name="conclusions"/>
    <w:p>
      <w:pPr>
        <w:pStyle w:val="Heading2"/>
      </w:pPr>
      <w:r>
        <w:rPr>
          <w:rStyle w:val="SectionNumber"/>
        </w:rPr>
        <w:t xml:space="preserve">4.3</w:t>
      </w:r>
      <w:r>
        <w:tab/>
      </w:r>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5">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6"/>
    <w:bookmarkEnd w:id="37"/>
    <w:bookmarkStart w:id="41" w:name="references"/>
    <w:p>
      <w:pPr>
        <w:pStyle w:val="Heading1"/>
      </w:pPr>
      <w:r>
        <w:t xml:space="preserve">References</w:t>
      </w:r>
    </w:p>
    <w:bookmarkStart w:id="40" w:name="refs"/>
    <w:bookmarkStart w:id="39"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 1314–1315.</w:t>
      </w:r>
      <w:r>
        <w:t xml:space="preserve"> </w:t>
      </w:r>
      <w:hyperlink r:id="rId38">
        <w:r>
          <w:rPr>
            <w:rStyle w:val="Hyperlink"/>
          </w:rPr>
          <w:t xml:space="preserve">https://doi.org/10.1126/science.aaa6146</w:t>
        </w:r>
      </w:hyperlink>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8" Target="https://doi.org/10.1126/science.aaa6146" TargetMode="External" /><Relationship Type="http://schemas.openxmlformats.org/officeDocument/2006/relationships/hyperlink" Id="rId35"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126/science.aaa6146" TargetMode="External" /><Relationship Type="http://schemas.openxmlformats.org/officeDocument/2006/relationships/hyperlink" Id="rId3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2021-08-31T23:40:17Z</dcterms:created>
  <dcterms:modified xsi:type="dcterms:W3CDTF">2021-08-31T23:40:17Z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2021-08-31</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