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4E79"/>
          <w:sz w:val="56"/>
          <w:szCs w:val="56"/>
        </w:rPr>
        <w:t xml:space="preserve">ROOMY</w:t>
      </w:r>
    </w:p>
    <w:p>
      <w:pPr>
        <w:spacing w:after="80" w:before="0"/>
      </w:pPr>
      <w:r>
        <w:rPr>
          <w:rFonts w:ascii="Arial" w:cs="Arial" w:eastAsia="Arial" w:hAnsi="Arial"/>
          <w:color w:val="444444"/>
          <w:sz w:val="28"/>
          <w:szCs w:val="28"/>
        </w:rPr>
        <w:t xml:space="preserve">Threat Model &amp; Security Assessment</w:t>
      </w:r>
    </w:p>
    <w:p>
      <w:pPr>
        <w:spacing w:after="480" w:before="0"/>
      </w:pPr>
      <w:r>
        <w:rPr>
          <w:rFonts w:ascii="Arial" w:cs="Arial" w:eastAsia="Arial" w:hAnsi="Arial"/>
          <w:color w:val="888888"/>
          <w:sz w:val="20"/>
          <w:szCs w:val="20"/>
        </w:rPr>
        <w:t xml:space="preserve">Home Swap Platform  |  Next.js 15 · Supabase · Clerk · Drizzle ORM</w:t>
      </w:r>
    </w:p>
    <w:p>
      <w:pPr>
        <w:pStyle w:val="Heading1"/>
        <w:spacing w:after="160" w:before="360"/>
      </w:pPr>
      <w:r>
        <w:rPr>
          <w:rFonts w:ascii="Arial" w:cs="Arial" w:eastAsia="Arial" w:hAnsi="Arial"/>
          <w:b/>
          <w:bCs/>
          <w:color w:val="1F4E79"/>
          <w:sz w:val="28"/>
          <w:szCs w:val="28"/>
        </w:rPr>
        <w:t xml:space="preserve">1. Introduction</w:t>
      </w:r>
    </w:p>
    <w:p>
      <w:pPr>
        <w:spacing w:after="80" w:before="80"/>
      </w:pPr>
      <w:r>
        <w:rPr>
          <w:rFonts w:ascii="Arial" w:cs="Arial" w:eastAsia="Arial" w:hAnsi="Arial"/>
          <w:b w:val="false"/>
          <w:bCs w:val="false"/>
          <w:color w:val="000000"/>
          <w:sz w:val="20"/>
          <w:szCs w:val="20"/>
        </w:rPr>
        <w:t xml:space="preserve">Roomy is a home swap platform where users can list their own property and browse others to arrange accommodation exchanges directly. This document is a threat model analysis of the application using the STRIDE framework. It covers what assets are worth protecting, where the app is exposed to potential attacks, what security measures have been put in place, and what gaps still exist.</w:t>
      </w:r>
    </w:p>
    <w:p>
      <w:pPr>
        <w:spacing w:after="0" w:before="10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1F4E79"/>
          <w:sz w:val="24"/>
          <w:szCs w:val="24"/>
        </w:rPr>
        <w:t xml:space="preserve">1.1 Scope</w:t>
      </w:r>
    </w:p>
    <w:p>
      <w:pPr>
        <w:pStyle w:val="ListParagraph"/>
        <w:numPr>
          <w:ilvl w:val="0"/>
          <w:numId w:val="2"/>
        </w:numPr>
        <w:spacing w:after="40" w:before="40"/>
      </w:pPr>
      <w:r>
        <w:rPr>
          <w:rFonts w:ascii="Arial" w:cs="Arial" w:eastAsia="Arial" w:hAnsi="Arial"/>
          <w:sz w:val="20"/>
          <w:szCs w:val="20"/>
        </w:rPr>
        <w:t xml:space="preserve">API layer: 6 route handlers under /api/flats/** and /api/upload</w:t>
      </w:r>
    </w:p>
    <w:p>
      <w:pPr>
        <w:pStyle w:val="ListParagraph"/>
        <w:numPr>
          <w:ilvl w:val="0"/>
          <w:numId w:val="2"/>
        </w:numPr>
        <w:spacing w:after="40" w:before="40"/>
      </w:pPr>
      <w:r>
        <w:rPr>
          <w:rFonts w:ascii="Arial" w:cs="Arial" w:eastAsia="Arial" w:hAnsi="Arial"/>
          <w:sz w:val="20"/>
          <w:szCs w:val="20"/>
        </w:rPr>
        <w:t xml:space="preserve">Authentication: Clerk-based auth with middleware in proxy.ts</w:t>
      </w:r>
    </w:p>
    <w:p>
      <w:pPr>
        <w:pStyle w:val="ListParagraph"/>
        <w:numPr>
          <w:ilvl w:val="0"/>
          <w:numId w:val="2"/>
        </w:numPr>
        <w:spacing w:after="40" w:before="40"/>
      </w:pPr>
      <w:r>
        <w:rPr>
          <w:rFonts w:ascii="Arial" w:cs="Arial" w:eastAsia="Arial" w:hAnsi="Arial"/>
          <w:sz w:val="20"/>
          <w:szCs w:val="20"/>
        </w:rPr>
        <w:t xml:space="preserve">Database: Supabase Postgres via Drizzle ORM (Flat, Address, Swap tables)</w:t>
      </w:r>
    </w:p>
    <w:p>
      <w:pPr>
        <w:pStyle w:val="ListParagraph"/>
        <w:numPr>
          <w:ilvl w:val="0"/>
          <w:numId w:val="2"/>
        </w:numPr>
        <w:spacing w:after="40" w:before="40"/>
      </w:pPr>
      <w:r>
        <w:rPr>
          <w:rFonts w:ascii="Arial" w:cs="Arial" w:eastAsia="Arial" w:hAnsi="Arial"/>
          <w:sz w:val="20"/>
          <w:szCs w:val="20"/>
        </w:rPr>
        <w:t xml:space="preserve">File storage: Supabase Storage bucket flat-images</w:t>
      </w:r>
    </w:p>
    <w:p>
      <w:pPr>
        <w:pStyle w:val="ListParagraph"/>
        <w:numPr>
          <w:ilvl w:val="0"/>
          <w:numId w:val="2"/>
        </w:numPr>
        <w:spacing w:after="40" w:before="40"/>
      </w:pPr>
      <w:r>
        <w:rPr>
          <w:rFonts w:ascii="Arial" w:cs="Arial" w:eastAsia="Arial" w:hAnsi="Arial"/>
          <w:sz w:val="20"/>
          <w:szCs w:val="20"/>
        </w:rPr>
        <w:t xml:space="preserve">Frontend: Next.js 15 App Router — relevant where client state is passed to the API</w:t>
      </w:r>
    </w:p>
    <w:p>
      <w:pPr>
        <w:pStyle w:val="ListParagraph"/>
        <w:numPr>
          <w:ilvl w:val="0"/>
          <w:numId w:val="2"/>
        </w:numPr>
        <w:spacing w:after="40" w:before="40"/>
      </w:pPr>
      <w:r>
        <w:rPr>
          <w:rFonts w:ascii="Arial" w:cs="Arial" w:eastAsia="Arial" w:hAnsi="Arial"/>
          <w:sz w:val="20"/>
          <w:szCs w:val="20"/>
        </w:rPr>
        <w:t xml:space="preserve">Out of scope: Clerk’s internal infrastructure, Supabase’s hosted Postgres internals, Vercel platform infrastructure</w:t>
      </w:r>
    </w:p>
    <w:p>
      <w:pPr>
        <w:spacing w:after="0" w:before="10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1F4E79"/>
          <w:sz w:val="24"/>
          <w:szCs w:val="24"/>
        </w:rPr>
        <w:t xml:space="preserve">1.2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rPr>
          <w:tblHeader/>
        </w:trP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Layer</w:t>
            </w:r>
          </w:p>
        </w:tc>
        <w:tc>
          <w:tcPr>
            <w:tcW w:type="dxa" w:w="6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Technology</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Framework</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Next.js 15 (App Router) deployed on Vercel</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Clerk (OAuth 2.0 / OIDC) — JWT-based sessions, never handles passwords directly</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Postgres via Drizzle ORM — parameterized queries throughout</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Storage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Storage (bucket: flat-images, public read, authenticated upload)</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Per-IP in-memory limiting on upload, flat creation, and search</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Headers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CSP, X-Frame-Options, X-Content-Type-Options, Referrer-Policy, Permissions-Policy</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Security</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Delegated to Vercel’s edge network: DDoS protection, TLS 1.3, automatic HTTPS</w:t>
            </w:r>
          </w:p>
        </w:tc>
      </w:tr>
    </w:tbl>
    <w:p>
      <w:pPr>
        <w:spacing w:after="0" w:before="100"/>
      </w:pPr>
      <w:r>
        <w:rPr>
          <w:rFonts w:ascii="Arial" w:cs="Arial" w:eastAsia="Arial" w:hAnsi="Arial"/>
          <w:b w:val="false"/>
          <w:bCs w:val="false"/>
          <w:color w:val="000000"/>
          <w:sz w:val="20"/>
          <w:szCs w:val="20"/>
        </w:rPr>
        <w:t xml:space="preserve"/>
      </w:r>
    </w:p>
    <w:p>
      <w:pPr>
        <w:pStyle w:val="Heading1"/>
        <w:spacing w:after="160" w:before="360"/>
      </w:pPr>
      <w:r>
        <w:rPr>
          <w:rFonts w:ascii="Arial" w:cs="Arial" w:eastAsia="Arial" w:hAnsi="Arial"/>
          <w:b/>
          <w:bCs/>
          <w:color w:val="1F4E79"/>
          <w:sz w:val="28"/>
          <w:szCs w:val="28"/>
        </w:rPr>
        <w:t xml:space="preserve">2. Assets &amp; Entry Points</w:t>
      </w:r>
    </w:p>
    <w:p>
      <w:pPr>
        <w:pStyle w:val="Heading2"/>
        <w:spacing w:after="120" w:before="240"/>
      </w:pPr>
      <w:r>
        <w:rPr>
          <w:rFonts w:ascii="Arial" w:cs="Arial" w:eastAsia="Arial" w:hAnsi="Arial"/>
          <w:b/>
          <w:bCs/>
          <w:color w:val="1F4E79"/>
          <w:sz w:val="24"/>
          <w:szCs w:val="24"/>
        </w:rPr>
        <w:t xml:space="preserve">2.1 Assets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rPr>
          <w:tblHeader/>
        </w:trP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Asset</w:t>
            </w:r>
          </w:p>
        </w:tc>
        <w:tc>
          <w:tcPr>
            <w:tcW w:type="dxa" w:w="63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Notes</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identities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Clerk session JWTs and user IDs</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Listing data</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Flat records, addresses, availability dates, owner relationships</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Uploaded images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Property photos in Supabase flat-images bucket</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Postgres via DATABASE_URL — Flat, Address, Swap tables</w:t>
            </w:r>
          </w:p>
        </w:tc>
      </w:tr>
      <w:tr>
        <w:tc>
          <w:tcPr>
            <w:tcW w:type="dxa" w:w="270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CLERK_SECRET_KEY, SUPABASE_SERVICE_ROLE_KEY, DATABASE_URL — env vars only, never in source</w:t>
            </w:r>
          </w:p>
        </w:tc>
      </w:tr>
    </w:tbl>
    <w:p>
      <w:pPr>
        <w:spacing w:after="0" w:before="10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1F4E79"/>
          <w:sz w:val="24"/>
          <w:szCs w:val="24"/>
        </w:rPr>
        <w:t xml:space="preserve">2.2 Entry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3"/>
        <w:gridCol w:w="1000"/>
        <w:gridCol w:w="4713"/>
      </w:tblGrid>
      <w:tr>
        <w:trPr>
          <w:tblHeader/>
        </w:trPr>
        <w:tc>
          <w:tcPr>
            <w:tcW w:type="dxa" w:w="33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Endpoint</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Method</w:t>
            </w:r>
          </w:p>
        </w:tc>
        <w:tc>
          <w:tcPr>
            <w:tcW w:type="dxa" w:w="4713"/>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Auth</w:t>
            </w:r>
          </w:p>
        </w:tc>
      </w:tr>
      <w:tr>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/api/flats/search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4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 — public search</w:t>
            </w:r>
          </w:p>
        </w:tc>
      </w:tr>
      <w:tr>
        <w:tc>
          <w:tcPr>
            <w:tcW w:type="dxa" w:w="3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/api/flats/[flatId]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7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public read</w:t>
            </w:r>
          </w:p>
        </w:tc>
      </w:tr>
      <w:tr>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/api/flats/[flatId]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4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 + ownership check — 401 if unauthenticated, 403 if not owner</w:t>
            </w:r>
          </w:p>
        </w:tc>
      </w:tr>
      <w:tr>
        <w:tc>
          <w:tcPr>
            <w:tcW w:type="dxa" w:w="3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/api/flats/[flatId]/date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PUT</w:t>
            </w:r>
          </w:p>
        </w:tc>
        <w:tc>
          <w:tcPr>
            <w:tcW w:type="dxa" w:w="47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 ownership check — 401/403 enforced</w:t>
            </w:r>
          </w:p>
        </w:tc>
      </w:tr>
      <w:tr>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/api/flats/user/[userId]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4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 — identity derived from session, URL param not trusted</w:t>
            </w:r>
          </w:p>
        </w:tc>
      </w:tr>
      <w:tr>
        <w:tc>
          <w:tcPr>
            <w:tcW w:type="dxa" w:w="33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/api/flats/all/[userId]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7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public read</w:t>
            </w:r>
          </w:p>
        </w:tc>
      </w:tr>
      <w:tr>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/api/upload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47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 + ownership check before any file processing</w:t>
            </w:r>
          </w:p>
        </w:tc>
      </w:tr>
    </w:tbl>
    <w:p>
      <w:pPr>
        <w:spacing w:after="0" w:before="100"/>
      </w:pPr>
      <w:r>
        <w:rPr>
          <w:rFonts w:ascii="Arial" w:cs="Arial" w:eastAsia="Arial" w:hAnsi="Arial"/>
          <w:b w:val="false"/>
          <w:bCs w:val="false"/>
          <w:color w:val="000000"/>
          <w:sz w:val="20"/>
          <w:szCs w:val="20"/>
        </w:rPr>
        <w:t xml:space="preserve"/>
      </w:r>
    </w:p>
    <w:p>
      <w:pPr>
        <w:pStyle w:val="Heading1"/>
        <w:spacing w:after="160" w:before="360"/>
      </w:pPr>
      <w:r>
        <w:rPr>
          <w:rFonts w:ascii="Arial" w:cs="Arial" w:eastAsia="Arial" w:hAnsi="Arial"/>
          <w:b/>
          <w:bCs/>
          <w:color w:val="1F4E79"/>
          <w:sz w:val="28"/>
          <w:szCs w:val="28"/>
        </w:rPr>
        <w:t xml:space="preserve">3. Trust Boundaries</w:t>
      </w:r>
    </w:p>
    <w:p>
      <w:pPr>
        <w:spacing w:after="80" w:before="80"/>
      </w:pPr>
      <w:r>
        <w:rPr>
          <w:rFonts w:ascii="Arial" w:cs="Arial" w:eastAsia="Arial" w:hAnsi="Arial"/>
          <w:b w:val="false"/>
          <w:bCs w:val="false"/>
          <w:color w:val="000000"/>
          <w:sz w:val="20"/>
          <w:szCs w:val="20"/>
        </w:rPr>
        <w:t xml:space="preserve">A trust boundary is a point where data moves from one zone to another — for example from the browser into the server, or from the server into the database. These are the places where security controls matter most, because if something gets through unchecked at a boundary, there’s often nothing stopping it further down the line.</w:t>
      </w:r>
    </w:p>
    <w:p>
      <w:pPr>
        <w:spacing w:after="0" w:before="100"/>
      </w:pPr>
      <w:r>
        <w:rPr>
          <w:rFonts w:ascii="Arial" w:cs="Arial" w:eastAsia="Arial" w:hAnsi="Arial"/>
          <w:b w:val="false"/>
          <w:bCs w:val="false"/>
          <w:color w:val="000000"/>
          <w:sz w:val="20"/>
          <w:szCs w:val="20"/>
        </w:rPr>
        <w:t xml:space="preserve"/>
      </w:r>
    </w:p>
    <w:p>
      <w:pPr>
        <w:pStyle w:val="ListParagraph"/>
        <w:numPr>
          <w:ilvl w:val="0"/>
          <w:numId w:val="2"/>
        </w:numPr>
        <w:spacing w:after="40" w:before="40"/>
      </w:pPr>
      <w:r>
        <w:rPr>
          <w:rFonts w:ascii="Arial" w:cs="Arial" w:eastAsia="Arial" w:hAnsi="Arial"/>
          <w:sz w:val="20"/>
          <w:szCs w:val="20"/>
        </w:rPr>
        <w:t xml:space="preserve">Browser → Next.js API routes — all user input enters here. Client-side validation is advisory only; all checks are enforced server-side.</w:t>
      </w:r>
    </w:p>
    <w:p>
      <w:pPr>
        <w:pStyle w:val="ListParagraph"/>
        <w:numPr>
          <w:ilvl w:val="0"/>
          <w:numId w:val="2"/>
        </w:numPr>
        <w:spacing w:after="40" w:before="40"/>
      </w:pPr>
      <w:r>
        <w:rPr>
          <w:rFonts w:ascii="Arial" w:cs="Arial" w:eastAsia="Arial" w:hAnsi="Arial"/>
          <w:sz w:val="20"/>
          <w:szCs w:val="20"/>
        </w:rPr>
        <w:t xml:space="preserve">Server → Supabase Postgres — app holds DATABASE_URL. Drizzle ORM’s parameterized queries prevent SQL injection at this boundary.</w:t>
      </w:r>
    </w:p>
    <w:p>
      <w:pPr>
        <w:pStyle w:val="ListParagraph"/>
        <w:numPr>
          <w:ilvl w:val="0"/>
          <w:numId w:val="2"/>
        </w:numPr>
        <w:spacing w:after="40" w:before="40"/>
      </w:pPr>
      <w:r>
        <w:rPr>
          <w:rFonts w:ascii="Arial" w:cs="Arial" w:eastAsia="Arial" w:hAnsi="Arial"/>
          <w:sz w:val="20"/>
          <w:szCs w:val="20"/>
        </w:rPr>
        <w:t xml:space="preserve">Server → Supabase Storage — uses SUPABASE_SERVICE_ROLE_KEY server-side, which bypasses Row Level Security. This is intentional — security is enforced at the API layer instead. The key is never exposed to the client.</w:t>
      </w:r>
    </w:p>
    <w:p>
      <w:pPr>
        <w:pStyle w:val="ListParagraph"/>
        <w:numPr>
          <w:ilvl w:val="0"/>
          <w:numId w:val="2"/>
        </w:numPr>
        <w:spacing w:after="40" w:before="40"/>
      </w:pPr>
      <w:r>
        <w:rPr>
          <w:rFonts w:ascii="Arial" w:cs="Arial" w:eastAsia="Arial" w:hAnsi="Arial"/>
          <w:sz w:val="20"/>
          <w:szCs w:val="20"/>
        </w:rPr>
        <w:t xml:space="preserve">Server → Clerk — session JWTs are validated via auth() from @clerk/nextjs/server. The server trusts Clerk’s signed tokens.</w:t>
      </w:r>
    </w:p>
    <w:p>
      <w:pPr>
        <w:pStyle w:val="ListParagraph"/>
        <w:numPr>
          <w:ilvl w:val="0"/>
          <w:numId w:val="2"/>
        </w:numPr>
        <w:spacing w:after="40" w:before="40"/>
      </w:pPr>
      <w:r>
        <w:rPr>
          <w:rFonts w:ascii="Arial" w:cs="Arial" w:eastAsia="Arial" w:hAnsi="Arial"/>
          <w:sz w:val="20"/>
          <w:szCs w:val="20"/>
        </w:rPr>
        <w:t xml:space="preserve">Network layer — delegated to Vercel’s infrastructure. TLS 1.3 is enforced on all traffic automatically.</w:t>
      </w:r>
    </w:p>
    <w:p>
      <w:pPr>
        <w:spacing w:after="0" w:before="100"/>
      </w:pPr>
      <w:r>
        <w:rPr>
          <w:rFonts w:ascii="Arial" w:cs="Arial" w:eastAsia="Arial" w:hAnsi="Arial"/>
          <w:b w:val="false"/>
          <w:bCs w:val="false"/>
          <w:color w:val="000000"/>
          <w:sz w:val="20"/>
          <w:szCs w:val="20"/>
        </w:rPr>
        <w:t xml:space="preserve"/>
      </w:r>
    </w:p>
    <w:p>
      <w:pPr>
        <w:pStyle w:val="Heading1"/>
        <w:spacing w:after="160" w:before="360"/>
      </w:pPr>
      <w:r>
        <w:rPr>
          <w:rFonts w:ascii="Arial" w:cs="Arial" w:eastAsia="Arial" w:hAnsi="Arial"/>
          <w:b/>
          <w:bCs/>
          <w:color w:val="1F4E79"/>
          <w:sz w:val="28"/>
          <w:szCs w:val="28"/>
        </w:rPr>
        <w:t xml:space="preserve">4. Threat Analysis (STRIDE)</w:t>
      </w:r>
    </w:p>
    <w:p>
      <w:pPr>
        <w:spacing w:after="80" w:before="80"/>
      </w:pPr>
      <w:r>
        <w:rPr>
          <w:rFonts w:ascii="Arial" w:cs="Arial" w:eastAsia="Arial" w:hAnsi="Arial"/>
          <w:b w:val="false"/>
          <w:bCs w:val="false"/>
          <w:color w:val="000000"/>
          <w:sz w:val="20"/>
          <w:szCs w:val="20"/>
        </w:rPr>
        <w:t xml:space="preserve">STRIDE is a threat modelling framework that breaks potential attacks into six categories: Spoofing (pretending to be someone else), Tampering (modifying data you shouldn’t), Repudiation (denying you did something), Information Disclosure (seeing data you shouldn’t), Denial of Service (making the app unusable), and Elevation of Privilege (getting access beyond what you’re allowed). The table below maps identified threats to these categories and shows the current status of each.</w:t>
      </w:r>
    </w:p>
    <w:p>
      <w:pPr>
        <w:spacing w:after="0" w:before="100"/>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750"/>
        <w:gridCol w:w="700"/>
        <w:gridCol w:w="1350"/>
        <w:gridCol w:w="1200"/>
        <w:gridCol w:w="1526"/>
      </w:tblGrid>
      <w:tr>
        <w:trPr>
          <w:tblHeader/>
        </w:trP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ID</w:t>
            </w:r>
          </w:p>
        </w:tc>
        <w:tc>
          <w:tcPr>
            <w:tcW w:type="dxa" w:w="27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Threat</w:t>
            </w:r>
          </w:p>
        </w:tc>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STRIDE</w:t>
            </w:r>
          </w:p>
        </w:tc>
        <w:tc>
          <w:tcPr>
            <w:tcW w:type="dxa" w:w="13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Severity</w:t>
            </w:r>
          </w:p>
        </w:tc>
        <w:tc>
          <w:tcPr>
            <w:tcW w:type="dxa" w:w="15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T-01</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Unauthenticated flat creation — no auth() on POST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 / S</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/api/flats/user/[userId]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1C1C"/>
                <w:sz w:val="20"/>
                <w:szCs w:val="20"/>
              </w:rPr>
              <w:t xml:space="preserve">CRITICAL</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T-02</w:t>
            </w:r>
          </w:p>
        </w:tc>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Unauthenticated date mutation — no auth() on PUT</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 / E</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PUT /api/flats/[flatId]/date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B71C1C"/>
                <w:sz w:val="20"/>
                <w:szCs w:val="20"/>
              </w:rPr>
              <w:t xml:space="preserve">CRITICAL</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T-03</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IDOR — URL userId param used as identity without session check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 / E</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/api/flats/user/[userId]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T-04</w:t>
            </w:r>
          </w:p>
        </w:tc>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Internal error messages returned to client in responses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withLogging.ts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T-05</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per-instance only — not globally consistent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26"/>
            <w:tcBorders>
              <w:top w:val="single" w:color="CCCCCC" w:sz="1"/>
              <w:left w:val="single" w:color="CCCCCC" w:sz="1"/>
              <w:bottom w:val="single" w:color="CCCCCC" w:sz="1"/>
              <w:right w:val="single" w:color="CCCCCC" w:sz="1"/>
            </w:tcBorders>
            <w:shd w:fill="FFFDE7" w:val="clear"/>
            <w:tcMar>
              <w:top w:type="dxa" w:w="80"/>
              <w:left w:type="dxa" w:w="120"/>
              <w:bottom w:type="dxa" w:w="80"/>
              <w:right w:type="dxa" w:w="120"/>
            </w:tcMar>
          </w:tcPr>
          <w:p>
            <w:r>
              <w:rPr>
                <w:rFonts w:ascii="Arial" w:cs="Arial" w:eastAsia="Arial" w:hAnsi="Arial"/>
                <w:b/>
                <w:bCs/>
                <w:color w:val="E65100"/>
                <w:sz w:val="20"/>
                <w:szCs w:val="20"/>
              </w:rPr>
              <w:t xml:space="preserve">PARTIAL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T-06</w:t>
            </w:r>
          </w:p>
        </w:tc>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schema validation on request bodies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mutation routes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T-07</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Public storage bucket — image URLs accessible without auth</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Supabase Storage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5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OPEN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T-08</w:t>
            </w:r>
          </w:p>
        </w:tc>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CSP headers — XSS via injected scripts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 / E</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next.config.js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T-09</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Swap table has no auth layer — swap routes not yet built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 / T</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DB Schema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E65100"/>
                <w:sz w:val="20"/>
                <w:szCs w:val="20"/>
              </w:rPr>
              <w:t xml:space="preserve">HIGH</w:t>
            </w:r>
          </w:p>
        </w:tc>
        <w:tc>
          <w:tcPr>
            <w:tcW w:type="dxa" w:w="15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OPEN</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T-10</w:t>
            </w:r>
          </w:p>
        </w:tc>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Service-role key bypasses RLS for all server operations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supabase-server.ts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OPEN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T-11</w:t>
            </w:r>
          </w:p>
        </w:tc>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flat did not clean up images from storage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w:t>
            </w:r>
          </w:p>
        </w:tc>
        <w:tc>
          <w:tcPr>
            <w:tcW w:type="dxa" w:w="135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DELETE /api/flats/[flatId]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LOW</w:t>
            </w:r>
          </w:p>
        </w:tc>
        <w:tc>
          <w:tcPr>
            <w:tcW w:type="dxa" w:w="15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FIXED</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T-12</w:t>
            </w:r>
          </w:p>
        </w:tc>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Clerk middleware passive — no default-deny on routes</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w:t>
            </w:r>
          </w:p>
        </w:tc>
        <w:tc>
          <w:tcPr>
            <w:tcW w:type="dxa" w:w="13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proxy.ts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MEDIUM</w:t>
            </w:r>
          </w:p>
        </w:tc>
        <w:tc>
          <w:tcPr>
            <w:tcW w:type="dxa" w:w="1526"/>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bCs/>
                <w:color w:val="B71C1C"/>
                <w:sz w:val="20"/>
                <w:szCs w:val="20"/>
              </w:rPr>
              <w:t xml:space="preserve">OPEN</w:t>
            </w:r>
          </w:p>
        </w:tc>
      </w:tr>
    </w:tbl>
    <w:p>
      <w:pPr>
        <w:spacing w:after="0" w:before="10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1F4E79"/>
          <w:sz w:val="24"/>
          <w:szCs w:val="24"/>
        </w:rPr>
        <w:t xml:space="preserve">4.1 Fixed Threats</w:t>
      </w:r>
    </w:p>
    <w:p>
      <w:pPr>
        <w:spacing w:after="80" w:before="80"/>
      </w:pPr>
      <w:r>
        <w:rPr>
          <w:rFonts w:ascii="Arial" w:cs="Arial" w:eastAsia="Arial" w:hAnsi="Arial"/>
          <w:b/>
          <w:bCs/>
          <w:color w:val="000000"/>
          <w:sz w:val="20"/>
          <w:szCs w:val="20"/>
        </w:rPr>
        <w:t xml:space="preserve">T-01 &amp; T-02 — Unauthenticated mutations</w:t>
      </w:r>
    </w:p>
    <w:p>
      <w:pPr>
        <w:spacing w:after="80" w:before="80"/>
      </w:pPr>
      <w:r>
        <w:rPr>
          <w:rFonts w:ascii="Arial" w:cs="Arial" w:eastAsia="Arial" w:hAnsi="Arial"/>
          <w:b w:val="false"/>
          <w:bCs w:val="false"/>
          <w:color w:val="000000"/>
          <w:sz w:val="20"/>
          <w:szCs w:val="20"/>
        </w:rPr>
        <w:t xml:space="preserve">These were probably the most critical issues found. The flat creation and date update routes had no login check at all, so anyone who knew the URL could create or modify listings without being signed in. Both routes now call auth() from Clerk at the start — if there’s no valid session it returns 401, and if the user is logged in but doesn’t own the resource it returns 403.</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T-03 — IDOR on flat creation</w:t>
      </w:r>
    </w:p>
    <w:p>
      <w:pPr>
        <w:spacing w:after="80" w:before="80"/>
      </w:pPr>
      <w:r>
        <w:rPr>
          <w:rFonts w:ascii="Arial" w:cs="Arial" w:eastAsia="Arial" w:hAnsi="Arial"/>
          <w:b w:val="false"/>
          <w:bCs w:val="false"/>
          <w:color w:val="000000"/>
          <w:sz w:val="20"/>
          <w:szCs w:val="20"/>
        </w:rPr>
        <w:t xml:space="preserve">IDOR stands for Insecure Direct Object Reference, which basically means trusting a user-supplied ID instead of the verified session. The original route was using the userId from the URL to set the listing owner, which meant an authenticated user could substitute someone else’s ID and create listings attributed to them. The fix is straightforward: ignore the URL parameter entirely and always take the userId from the Clerk session, which has been cryptographically verified.</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T-08 — No CSP headers</w:t>
      </w:r>
    </w:p>
    <w:p>
      <w:pPr>
        <w:spacing w:after="80" w:before="80"/>
      </w:pPr>
      <w:r>
        <w:rPr>
          <w:rFonts w:ascii="Arial" w:cs="Arial" w:eastAsia="Arial" w:hAnsi="Arial"/>
          <w:b w:val="false"/>
          <w:bCs w:val="false"/>
          <w:color w:val="000000"/>
          <w:sz w:val="20"/>
          <w:szCs w:val="20"/>
        </w:rPr>
        <w:t xml:space="preserve">Content Security Policy (CSP) tells the browser which domains it’s allowed to load scripts, images, and other resources from. Without it, a successful XSS attack could load anything. CSP headers were added in next.config.js along with X-Frame-Options: DENY (prevents the app being embedded in an iframe for clickjacking), X-Content-Type-Options: nosniff, Referrer-Policy, and Permissions-Policy to disable browser features the app doesn’t need. One tradeoff worth noting: unsafe-inline had to be added to the script policy because Clerk’s components require it. This weakens XSS protection slightly and is something to revisit if Clerk adds nonce support.</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T-11 — Storage not cleaned up on delete</w:t>
      </w:r>
    </w:p>
    <w:p>
      <w:pPr>
        <w:spacing w:after="80" w:before="80"/>
      </w:pPr>
      <w:r>
        <w:rPr>
          <w:rFonts w:ascii="Arial" w:cs="Arial" w:eastAsia="Arial" w:hAnsi="Arial"/>
          <w:b w:val="false"/>
          <w:bCs w:val="false"/>
          <w:color w:val="000000"/>
          <w:sz w:val="20"/>
          <w:szCs w:val="20"/>
        </w:rPr>
        <w:t xml:space="preserve">This one came directly out of the threat modelling process. When a flat was deleted, the database row was removed but the images stayed in Supabase Storage with their public URLs still working. Given GDPR’s right to erasure this is a real problem, not just a theoretical one. The DELETE handler now fetches the image paths first and calls storage.remove() before touching the database. If the storage call fails, the error is logged and the deletion still completes — the reasoning being that leaving a user unable to delete their own listing is a worse outcome than a file sitting in storage a bit longer.</w:t>
      </w:r>
    </w:p>
    <w:p>
      <w:pPr>
        <w:spacing w:after="0" w:before="10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1F4E79"/>
          <w:sz w:val="24"/>
          <w:szCs w:val="24"/>
        </w:rPr>
        <w:t xml:space="preserve">4.2 Open &amp; Partially Mitigated Threats</w:t>
      </w:r>
    </w:p>
    <w:p>
      <w:pPr>
        <w:spacing w:after="80" w:before="80"/>
      </w:pPr>
      <w:r>
        <w:rPr>
          <w:rFonts w:ascii="Arial" w:cs="Arial" w:eastAsia="Arial" w:hAnsi="Arial"/>
          <w:b/>
          <w:bCs/>
          <w:color w:val="000000"/>
          <w:sz w:val="20"/>
          <w:szCs w:val="20"/>
        </w:rPr>
        <w:t xml:space="preserve">T-04 — Error message leakage</w:t>
      </w:r>
    </w:p>
    <w:p>
      <w:pPr>
        <w:spacing w:after="80" w:before="80"/>
      </w:pPr>
      <w:r>
        <w:rPr>
          <w:rFonts w:ascii="Arial" w:cs="Arial" w:eastAsia="Arial" w:hAnsi="Arial"/>
          <w:b w:val="false"/>
          <w:bCs w:val="false"/>
          <w:color w:val="000000"/>
          <w:sz w:val="20"/>
          <w:szCs w:val="20"/>
        </w:rPr>
        <w:t xml:space="preserve">Right now the withLogging.ts wrapper returns the raw error in the JSON response body. That’s fine for development but in production, ORM and database errors often contain internal details like column names or file paths that you don’t want exposed. The fix is to return something generic to the client and keep the full error in server logs only.</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T-05 — Rate limiting</w:t>
      </w:r>
    </w:p>
    <w:p>
      <w:pPr>
        <w:spacing w:after="80" w:before="80"/>
      </w:pPr>
      <w:r>
        <w:rPr>
          <w:rFonts w:ascii="Arial" w:cs="Arial" w:eastAsia="Arial" w:hAnsi="Arial"/>
          <w:b w:val="false"/>
          <w:bCs w:val="false"/>
          <w:color w:val="000000"/>
          <w:sz w:val="20"/>
          <w:szCs w:val="20"/>
        </w:rPr>
        <w:t xml:space="preserve">Rate limiting is in place on the three highest-risk endpoints — flat creation (5/min), image upload (10/min), and search (30/min) — and returns 429 Too Many Requests with a Retry-After header. The catch is that the counter is stored in memory, and Vercel runs each API route as a separate serverless function instance. Those instances don’t share state, so each one has its own counter. In practice the effective limit is higher than configured. A proper fix would be a shared store like Redis, but that’s out of scope for this stage.</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T-06 — No schema validation</w:t>
      </w:r>
    </w:p>
    <w:p>
      <w:pPr>
        <w:spacing w:after="80" w:before="80"/>
      </w:pPr>
      <w:r>
        <w:rPr>
          <w:rFonts w:ascii="Arial" w:cs="Arial" w:eastAsia="Arial" w:hAnsi="Arial"/>
          <w:b w:val="false"/>
          <w:bCs w:val="false"/>
          <w:color w:val="000000"/>
          <w:sz w:val="20"/>
          <w:szCs w:val="20"/>
        </w:rPr>
        <w:t xml:space="preserve">None of the mutation routes validate the shape of the request body with a schema library. Values like room counts, dates, and text content are only checked manually and inconsistently. The risk is that malformed or unexpected data can reach the database unchecked. Adding something like Zod would let you define exactly what each field should look like and reject anything that doesn’t match before it goes any further.</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T-07 — Public storage bucket</w:t>
      </w:r>
    </w:p>
    <w:p>
      <w:pPr>
        <w:spacing w:after="80" w:before="80"/>
      </w:pPr>
      <w:r>
        <w:rPr>
          <w:rFonts w:ascii="Arial" w:cs="Arial" w:eastAsia="Arial" w:hAnsi="Arial"/>
          <w:b w:val="false"/>
          <w:bCs w:val="false"/>
          <w:color w:val="000000"/>
          <w:sz w:val="20"/>
          <w:szCs w:val="20"/>
        </w:rPr>
        <w:t xml:space="preserve">The flat-images bucket is set to public, so any image URL works for anyone who has it. For a listings platform this is a reasonable tradeoff — listings are meant to be browsable. The more privacy-conscious approach would be a private bucket with short-lived signed URLs generated per request, but that would require a meaningful refactor of how images are served.</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T-09 — Swap routes not yet built</w:t>
      </w:r>
    </w:p>
    <w:p>
      <w:pPr>
        <w:spacing w:after="80" w:before="80"/>
      </w:pPr>
      <w:r>
        <w:rPr>
          <w:rFonts w:ascii="Arial" w:cs="Arial" w:eastAsia="Arial" w:hAnsi="Arial"/>
          <w:b w:val="false"/>
          <w:bCs w:val="false"/>
          <w:color w:val="000000"/>
          <w:sz w:val="20"/>
          <w:szCs w:val="20"/>
        </w:rPr>
        <w:t xml:space="preserve">The Swap table exists in the database schema but no API routes have been built for it yet. This is flagged here as a future risk — when swap functionality gets implemented, it’ll need ownership checks and state validation built in from the beginning rather than added later.</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T-10 — Service-role key bypasses RLS</w:t>
      </w:r>
    </w:p>
    <w:p>
      <w:pPr>
        <w:spacing w:after="80" w:before="80"/>
      </w:pPr>
      <w:r>
        <w:rPr>
          <w:rFonts w:ascii="Arial" w:cs="Arial" w:eastAsia="Arial" w:hAnsi="Arial"/>
          <w:b w:val="false"/>
          <w:bCs w:val="false"/>
          <w:color w:val="000000"/>
          <w:sz w:val="20"/>
          <w:szCs w:val="20"/>
        </w:rPr>
        <w:t xml:space="preserve">The Supabase client is initialised with the service-role key, which gives it superuser access and bypasses Supabase’s Row Level Security policies entirely. This is intentional — rather than relying on RLS, all access control is handled at the API layer through auth() and ownership checks. The tradeoff is that there’s no database-level safety net if a server-side auth mistake were ever introduced.</w:t>
      </w:r>
    </w:p>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T-12 — Passive Clerk middleware</w:t>
      </w:r>
    </w:p>
    <w:p>
      <w:pPr>
        <w:spacing w:after="80" w:before="80"/>
      </w:pPr>
      <w:r>
        <w:rPr>
          <w:rFonts w:ascii="Arial" w:cs="Arial" w:eastAsia="Arial" w:hAnsi="Arial"/>
          <w:b w:val="false"/>
          <w:bCs w:val="false"/>
          <w:color w:val="000000"/>
          <w:sz w:val="20"/>
          <w:szCs w:val="20"/>
        </w:rPr>
        <w:t xml:space="preserve">The Clerk middleware in proxy.ts currently just logs request timing and sets a response time header — it doesn’t enforce anything. Route protection is completely opt-in, which means any new route that gets added without an auth() call will be silently unprotected. The safer pattern would be to configure the middleware to protect everything by default and maintain an explicit list of public routes that are allowed through without authentication.</w:t>
      </w:r>
    </w:p>
    <w:p>
      <w:pPr>
        <w:spacing w:after="0" w:before="100"/>
      </w:pPr>
      <w:r>
        <w:rPr>
          <w:rFonts w:ascii="Arial" w:cs="Arial" w:eastAsia="Arial" w:hAnsi="Arial"/>
          <w:b w:val="false"/>
          <w:bCs w:val="false"/>
          <w:color w:val="000000"/>
          <w:sz w:val="20"/>
          <w:szCs w:val="20"/>
        </w:rPr>
        <w:t xml:space="preserve"/>
      </w:r>
    </w:p>
    <w:p>
      <w:pPr>
        <w:pStyle w:val="Heading1"/>
        <w:spacing w:after="160" w:before="360"/>
      </w:pPr>
      <w:r>
        <w:rPr>
          <w:rFonts w:ascii="Arial" w:cs="Arial" w:eastAsia="Arial" w:hAnsi="Arial"/>
          <w:b/>
          <w:bCs/>
          <w:color w:val="1F4E79"/>
          <w:sz w:val="28"/>
          <w:szCs w:val="28"/>
        </w:rPr>
        <w:t xml:space="preserve">5. Implemented Security Measures</w:t>
      </w:r>
    </w:p>
    <w:p>
      <w:pPr>
        <w:spacing w:after="80" w:before="80"/>
      </w:pPr>
      <w:r>
        <w:rPr>
          <w:rFonts w:ascii="Arial" w:cs="Arial" w:eastAsia="Arial" w:hAnsi="Arial"/>
          <w:b w:val="false"/>
          <w:bCs w:val="false"/>
          <w:color w:val="000000"/>
          <w:sz w:val="20"/>
          <w:szCs w:val="20"/>
        </w:rPr>
        <w:t xml:space="preserve">The following measures are all verified against the current codebase.</w:t>
      </w:r>
    </w:p>
    <w:p>
      <w:pPr>
        <w:spacing w:after="0" w:before="100"/>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26"/>
        <w:gridCol w:w="2200"/>
      </w:tblGrid>
      <w:tr>
        <w:trPr>
          <w:tblHeader/>
        </w:trPr>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Measure</w:t>
            </w:r>
          </w:p>
        </w:tc>
        <w:tc>
          <w:tcPr>
            <w:tcW w:type="dxa" w:w="42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Detail</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Location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 on write routes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on all mutation endpoints. Returns 401 if no session, 403 if not the resource owner. Identity always comes from the verified session — URL parameters are never trusted for ownership decisions.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mutation route.ts 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Magic byte file validation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Uploaded files are validated by reading the actual binary signatures at the start of the file content (JPEG: FF D8 FF, PNG: 89 50 4E 47, WebP: 52 49 46 46). Checking the Content-Type header alone is not sufficient — it can be spoofed by renaming any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api/upload/route.ts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upload restrictions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3 files per request, 5 MB per file. MIME type allowlist enforced both in code and at the Supabase bucket level. Filenames are sanitised with a regex allowlist before being used as storage paths.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api/upload/route.ts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Rate limiting</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Per-IP limits on upload (10/min), flat creation (5/min), search (30/min). Returns 429 Too Many Requests with a Retry-After header. Known limitation: counters are in-memory per serverless instance, not globally shared.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src/lib/rateLimit.ts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 headers</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Content-Security-Policy restricts script, image, and network sources. X-Frame-Options: DENY prevents clickjacking. X-Content-Type-Options: nosniff, Referrer-Policy, and Permissions-Policy also set. unsafe-inline required for Clerk — accepted tradeoff.</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next.config.js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prevention</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Drizzle ORM uses parameterized queries throughout. No raw SQL string interpolation exists in the codebase.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src/controllers/flats.ts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Secrets management</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credentials hardcoded in source. All secrets loaded via process.env. The Supabase client throws at startup if required environment variables are missing.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.env.example, supabase-server.ts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Storage cleanup on delete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When a flat is deleted, the handler fetches the image paths first and calls storage.remove() before removing the database row. Storage errors are logged but do not block the deletion.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api/flats/[flatId]/route.ts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redirect prevention</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Post-login redirect URLs are validated to only accept relative paths (must start with /). Any external URL in the redirectUrl parameter is rejected and falls back to /home, preventing redirect-based phishing after a legitimate login.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sign-in/page.tsx, sign-up/page.tsx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Password management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Passwords are never stored, hashed, or processed by the application. Authentication is fully delegated to Clerk, which handles password hashing, salting, and session management internally.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Clerk (external)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 logging</w:t>
            </w:r>
          </w:p>
        </w:tc>
        <w:tc>
          <w:tcPr>
            <w:tcW w:type="dxa" w:w="42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withLogging.ts wraps all route handlers and logs method, path, status code, and response time. proxy.ts sets X-Response-Time on every response.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src/lib/withLogging.ts</w:t>
            </w:r>
          </w:p>
        </w:tc>
      </w:tr>
    </w:tbl>
    <w:p>
      <w:pPr>
        <w:pStyle w:val="Heading1"/>
        <w:spacing w:after="160" w:before="360"/>
      </w:pPr>
      <w:r>
        <w:rPr>
          <w:rFonts w:ascii="Arial" w:cs="Arial" w:eastAsia="Arial" w:hAnsi="Arial"/>
          <w:b/>
          <w:bCs/>
          <w:color w:val="1F4E79"/>
          <w:sz w:val="28"/>
          <w:szCs w:val="28"/>
        </w:rPr>
        <w:t xml:space="preserve">6. Known Limitations &amp; Future Improvements</w:t>
      </w:r>
    </w:p>
    <w:p>
      <w:pPr>
        <w:spacing w:after="80" w:before="80"/>
      </w:pPr>
      <w:r>
        <w:rPr>
          <w:rFonts w:ascii="Arial" w:cs="Arial" w:eastAsia="Arial" w:hAnsi="Arial"/>
          <w:b w:val="false"/>
          <w:bCs w:val="false"/>
          <w:color w:val="000000"/>
          <w:sz w:val="20"/>
          <w:szCs w:val="20"/>
        </w:rPr>
        <w:t xml:space="preserve">The following are either accepted tradeoffs or improvements planned for future iterations.</w:t>
      </w:r>
    </w:p>
    <w:p>
      <w:pPr>
        <w:spacing w:after="0" w:before="100"/>
      </w:pPr>
      <w:r>
        <w:rPr>
          <w:rFonts w:ascii="Arial" w:cs="Arial" w:eastAsia="Arial" w:hAnsi="Arial"/>
          <w:b w:val="false"/>
          <w:bCs w:val="false"/>
          <w:color w:val="000000"/>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Item</w:t>
            </w:r>
          </w:p>
        </w:tc>
        <w:tc>
          <w:tcPr>
            <w:tcW w:type="dxa" w:w="60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000000"/>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limiting is per-instance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in-memory rate limit counters are not shared across Vercel serverless instances. Limits work correctly on a single instance but are not globally enforced at scale. Fix: replace with a Redis-backed store (e.g. Upstash).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unsafe-inline in CSP</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for Clerk’s components to work. This weakens XSS protection slightly. The proper fix is nonce-based CSP, where each request gets a unique token that inline scripts must present to run.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request body schema validation</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Mutation routes don’t use a schema library like Zod. Malformed field values can reach the database. Adding schema validation would reject bad data at the API boundary before it gets any further.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Error details exposed in responses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Raw error messages from the ORM or database are currently returned in API responses. In production these should be replaced with a generic message, with the full error kept in server-side logs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image bucket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Images are served via public URLs. For a listing platform this is acceptable, but a more private approach would use signed URLs that expire after a short window so images can’t be hotlinked or accessed after a listing is removed.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Swap routes not yet implemented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The Swap table exists in the schema but no API routes have been built. When they are, ownership checks and state validation need to be included from the start.</w:t>
            </w:r>
          </w:p>
        </w:tc>
      </w:tr>
    </w:tbl>
    <w:p>
      <w:pPr>
        <w:spacing w:after="0" w:before="10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888888"/>
          <w:sz w:val="20"/>
          <w:szCs w:val="20"/>
        </w:rP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2026-05-03T00:44:49.857Z</dcterms:created>
  <dcterms:modified xsi:type="dcterms:W3CDTF">2026-05-03T00:44:49.858Z</dcterms:modified>
</cp:coreProperties>
</file>

<file path=docProps/custom.xml><?xml version="1.0" encoding="utf-8"?>
<Properties xmlns="http://schemas.openxmlformats.org/officeDocument/2006/custom-properties" xmlns:vt="http://schemas.openxmlformats.org/officeDocument/2006/docPropsVTypes"/>
</file>