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Buy a new Moto Z2 Force Edition and get 50% off via bill credits when you add a new line or upgrade to an eligible phone (reqs eligible plan and DIRECTV, max bill credit $307.50)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T-Mobile Tuesdays: This week, customers get a $2 Dunkin’ Donuts Promo Card (qualifying plan required)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Free Slate tablet after service credits (reqs. 24 mo. installments and new line of service or eligible upgrade) 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