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D150" w14:textId="77777777" w:rsidR="00901B00" w:rsidRDefault="00901B00" w:rsidP="004A4C24">
      <w:pPr>
        <w:spacing w:line="480" w:lineRule="auto"/>
        <w:jc w:val="center"/>
        <w:rPr>
          <w:rStyle w:val="apple-converted-space"/>
          <w:rFonts w:ascii="Times New Roman" w:hAnsi="Times New Roman" w:cs="Times New Roman"/>
          <w:color w:val="000000"/>
        </w:rPr>
      </w:pPr>
    </w:p>
    <w:p w14:paraId="056DDD0A" w14:textId="4F3C7891" w:rsidR="00FE0F52" w:rsidRDefault="00FE0F52" w:rsidP="00FE0F52">
      <w:pPr>
        <w:spacing w:line="480" w:lineRule="auto"/>
        <w:ind w:firstLine="720"/>
        <w:contextualSpacing/>
        <w:rPr>
          <w:rFonts w:ascii="Times New Roman" w:hAnsi="Times New Roman" w:cs="Times New Roman"/>
        </w:rPr>
      </w:pPr>
      <w:r>
        <w:rPr>
          <w:rFonts w:ascii="Times New Roman" w:hAnsi="Times New Roman" w:cs="Times New Roman"/>
        </w:rPr>
        <w:t>Rogus’ True Transcription of Hand D Pages. ****hovering page****</w:t>
      </w:r>
    </w:p>
    <w:p w14:paraId="27AD6BEF" w14:textId="45E536A3" w:rsidR="004A4C24" w:rsidRDefault="004A4C24" w:rsidP="00E83011">
      <w:pPr>
        <w:spacing w:line="480" w:lineRule="auto"/>
        <w:ind w:firstLine="720"/>
        <w:contextualSpacing/>
        <w:rPr>
          <w:rFonts w:ascii="Times New Roman" w:hAnsi="Times New Roman" w:cs="Times New Roman"/>
        </w:rPr>
      </w:pPr>
      <w:r>
        <w:rPr>
          <w:rFonts w:ascii="Times New Roman" w:hAnsi="Times New Roman" w:cs="Times New Roman"/>
        </w:rPr>
        <w:t>Hand D: Shakespeare? Handwriting Analysis</w:t>
      </w:r>
      <w:r w:rsidR="00FE0F52">
        <w:rPr>
          <w:rFonts w:ascii="Times New Roman" w:hAnsi="Times New Roman" w:cs="Times New Roman"/>
        </w:rPr>
        <w:t xml:space="preserve"> ***below in Word Doc****</w:t>
      </w:r>
    </w:p>
    <w:p w14:paraId="28E889E8" w14:textId="63D5FC8E" w:rsidR="004A4C24" w:rsidRDefault="004A4C24" w:rsidP="004A4C24">
      <w:pPr>
        <w:spacing w:line="480" w:lineRule="auto"/>
        <w:ind w:firstLine="720"/>
        <w:contextualSpacing/>
        <w:rPr>
          <w:rFonts w:ascii="Times New Roman" w:hAnsi="Times New Roman" w:cs="Times New Roman"/>
        </w:rPr>
      </w:pPr>
      <w:r>
        <w:rPr>
          <w:rFonts w:ascii="Times New Roman" w:hAnsi="Times New Roman" w:cs="Times New Roman"/>
        </w:rPr>
        <w:t>Performance Edition of Sir Thomas More: Hand D</w:t>
      </w:r>
      <w:r w:rsidR="00FE0F52">
        <w:rPr>
          <w:rFonts w:ascii="Times New Roman" w:hAnsi="Times New Roman" w:cs="Times New Roman"/>
        </w:rPr>
        <w:t xml:space="preserve"> ***TBD*****</w:t>
      </w:r>
    </w:p>
    <w:p w14:paraId="1E4EF961" w14:textId="6E8CC552" w:rsidR="00191EAB" w:rsidRDefault="00191EAB" w:rsidP="004A4C24">
      <w:pPr>
        <w:spacing w:line="480" w:lineRule="auto"/>
        <w:ind w:firstLine="720"/>
        <w:contextualSpacing/>
        <w:rPr>
          <w:rFonts w:ascii="Times New Roman" w:hAnsi="Times New Roman" w:cs="Times New Roman"/>
        </w:rPr>
      </w:pPr>
      <w:r>
        <w:rPr>
          <w:rFonts w:ascii="Times New Roman" w:hAnsi="Times New Roman" w:cs="Times New Roman"/>
        </w:rPr>
        <w:t>Shakespearean Paleography Links</w:t>
      </w:r>
      <w:r w:rsidR="00FE0F52">
        <w:rPr>
          <w:rFonts w:ascii="Times New Roman" w:hAnsi="Times New Roman" w:cs="Times New Roman"/>
        </w:rPr>
        <w:t xml:space="preserve"> ****links in IJ “Other </w:t>
      </w:r>
      <w:proofErr w:type="gramStart"/>
      <w:r w:rsidR="00FE0F52">
        <w:rPr>
          <w:rFonts w:ascii="Times New Roman" w:hAnsi="Times New Roman" w:cs="Times New Roman"/>
        </w:rPr>
        <w:t>Page”*</w:t>
      </w:r>
      <w:proofErr w:type="gramEnd"/>
      <w:r w:rsidR="00FE0F52">
        <w:rPr>
          <w:rFonts w:ascii="Times New Roman" w:hAnsi="Times New Roman" w:cs="Times New Roman"/>
        </w:rPr>
        <w:t>***</w:t>
      </w:r>
    </w:p>
    <w:p w14:paraId="0FD80A72" w14:textId="77777777" w:rsidR="004A4C24" w:rsidRDefault="004A4C24" w:rsidP="00E83011">
      <w:pPr>
        <w:spacing w:line="480" w:lineRule="auto"/>
        <w:ind w:firstLine="720"/>
        <w:contextualSpacing/>
        <w:rPr>
          <w:rFonts w:ascii="Times New Roman" w:hAnsi="Times New Roman" w:cs="Times New Roman"/>
        </w:rPr>
      </w:pPr>
    </w:p>
    <w:p w14:paraId="0330D9FA" w14:textId="7BFF6524" w:rsidR="00E83011" w:rsidRPr="00670837" w:rsidRDefault="00E83011" w:rsidP="00E83011">
      <w:pPr>
        <w:spacing w:line="480" w:lineRule="auto"/>
        <w:ind w:firstLine="720"/>
        <w:contextualSpacing/>
        <w:rPr>
          <w:rFonts w:ascii="Times New Roman" w:hAnsi="Times New Roman" w:cs="Times New Roman"/>
        </w:rPr>
      </w:pPr>
      <w:r w:rsidRPr="00670837">
        <w:rPr>
          <w:rFonts w:ascii="Times New Roman" w:hAnsi="Times New Roman" w:cs="Times New Roman"/>
        </w:rPr>
        <w:t xml:space="preserve">Hand D or not Hand </w:t>
      </w:r>
      <w:proofErr w:type="gramStart"/>
      <w:r w:rsidRPr="00670837">
        <w:rPr>
          <w:rFonts w:ascii="Times New Roman" w:hAnsi="Times New Roman" w:cs="Times New Roman"/>
        </w:rPr>
        <w:t>D?:</w:t>
      </w:r>
      <w:proofErr w:type="gramEnd"/>
      <w:r w:rsidRPr="00670837">
        <w:rPr>
          <w:rFonts w:ascii="Times New Roman" w:hAnsi="Times New Roman" w:cs="Times New Roman"/>
        </w:rPr>
        <w:t xml:space="preserve"> An Analysis of Shakespeare’s Handwriting</w:t>
      </w:r>
    </w:p>
    <w:p w14:paraId="042704C5" w14:textId="2D26CAA7" w:rsidR="00E83011" w:rsidRPr="00670837" w:rsidRDefault="00E83011" w:rsidP="00E83011">
      <w:pPr>
        <w:spacing w:line="480" w:lineRule="auto"/>
        <w:ind w:firstLine="720"/>
        <w:contextualSpacing/>
        <w:rPr>
          <w:rFonts w:ascii="Times New Roman" w:hAnsi="Times New Roman" w:cs="Times New Roman"/>
        </w:rPr>
      </w:pPr>
      <w:r w:rsidRPr="00670837">
        <w:rPr>
          <w:rFonts w:ascii="Times New Roman" w:hAnsi="Times New Roman" w:cs="Times New Roman"/>
        </w:rPr>
        <w:t xml:space="preserve">The question about the presence of William Shakespeare’s handwriting on the </w:t>
      </w:r>
      <w:r w:rsidRPr="00670837">
        <w:rPr>
          <w:rFonts w:ascii="Times New Roman" w:hAnsi="Times New Roman" w:cs="Times New Roman"/>
          <w:i/>
          <w:iCs/>
        </w:rPr>
        <w:t>Sir Thomas More</w:t>
      </w:r>
      <w:r w:rsidRPr="00670837">
        <w:rPr>
          <w:rFonts w:ascii="Times New Roman" w:hAnsi="Times New Roman" w:cs="Times New Roman"/>
        </w:rPr>
        <w:t xml:space="preserve"> manuscript has intrigued paleographers for years. Although</w:t>
      </w:r>
      <w:r>
        <w:rPr>
          <w:rFonts w:ascii="Times New Roman" w:hAnsi="Times New Roman" w:cs="Times New Roman"/>
        </w:rPr>
        <w:t xml:space="preserve"> </w:t>
      </w:r>
      <w:r w:rsidRPr="00670837">
        <w:rPr>
          <w:rFonts w:ascii="Times New Roman" w:hAnsi="Times New Roman" w:cs="Times New Roman"/>
        </w:rPr>
        <w:t xml:space="preserve">there is paleographic evidence that this is indeed Shakespeare’s handwriting from deep scrutiny and archival analysis, some are still skeptical about </w:t>
      </w:r>
      <w:proofErr w:type="gramStart"/>
      <w:r w:rsidRPr="00670837">
        <w:rPr>
          <w:rFonts w:ascii="Times New Roman" w:hAnsi="Times New Roman" w:cs="Times New Roman"/>
        </w:rPr>
        <w:t>whether or not</w:t>
      </w:r>
      <w:proofErr w:type="gramEnd"/>
      <w:r w:rsidRPr="00670837">
        <w:rPr>
          <w:rFonts w:ascii="Times New Roman" w:hAnsi="Times New Roman" w:cs="Times New Roman"/>
        </w:rPr>
        <w:t xml:space="preserve"> Shakespeare could have written the text. This </w:t>
      </w:r>
      <w:r>
        <w:rPr>
          <w:rFonts w:ascii="Times New Roman" w:hAnsi="Times New Roman" w:cs="Times New Roman"/>
        </w:rPr>
        <w:t>analysis</w:t>
      </w:r>
      <w:r w:rsidRPr="00670837">
        <w:rPr>
          <w:rFonts w:ascii="Times New Roman" w:hAnsi="Times New Roman" w:cs="Times New Roman"/>
        </w:rPr>
        <w:t xml:space="preserve"> will provide a survey of the main historical research behind these claims that will enable a full look at this debate. </w:t>
      </w:r>
      <w:r>
        <w:rPr>
          <w:rFonts w:ascii="Times New Roman" w:hAnsi="Times New Roman" w:cs="Times New Roman"/>
        </w:rPr>
        <w:t>As part of this analytical work</w:t>
      </w:r>
      <w:r w:rsidRPr="00670837">
        <w:rPr>
          <w:rFonts w:ascii="Times New Roman" w:hAnsi="Times New Roman" w:cs="Times New Roman"/>
        </w:rPr>
        <w:t>, the paleography will read in direct comparison with Shakespeare’s authentic signatures as a point of comparison.</w:t>
      </w:r>
    </w:p>
    <w:p w14:paraId="67EEAED7" w14:textId="7B709B30" w:rsidR="00E83011" w:rsidRDefault="00E83011" w:rsidP="00E83011">
      <w:pPr>
        <w:spacing w:line="480" w:lineRule="auto"/>
        <w:ind w:firstLine="720"/>
        <w:contextualSpacing/>
        <w:rPr>
          <w:rFonts w:ascii="Times New Roman" w:hAnsi="Times New Roman" w:cs="Times New Roman"/>
        </w:rPr>
      </w:pPr>
      <w:r>
        <w:rPr>
          <w:noProof/>
        </w:rPr>
        <w:drawing>
          <wp:anchor distT="0" distB="0" distL="114300" distR="114300" simplePos="0" relativeHeight="251660288" behindDoc="0" locked="0" layoutInCell="1" allowOverlap="1" wp14:anchorId="6413D5A1" wp14:editId="67F771CE">
            <wp:simplePos x="0" y="0"/>
            <wp:positionH relativeFrom="column">
              <wp:posOffset>51039</wp:posOffset>
            </wp:positionH>
            <wp:positionV relativeFrom="paragraph">
              <wp:posOffset>3549770</wp:posOffset>
            </wp:positionV>
            <wp:extent cx="6132503" cy="1086928"/>
            <wp:effectExtent l="0" t="0" r="1905" b="5715"/>
            <wp:wrapTopAndBottom/>
            <wp:docPr id="1" name="Picture 1"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2962" r="21887" b="88152"/>
                    <a:stretch/>
                  </pic:blipFill>
                  <pic:spPr bwMode="auto">
                    <a:xfrm>
                      <a:off x="0" y="0"/>
                      <a:ext cx="6132503" cy="10869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0837">
        <w:rPr>
          <w:rFonts w:ascii="Times New Roman" w:hAnsi="Times New Roman" w:cs="Times New Roman"/>
        </w:rPr>
        <w:t>To begin, I will start with the basics of what we historically know. Studies into locating and identifying Shakespeare’s handwriting really did not gain much traction until Edmond Malone and George Stevens began investigating and theorizing in the 18</w:t>
      </w:r>
      <w:r w:rsidRPr="00670837">
        <w:rPr>
          <w:rFonts w:ascii="Times New Roman" w:hAnsi="Times New Roman" w:cs="Times New Roman"/>
          <w:vertAlign w:val="superscript"/>
        </w:rPr>
        <w:t>th</w:t>
      </w:r>
      <w:r w:rsidRPr="00670837">
        <w:rPr>
          <w:rFonts w:ascii="Times New Roman" w:hAnsi="Times New Roman" w:cs="Times New Roman"/>
        </w:rPr>
        <w:t xml:space="preserve"> century</w:t>
      </w:r>
      <w:r>
        <w:rPr>
          <w:rFonts w:ascii="Times New Roman" w:hAnsi="Times New Roman" w:cs="Times New Roman"/>
        </w:rPr>
        <w:t xml:space="preserve"> (Martin, 224)</w:t>
      </w:r>
      <w:r w:rsidRPr="00670837">
        <w:rPr>
          <w:rFonts w:ascii="Times New Roman" w:hAnsi="Times New Roman" w:cs="Times New Roman"/>
        </w:rPr>
        <w:t>. From these studies, it was stated that Shakespeare was right-handed</w:t>
      </w:r>
      <w:r>
        <w:rPr>
          <w:rFonts w:ascii="Times New Roman" w:hAnsi="Times New Roman" w:cs="Times New Roman"/>
        </w:rPr>
        <w:t xml:space="preserve"> (Martin, 223)</w:t>
      </w:r>
      <w:r w:rsidRPr="00670837">
        <w:rPr>
          <w:rFonts w:ascii="Times New Roman" w:hAnsi="Times New Roman" w:cs="Times New Roman"/>
        </w:rPr>
        <w:t xml:space="preserve">. All the signatures and the </w:t>
      </w:r>
      <w:r w:rsidRPr="00670837">
        <w:rPr>
          <w:rFonts w:ascii="Times New Roman" w:hAnsi="Times New Roman" w:cs="Times New Roman"/>
          <w:i/>
          <w:iCs/>
        </w:rPr>
        <w:t>Sir Thomas More</w:t>
      </w:r>
      <w:r w:rsidRPr="00670837">
        <w:rPr>
          <w:rFonts w:ascii="Times New Roman" w:hAnsi="Times New Roman" w:cs="Times New Roman"/>
        </w:rPr>
        <w:t xml:space="preserve"> manuscript leaves in question gesture to someone who was in fact right-handed. </w:t>
      </w:r>
      <w:proofErr w:type="gramStart"/>
      <w:r w:rsidRPr="00670837">
        <w:rPr>
          <w:rFonts w:ascii="Times New Roman" w:hAnsi="Times New Roman" w:cs="Times New Roman"/>
        </w:rPr>
        <w:t>All of</w:t>
      </w:r>
      <w:proofErr w:type="gramEnd"/>
      <w:r w:rsidRPr="00670837">
        <w:rPr>
          <w:rFonts w:ascii="Times New Roman" w:hAnsi="Times New Roman" w:cs="Times New Roman"/>
        </w:rPr>
        <w:t xml:space="preserve"> these instances are also recorded in early modern secretary hand </w:t>
      </w:r>
      <w:r w:rsidRPr="00670837">
        <w:rPr>
          <w:rFonts w:ascii="Times New Roman" w:hAnsi="Times New Roman" w:cs="Times New Roman"/>
        </w:rPr>
        <w:lastRenderedPageBreak/>
        <w:t>which a young William Shakespeare would have been taught in grammar school starting at a very young age like five to eight years old</w:t>
      </w:r>
      <w:r>
        <w:rPr>
          <w:rFonts w:ascii="Times New Roman" w:hAnsi="Times New Roman" w:cs="Times New Roman"/>
        </w:rPr>
        <w:t xml:space="preserve"> (Jones, 37)</w:t>
      </w:r>
      <w:r w:rsidRPr="00670837">
        <w:rPr>
          <w:rFonts w:ascii="Times New Roman" w:hAnsi="Times New Roman" w:cs="Times New Roman"/>
        </w:rPr>
        <w:t xml:space="preserve">. There are six surviving authentic extent </w:t>
      </w:r>
      <w:r w:rsidR="00AB1923" w:rsidRPr="00BE1EEB">
        <w:rPr>
          <w:rFonts w:ascii="Times New Roman" w:hAnsi="Times New Roman" w:cs="Times New Roman"/>
          <w:noProof/>
        </w:rPr>
        <w:drawing>
          <wp:anchor distT="0" distB="0" distL="114300" distR="114300" simplePos="0" relativeHeight="251662336" behindDoc="0" locked="0" layoutInCell="1" allowOverlap="1" wp14:anchorId="3105A112" wp14:editId="38437440">
            <wp:simplePos x="0" y="0"/>
            <wp:positionH relativeFrom="margin">
              <wp:posOffset>1439545</wp:posOffset>
            </wp:positionH>
            <wp:positionV relativeFrom="margin">
              <wp:posOffset>1555115</wp:posOffset>
            </wp:positionV>
            <wp:extent cx="3168650" cy="883285"/>
            <wp:effectExtent l="0" t="0" r="6350" b="5715"/>
            <wp:wrapTopAndBottom/>
            <wp:docPr id="4" name="Picture 4"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38443" r="30835" b="49166"/>
                    <a:stretch/>
                  </pic:blipFill>
                  <pic:spPr bwMode="auto">
                    <a:xfrm>
                      <a:off x="0" y="0"/>
                      <a:ext cx="3168650" cy="883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0837">
        <w:rPr>
          <w:rFonts w:ascii="Times New Roman" w:hAnsi="Times New Roman" w:cs="Times New Roman"/>
        </w:rPr>
        <w:t>signatures (see figures 1-6) that exist with different spellings</w:t>
      </w:r>
      <w:r>
        <w:rPr>
          <w:rFonts w:ascii="Times New Roman" w:hAnsi="Times New Roman" w:cs="Times New Roman"/>
        </w:rPr>
        <w:t xml:space="preserve"> of Shakespeare’s name</w:t>
      </w:r>
      <w:r w:rsidRPr="00670837">
        <w:rPr>
          <w:rFonts w:ascii="Times New Roman" w:hAnsi="Times New Roman" w:cs="Times New Roman"/>
        </w:rPr>
        <w:t xml:space="preserve"> in each instance.</w:t>
      </w:r>
      <w:r w:rsidRPr="00670837">
        <w:rPr>
          <w:rFonts w:ascii="Times New Roman" w:hAnsi="Times New Roman" w:cs="Times New Roman"/>
        </w:rPr>
        <w:fldChar w:fldCharType="begin"/>
      </w:r>
      <w:r w:rsidRPr="00670837">
        <w:rPr>
          <w:rFonts w:ascii="Times New Roman" w:hAnsi="Times New Roman" w:cs="Times New Roman"/>
        </w:rPr>
        <w:instrText xml:space="preserve"> INCLUDEPICTURE "/var/folders/6q/rkjrbqh17vq3qjl33mtkdn3r0000gn/T/com.microsoft.Word/WebArchiveCopyPasteTempFiles/Shakespeare_sigs_collected.png" \* MERGEFORMATINET </w:instrText>
      </w:r>
      <w:r w:rsidR="00000000">
        <w:rPr>
          <w:rFonts w:ascii="Times New Roman" w:hAnsi="Times New Roman" w:cs="Times New Roman"/>
        </w:rPr>
        <w:fldChar w:fldCharType="separate"/>
      </w:r>
      <w:r w:rsidRPr="00670837">
        <w:rPr>
          <w:rFonts w:ascii="Times New Roman" w:hAnsi="Times New Roman" w:cs="Times New Roman"/>
        </w:rPr>
        <w:fldChar w:fldCharType="end"/>
      </w:r>
    </w:p>
    <w:p w14:paraId="4AB66490" w14:textId="77777777" w:rsidR="00E83011" w:rsidRDefault="00E83011" w:rsidP="00E83011">
      <w:pPr>
        <w:jc w:val="center"/>
        <w:rPr>
          <w:rFonts w:ascii="Times New Roman" w:hAnsi="Times New Roman" w:cs="Times New Roman"/>
        </w:rPr>
      </w:pPr>
      <w:r>
        <w:rPr>
          <w:rFonts w:ascii="Times New Roman" w:hAnsi="Times New Roman" w:cs="Times New Roman"/>
        </w:rPr>
        <w:t>Figure 1. “</w:t>
      </w:r>
      <w:proofErr w:type="spellStart"/>
      <w:r>
        <w:rPr>
          <w:rFonts w:ascii="Times New Roman" w:hAnsi="Times New Roman" w:cs="Times New Roman"/>
        </w:rPr>
        <w:t>Willm</w:t>
      </w:r>
      <w:proofErr w:type="spellEnd"/>
      <w:r>
        <w:rPr>
          <w:rFonts w:ascii="Times New Roman" w:hAnsi="Times New Roman" w:cs="Times New Roman"/>
        </w:rPr>
        <w:t xml:space="preserve"> </w:t>
      </w:r>
      <w:proofErr w:type="spellStart"/>
      <w:r>
        <w:rPr>
          <w:rFonts w:ascii="Times New Roman" w:hAnsi="Times New Roman" w:cs="Times New Roman"/>
        </w:rPr>
        <w:t>Shakp</w:t>
      </w:r>
      <w:proofErr w:type="spellEnd"/>
      <w:r>
        <w:rPr>
          <w:rFonts w:ascii="Times New Roman" w:hAnsi="Times New Roman" w:cs="Times New Roman"/>
        </w:rPr>
        <w:t xml:space="preserve">” - </w:t>
      </w:r>
      <w:proofErr w:type="spellStart"/>
      <w:r>
        <w:rPr>
          <w:rFonts w:ascii="Times New Roman" w:hAnsi="Times New Roman" w:cs="Times New Roman"/>
        </w:rPr>
        <w:t>Bellott</w:t>
      </w:r>
      <w:proofErr w:type="spellEnd"/>
      <w:r>
        <w:rPr>
          <w:rFonts w:ascii="Times New Roman" w:hAnsi="Times New Roman" w:cs="Times New Roman"/>
        </w:rPr>
        <w:t xml:space="preserve"> vs Mountjoy Case </w:t>
      </w:r>
      <w:proofErr w:type="spellStart"/>
      <w:r>
        <w:rPr>
          <w:rFonts w:ascii="Times New Roman" w:hAnsi="Times New Roman" w:cs="Times New Roman"/>
        </w:rPr>
        <w:t>Depositon</w:t>
      </w:r>
      <w:proofErr w:type="spellEnd"/>
      <w:r>
        <w:rPr>
          <w:rFonts w:ascii="Times New Roman" w:hAnsi="Times New Roman" w:cs="Times New Roman"/>
        </w:rPr>
        <w:t xml:space="preserve"> (May 11, 1612)</w:t>
      </w:r>
    </w:p>
    <w:p w14:paraId="523CC12D" w14:textId="77777777" w:rsidR="00E83011" w:rsidRDefault="00E83011" w:rsidP="00E83011">
      <w:pPr>
        <w:jc w:val="center"/>
        <w:rPr>
          <w:rFonts w:ascii="Times New Roman" w:hAnsi="Times New Roman" w:cs="Times New Roman"/>
        </w:rPr>
      </w:pPr>
      <w:r w:rsidRPr="00D27CBD">
        <w:rPr>
          <w:rFonts w:ascii="Times New Roman" w:eastAsia="Times New Roman" w:hAnsi="Times New Roman" w:cs="Times New Roman"/>
          <w:color w:val="000000" w:themeColor="text1"/>
          <w:kern w:val="36"/>
        </w:rPr>
        <w:t>British National Archives, REQ 1/183, f. 269, May 7, 1612.</w:t>
      </w:r>
    </w:p>
    <w:p w14:paraId="7FCBC584" w14:textId="77777777" w:rsidR="00E83011" w:rsidRPr="00BE1EEB" w:rsidRDefault="00E83011" w:rsidP="00E83011">
      <w:pPr>
        <w:contextualSpacing/>
        <w:rPr>
          <w:rStyle w:val="apple-converted-space"/>
          <w:rFonts w:ascii="Times New Roman" w:hAnsi="Times New Roman" w:cs="Times New Roman"/>
          <w:noProof/>
        </w:rPr>
      </w:pPr>
      <w:r>
        <w:rPr>
          <w:noProof/>
        </w:rPr>
        <w:drawing>
          <wp:anchor distT="0" distB="0" distL="114300" distR="114300" simplePos="0" relativeHeight="251661312" behindDoc="0" locked="0" layoutInCell="1" allowOverlap="1" wp14:anchorId="1AD5D064" wp14:editId="17A85D07">
            <wp:simplePos x="0" y="0"/>
            <wp:positionH relativeFrom="margin">
              <wp:posOffset>1673225</wp:posOffset>
            </wp:positionH>
            <wp:positionV relativeFrom="margin">
              <wp:posOffset>-379634</wp:posOffset>
            </wp:positionV>
            <wp:extent cx="2701290" cy="1310640"/>
            <wp:effectExtent l="0" t="0" r="3810" b="0"/>
            <wp:wrapTopAndBottom/>
            <wp:docPr id="3" name="Picture 3"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15377" r="45089" b="65525"/>
                    <a:stretch/>
                  </pic:blipFill>
                  <pic:spPr bwMode="auto">
                    <a:xfrm>
                      <a:off x="0" y="0"/>
                      <a:ext cx="2701290" cy="1310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Figure 2.  “William </w:t>
      </w:r>
      <w:proofErr w:type="spellStart"/>
      <w:r>
        <w:rPr>
          <w:rFonts w:ascii="Times New Roman" w:hAnsi="Times New Roman" w:cs="Times New Roman"/>
        </w:rPr>
        <w:t>Shaksper</w:t>
      </w:r>
      <w:proofErr w:type="spellEnd"/>
      <w:r>
        <w:rPr>
          <w:rFonts w:ascii="Times New Roman" w:hAnsi="Times New Roman" w:cs="Times New Roman"/>
        </w:rPr>
        <w:t xml:space="preserve">” – </w:t>
      </w:r>
      <w:proofErr w:type="spellStart"/>
      <w:r>
        <w:rPr>
          <w:rFonts w:ascii="Times New Roman" w:hAnsi="Times New Roman" w:cs="Times New Roman"/>
        </w:rPr>
        <w:t>Blackfriars</w:t>
      </w:r>
      <w:proofErr w:type="spellEnd"/>
      <w:r>
        <w:rPr>
          <w:rFonts w:ascii="Times New Roman" w:hAnsi="Times New Roman" w:cs="Times New Roman"/>
        </w:rPr>
        <w:t>, London house purchase contract (March 10, 1613)</w:t>
      </w:r>
      <w:r w:rsidRPr="00607710">
        <w:rPr>
          <w:noProof/>
        </w:rPr>
        <w:t xml:space="preserve"> </w:t>
      </w:r>
      <w:r w:rsidRPr="00D27CBD">
        <w:rPr>
          <w:rStyle w:val="apple-converted-space"/>
          <w:rFonts w:ascii="Times New Roman" w:hAnsi="Times New Roman" w:cs="Times New Roman"/>
          <w:color w:val="000000"/>
        </w:rPr>
        <w:t xml:space="preserve">“Shakespeare </w:t>
      </w:r>
      <w:r w:rsidRPr="00BE1EEB">
        <w:rPr>
          <w:rStyle w:val="apple-converted-space"/>
          <w:rFonts w:ascii="Times New Roman" w:hAnsi="Times New Roman" w:cs="Times New Roman"/>
          <w:color w:val="000000"/>
        </w:rPr>
        <w:t xml:space="preserve">Deed to the </w:t>
      </w:r>
      <w:proofErr w:type="spellStart"/>
      <w:r w:rsidRPr="00BE1EEB">
        <w:rPr>
          <w:rStyle w:val="apple-converted-space"/>
          <w:rFonts w:ascii="Times New Roman" w:hAnsi="Times New Roman" w:cs="Times New Roman"/>
          <w:color w:val="000000"/>
        </w:rPr>
        <w:t>Blackfriars</w:t>
      </w:r>
      <w:proofErr w:type="spellEnd"/>
      <w:r w:rsidRPr="00BE1EEB">
        <w:rPr>
          <w:rStyle w:val="apple-converted-space"/>
          <w:rFonts w:ascii="Times New Roman" w:hAnsi="Times New Roman" w:cs="Times New Roman"/>
          <w:color w:val="000000"/>
        </w:rPr>
        <w:t xml:space="preserve"> Property,” Metropolitan Archives, London 2r, MS 543.</w:t>
      </w:r>
    </w:p>
    <w:p w14:paraId="476567EB" w14:textId="107534A0" w:rsidR="00E83011" w:rsidRPr="00BE1EEB" w:rsidRDefault="00E83011" w:rsidP="00E83011">
      <w:pPr>
        <w:spacing w:line="480" w:lineRule="auto"/>
        <w:rPr>
          <w:rFonts w:ascii="Times New Roman" w:hAnsi="Times New Roman" w:cs="Times New Roman"/>
          <w:noProof/>
        </w:rPr>
      </w:pPr>
    </w:p>
    <w:p w14:paraId="18506BBB" w14:textId="77777777" w:rsidR="00E83011" w:rsidRPr="00BE1EEB" w:rsidRDefault="00E83011" w:rsidP="00E83011">
      <w:pPr>
        <w:jc w:val="center"/>
        <w:rPr>
          <w:rFonts w:ascii="Times New Roman" w:hAnsi="Times New Roman" w:cs="Times New Roman"/>
        </w:rPr>
      </w:pPr>
      <w:r w:rsidRPr="00BE1EEB">
        <w:rPr>
          <w:rFonts w:ascii="Times New Roman" w:hAnsi="Times New Roman" w:cs="Times New Roman"/>
        </w:rPr>
        <w:t>Figure 3. “W</w:t>
      </w:r>
      <w:r w:rsidRPr="00BE1EEB">
        <w:rPr>
          <w:rFonts w:ascii="Times New Roman" w:hAnsi="Times New Roman" w:cs="Times New Roman"/>
          <w:vertAlign w:val="superscript"/>
        </w:rPr>
        <w:t>m</w:t>
      </w:r>
      <w:r w:rsidRPr="00BE1EEB">
        <w:rPr>
          <w:rFonts w:ascii="Times New Roman" w:hAnsi="Times New Roman" w:cs="Times New Roman"/>
        </w:rPr>
        <w:t xml:space="preserve"> </w:t>
      </w:r>
      <w:proofErr w:type="spellStart"/>
      <w:r w:rsidRPr="00BE1EEB">
        <w:rPr>
          <w:rFonts w:ascii="Times New Roman" w:hAnsi="Times New Roman" w:cs="Times New Roman"/>
        </w:rPr>
        <w:t>Shaksp</w:t>
      </w:r>
      <w:proofErr w:type="spellEnd"/>
      <w:r w:rsidRPr="00BE1EEB">
        <w:rPr>
          <w:rFonts w:ascii="Times New Roman" w:hAnsi="Times New Roman" w:cs="Times New Roman"/>
        </w:rPr>
        <w:t xml:space="preserve">” – Mortgage of </w:t>
      </w:r>
      <w:proofErr w:type="spellStart"/>
      <w:r w:rsidRPr="00BE1EEB">
        <w:rPr>
          <w:rFonts w:ascii="Times New Roman" w:hAnsi="Times New Roman" w:cs="Times New Roman"/>
        </w:rPr>
        <w:t>Blackfriars</w:t>
      </w:r>
      <w:proofErr w:type="spellEnd"/>
      <w:r w:rsidRPr="00BE1EEB">
        <w:rPr>
          <w:rFonts w:ascii="Times New Roman" w:hAnsi="Times New Roman" w:cs="Times New Roman"/>
        </w:rPr>
        <w:t xml:space="preserve"> Property (March 11, 1613)</w:t>
      </w:r>
    </w:p>
    <w:p w14:paraId="604191BD" w14:textId="77777777" w:rsidR="00E83011" w:rsidRPr="00BE1EEB" w:rsidRDefault="00E83011" w:rsidP="00E83011">
      <w:pPr>
        <w:jc w:val="center"/>
        <w:rPr>
          <w:rStyle w:val="apple-converted-space"/>
          <w:rFonts w:ascii="Times New Roman" w:hAnsi="Times New Roman" w:cs="Times New Roman"/>
        </w:rPr>
      </w:pPr>
      <w:r w:rsidRPr="00BE1EEB">
        <w:rPr>
          <w:rStyle w:val="apple-converted-space"/>
          <w:rFonts w:ascii="Times New Roman" w:hAnsi="Times New Roman" w:cs="Times New Roman"/>
          <w:color w:val="000000"/>
        </w:rPr>
        <w:t xml:space="preserve">“Shakespeare Mortgage for </w:t>
      </w:r>
      <w:proofErr w:type="spellStart"/>
      <w:r w:rsidRPr="00BE1EEB">
        <w:rPr>
          <w:rStyle w:val="apple-converted-space"/>
          <w:rFonts w:ascii="Times New Roman" w:hAnsi="Times New Roman" w:cs="Times New Roman"/>
          <w:color w:val="000000"/>
        </w:rPr>
        <w:t>Blackfriars</w:t>
      </w:r>
      <w:proofErr w:type="spellEnd"/>
      <w:r w:rsidRPr="00BE1EEB">
        <w:rPr>
          <w:rStyle w:val="apple-converted-space"/>
          <w:rFonts w:ascii="Times New Roman" w:hAnsi="Times New Roman" w:cs="Times New Roman"/>
          <w:color w:val="000000"/>
        </w:rPr>
        <w:t xml:space="preserve"> Property,” Metropolitan Archives, London 3r, MS 545.</w:t>
      </w:r>
    </w:p>
    <w:p w14:paraId="4E80F153" w14:textId="77777777" w:rsidR="00E83011" w:rsidRDefault="00E83011" w:rsidP="00E83011">
      <w:pPr>
        <w:spacing w:line="480" w:lineRule="auto"/>
        <w:jc w:val="center"/>
        <w:rPr>
          <w:rFonts w:ascii="Times New Roman" w:hAnsi="Times New Roman" w:cs="Times New Roman"/>
        </w:rPr>
      </w:pPr>
      <w:r>
        <w:rPr>
          <w:noProof/>
        </w:rPr>
        <w:drawing>
          <wp:anchor distT="0" distB="0" distL="114300" distR="114300" simplePos="0" relativeHeight="251663360" behindDoc="0" locked="0" layoutInCell="1" allowOverlap="1" wp14:anchorId="035B99B5" wp14:editId="6C2461C9">
            <wp:simplePos x="0" y="0"/>
            <wp:positionH relativeFrom="margin">
              <wp:posOffset>1453216</wp:posOffset>
            </wp:positionH>
            <wp:positionV relativeFrom="margin">
              <wp:posOffset>3035959</wp:posOffset>
            </wp:positionV>
            <wp:extent cx="2915285" cy="1138555"/>
            <wp:effectExtent l="0" t="0" r="5715" b="4445"/>
            <wp:wrapTopAndBottom/>
            <wp:docPr id="5" name="Picture 5"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54564" r="59397" b="35268"/>
                    <a:stretch/>
                  </pic:blipFill>
                  <pic:spPr bwMode="auto">
                    <a:xfrm>
                      <a:off x="0" y="0"/>
                      <a:ext cx="2915285" cy="113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6EC0C" w14:textId="77777777" w:rsidR="00E83011" w:rsidRDefault="00E83011" w:rsidP="00E83011">
      <w:pPr>
        <w:jc w:val="center"/>
        <w:rPr>
          <w:rFonts w:ascii="Times New Roman" w:hAnsi="Times New Roman" w:cs="Times New Roman"/>
        </w:rPr>
      </w:pPr>
      <w:r>
        <w:rPr>
          <w:rFonts w:ascii="Times New Roman" w:hAnsi="Times New Roman" w:cs="Times New Roman"/>
        </w:rPr>
        <w:t xml:space="preserve">Figure 4. “William </w:t>
      </w:r>
      <w:proofErr w:type="spellStart"/>
      <w:r>
        <w:rPr>
          <w:rFonts w:ascii="Times New Roman" w:hAnsi="Times New Roman" w:cs="Times New Roman"/>
        </w:rPr>
        <w:t>Shakspere</w:t>
      </w:r>
      <w:proofErr w:type="spellEnd"/>
      <w:r>
        <w:rPr>
          <w:rFonts w:ascii="Times New Roman" w:hAnsi="Times New Roman" w:cs="Times New Roman"/>
        </w:rPr>
        <w:t>” – Signature on Page One of His Will (March 25, 1616)</w:t>
      </w:r>
    </w:p>
    <w:p w14:paraId="5B8A5B9A" w14:textId="77777777" w:rsidR="00E83011" w:rsidRDefault="00E83011" w:rsidP="00E83011">
      <w:pPr>
        <w:jc w:val="center"/>
        <w:rPr>
          <w:rFonts w:ascii="Times New Roman" w:hAnsi="Times New Roman" w:cs="Times New Roman"/>
        </w:rPr>
      </w:pPr>
      <w:r>
        <w:rPr>
          <w:rFonts w:ascii="Times New Roman" w:hAnsi="Times New Roman" w:cs="Times New Roman"/>
        </w:rPr>
        <w:t xml:space="preserve">Treasure for the British National Archives – Shakespeare Will and Testament </w:t>
      </w:r>
    </w:p>
    <w:p w14:paraId="65E91B94" w14:textId="77777777" w:rsidR="00E83011" w:rsidRDefault="00E83011" w:rsidP="00E83011">
      <w:pPr>
        <w:jc w:val="center"/>
        <w:rPr>
          <w:rFonts w:ascii="Times New Roman" w:hAnsi="Times New Roman" w:cs="Times New Roman"/>
        </w:rPr>
      </w:pPr>
      <w:r>
        <w:rPr>
          <w:noProof/>
        </w:rPr>
        <w:drawing>
          <wp:anchor distT="0" distB="0" distL="114300" distR="114300" simplePos="0" relativeHeight="251665408" behindDoc="0" locked="0" layoutInCell="1" allowOverlap="1" wp14:anchorId="4AC83C3A" wp14:editId="7EBB5F99">
            <wp:simplePos x="0" y="0"/>
            <wp:positionH relativeFrom="margin">
              <wp:posOffset>428625</wp:posOffset>
            </wp:positionH>
            <wp:positionV relativeFrom="margin">
              <wp:posOffset>4725742</wp:posOffset>
            </wp:positionV>
            <wp:extent cx="5230495" cy="829310"/>
            <wp:effectExtent l="0" t="0" r="1905" b="0"/>
            <wp:wrapTopAndBottom/>
            <wp:docPr id="6" name="Picture 6"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67956" b="21875"/>
                    <a:stretch/>
                  </pic:blipFill>
                  <pic:spPr bwMode="auto">
                    <a:xfrm>
                      <a:off x="0" y="0"/>
                      <a:ext cx="5230495" cy="829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3E78A"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Figure 5. “</w:t>
      </w:r>
      <w:proofErr w:type="spellStart"/>
      <w:r>
        <w:rPr>
          <w:rFonts w:ascii="Times New Roman" w:hAnsi="Times New Roman" w:cs="Times New Roman"/>
        </w:rPr>
        <w:t>Willm</w:t>
      </w:r>
      <w:proofErr w:type="spellEnd"/>
      <w:r>
        <w:rPr>
          <w:rFonts w:ascii="Times New Roman" w:hAnsi="Times New Roman" w:cs="Times New Roman"/>
        </w:rPr>
        <w:t xml:space="preserve"> </w:t>
      </w:r>
      <w:proofErr w:type="spellStart"/>
      <w:r>
        <w:rPr>
          <w:rFonts w:ascii="Times New Roman" w:hAnsi="Times New Roman" w:cs="Times New Roman"/>
        </w:rPr>
        <w:t>Shakspere</w:t>
      </w:r>
      <w:proofErr w:type="spellEnd"/>
      <w:r>
        <w:rPr>
          <w:rFonts w:ascii="Times New Roman" w:hAnsi="Times New Roman" w:cs="Times New Roman"/>
        </w:rPr>
        <w:t>” – Signature on Page Two of His Will (March 25, 1616)</w:t>
      </w:r>
    </w:p>
    <w:p w14:paraId="6E666CC0"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 xml:space="preserve">Treasure for the British National Archives – Shakespeare Will and Testament </w:t>
      </w:r>
    </w:p>
    <w:p w14:paraId="6A66F6DC" w14:textId="41FD7F9D" w:rsidR="00E83011" w:rsidRDefault="00E83011" w:rsidP="00E83011">
      <w:pPr>
        <w:contextualSpacing/>
        <w:jc w:val="cente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754F6B50" wp14:editId="14DB80C6">
            <wp:simplePos x="0" y="0"/>
            <wp:positionH relativeFrom="margin">
              <wp:posOffset>1054100</wp:posOffset>
            </wp:positionH>
            <wp:positionV relativeFrom="margin">
              <wp:posOffset>6244602</wp:posOffset>
            </wp:positionV>
            <wp:extent cx="4140835" cy="880110"/>
            <wp:effectExtent l="0" t="0" r="0" b="0"/>
            <wp:wrapTopAndBottom/>
            <wp:docPr id="2" name="Picture 2"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81349" b="5010"/>
                    <a:stretch/>
                  </pic:blipFill>
                  <pic:spPr bwMode="auto">
                    <a:xfrm>
                      <a:off x="0" y="0"/>
                      <a:ext cx="4140835" cy="880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195288"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 xml:space="preserve">Figure 6. “William </w:t>
      </w:r>
      <w:proofErr w:type="spellStart"/>
      <w:r>
        <w:rPr>
          <w:rFonts w:ascii="Times New Roman" w:hAnsi="Times New Roman" w:cs="Times New Roman"/>
        </w:rPr>
        <w:t>Shakspeare</w:t>
      </w:r>
      <w:proofErr w:type="spellEnd"/>
      <w:r>
        <w:rPr>
          <w:rFonts w:ascii="Times New Roman" w:hAnsi="Times New Roman" w:cs="Times New Roman"/>
        </w:rPr>
        <w:t>” – Signature on the Last Page of His Will (March 25, 1616)</w:t>
      </w:r>
      <w:r w:rsidRPr="00D24C3B">
        <w:rPr>
          <w:rFonts w:ascii="Times New Roman" w:hAnsi="Times New Roman" w:cs="Times New Roman"/>
        </w:rPr>
        <w:t xml:space="preserve"> </w:t>
      </w:r>
      <w:r>
        <w:rPr>
          <w:rFonts w:ascii="Times New Roman" w:hAnsi="Times New Roman" w:cs="Times New Roman"/>
        </w:rPr>
        <w:t xml:space="preserve">Treasure for the British National Archives – Shakespeare Will and Testament </w:t>
      </w:r>
    </w:p>
    <w:p w14:paraId="657FE181" w14:textId="77777777" w:rsidR="00E83011" w:rsidRDefault="00E83011" w:rsidP="00E83011">
      <w:pPr>
        <w:spacing w:line="480" w:lineRule="auto"/>
        <w:jc w:val="center"/>
        <w:rPr>
          <w:rFonts w:ascii="Times New Roman" w:hAnsi="Times New Roman" w:cs="Times New Roman"/>
        </w:rPr>
      </w:pPr>
    </w:p>
    <w:p w14:paraId="75FAF13E" w14:textId="77777777" w:rsidR="00E83011" w:rsidRDefault="00E83011" w:rsidP="00E83011">
      <w:pPr>
        <w:spacing w:line="480" w:lineRule="auto"/>
        <w:jc w:val="center"/>
        <w:rPr>
          <w:rFonts w:ascii="Times New Roman" w:hAnsi="Times New Roman" w:cs="Times New Roman"/>
        </w:rPr>
      </w:pPr>
    </w:p>
    <w:p w14:paraId="3705E07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Out of these signatures, the final three are written from the hand of an ill William Shakespeare who was scripting a will on his deathbed and therefore have their own wobbly variation compared to when Shakespeare was well and healthy (Thurston, 114). These remaining more steady-handed signatures reveal a lot in their paleographic characters. The horizontal stroke above the “m” that appears in two instances seems to show a pattern rather than an extra stroke line. Additionally, the flourish on the “p’s” descender sustains a similar flourish in </w:t>
      </w:r>
      <w:proofErr w:type="gramStart"/>
      <w:r>
        <w:rPr>
          <w:rFonts w:ascii="Times New Roman" w:hAnsi="Times New Roman" w:cs="Times New Roman"/>
        </w:rPr>
        <w:t>all of</w:t>
      </w:r>
      <w:proofErr w:type="gramEnd"/>
      <w:r>
        <w:rPr>
          <w:rFonts w:ascii="Times New Roman" w:hAnsi="Times New Roman" w:cs="Times New Roman"/>
        </w:rPr>
        <w:t xml:space="preserve"> the signatures present. Also, the long </w:t>
      </w:r>
      <w:proofErr w:type="spellStart"/>
      <w:r>
        <w:rPr>
          <w:rFonts w:ascii="Times New Roman" w:hAnsi="Times New Roman" w:cs="Times New Roman"/>
        </w:rPr>
        <w:t>magiscule</w:t>
      </w:r>
      <w:proofErr w:type="spellEnd"/>
      <w:r>
        <w:rPr>
          <w:rFonts w:ascii="Times New Roman" w:hAnsi="Times New Roman" w:cs="Times New Roman"/>
        </w:rPr>
        <w:t xml:space="preserve"> “S” matches the Italian form of the cursive letter at the start of the surname in these signatures. However, what is most interesting about the signatures is the formation of the “k” in the name as that formulation of pen strokes and connections is very distinct. </w:t>
      </w:r>
      <w:proofErr w:type="gramStart"/>
      <w:r>
        <w:rPr>
          <w:rFonts w:ascii="Times New Roman" w:hAnsi="Times New Roman" w:cs="Times New Roman"/>
        </w:rPr>
        <w:t>So</w:t>
      </w:r>
      <w:proofErr w:type="gramEnd"/>
      <w:r>
        <w:rPr>
          <w:rFonts w:ascii="Times New Roman" w:hAnsi="Times New Roman" w:cs="Times New Roman"/>
        </w:rPr>
        <w:t xml:space="preserve"> although there are not more legal documents containing a greater quantity of his writing on the pages, paleographers can glean quite a bit from just looking at what the surviving Shakespeare signatures. </w:t>
      </w:r>
    </w:p>
    <w:p w14:paraId="77821D1C" w14:textId="117B4B1E" w:rsidR="00E83011" w:rsidRDefault="00E83011" w:rsidP="00E83011">
      <w:pPr>
        <w:spacing w:line="480" w:lineRule="auto"/>
        <w:ind w:firstLine="720"/>
        <w:rPr>
          <w:rFonts w:ascii="Times New Roman" w:hAnsi="Times New Roman" w:cs="Times New Roman"/>
        </w:rPr>
      </w:pPr>
      <w:r>
        <w:rPr>
          <w:rFonts w:ascii="Times New Roman" w:hAnsi="Times New Roman" w:cs="Times New Roman"/>
        </w:rPr>
        <w:t xml:space="preserve">Moreover, in the First Folio </w:t>
      </w:r>
      <w:proofErr w:type="spellStart"/>
      <w:r>
        <w:rPr>
          <w:rFonts w:ascii="Times New Roman" w:hAnsi="Times New Roman" w:cs="Times New Roman"/>
        </w:rPr>
        <w:t>Heminges</w:t>
      </w:r>
      <w:proofErr w:type="spellEnd"/>
      <w:r>
        <w:rPr>
          <w:rFonts w:ascii="Times New Roman" w:hAnsi="Times New Roman" w:cs="Times New Roman"/>
        </w:rPr>
        <w:t xml:space="preserve"> and Condell noted at the forefront of the volume that: “Shakespeare’s mind and hand went together, and what he thought he uttered with that easiness that we have scarce received from him a blot in his papers” (Condell, 3). This partnered with Ben Jonson sharing, “I remember the players have often mentioned it as an honor to Shakespeare, that in his writing, whatsoever he penned, he never blotted out a line,” jointly </w:t>
      </w:r>
      <w:r>
        <w:rPr>
          <w:rFonts w:ascii="Times New Roman" w:hAnsi="Times New Roman" w:cs="Times New Roman"/>
        </w:rPr>
        <w:lastRenderedPageBreak/>
        <w:t xml:space="preserve">illuminates the lack of blotting or error (Jonson, 34). While this is, as Jonson suggests, an homage to Shakespeare by his colleagues posthumously, knowing the seldom nature of the blotting is helpful in looking at the materiality of Shakespeare’s handwriting. If you look at the signatures and the pages Shakespeare is said to have written in </w:t>
      </w:r>
      <w:r w:rsidRPr="00B42F07">
        <w:rPr>
          <w:rFonts w:ascii="Times New Roman" w:hAnsi="Times New Roman" w:cs="Times New Roman"/>
          <w:i/>
          <w:iCs/>
        </w:rPr>
        <w:t xml:space="preserve">Sir Thomas More </w:t>
      </w:r>
      <w:r>
        <w:rPr>
          <w:rFonts w:ascii="Times New Roman" w:hAnsi="Times New Roman" w:cs="Times New Roman"/>
        </w:rPr>
        <w:t xml:space="preserve">manuscript, </w:t>
      </w:r>
      <w:proofErr w:type="gramStart"/>
      <w:r>
        <w:rPr>
          <w:rFonts w:ascii="Times New Roman" w:hAnsi="Times New Roman" w:cs="Times New Roman"/>
        </w:rPr>
        <w:t>it is clear that the</w:t>
      </w:r>
      <w:proofErr w:type="gramEnd"/>
      <w:r>
        <w:rPr>
          <w:rFonts w:ascii="Times New Roman" w:hAnsi="Times New Roman" w:cs="Times New Roman"/>
        </w:rPr>
        <w:t xml:space="preserve"> lack of blotting and mistake issue holds true. Now it is worth noting that the </w:t>
      </w:r>
      <w:r>
        <w:rPr>
          <w:rFonts w:ascii="Times New Roman" w:hAnsi="Times New Roman" w:cs="Times New Roman"/>
        </w:rPr>
        <w:lastRenderedPageBreak/>
        <w:t xml:space="preserve">signatures would likely not illuminate this as much as the fuller manuscript with three leaves illustrating the hand, </w:t>
      </w:r>
      <w:r>
        <w:rPr>
          <w:noProof/>
        </w:rPr>
        <w:drawing>
          <wp:anchor distT="0" distB="0" distL="114300" distR="114300" simplePos="0" relativeHeight="251664384" behindDoc="0" locked="0" layoutInCell="1" allowOverlap="1" wp14:anchorId="385B4DBF" wp14:editId="21C27899">
            <wp:simplePos x="0" y="0"/>
            <wp:positionH relativeFrom="column">
              <wp:posOffset>534670</wp:posOffset>
            </wp:positionH>
            <wp:positionV relativeFrom="paragraph">
              <wp:posOffset>706946</wp:posOffset>
            </wp:positionV>
            <wp:extent cx="4878070" cy="7021830"/>
            <wp:effectExtent l="0" t="0" r="0" b="1270"/>
            <wp:wrapTopAndBottom/>
            <wp:docPr id="10" name="Picture 10" descr="booke of thomas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ke of thomas more"/>
                    <pic:cNvPicPr>
                      <a:picLocks noChangeAspect="1" noChangeArrowheads="1"/>
                    </pic:cNvPicPr>
                  </pic:nvPicPr>
                  <pic:blipFill rotWithShape="1">
                    <a:blip r:embed="rId5">
                      <a:extLst>
                        <a:ext uri="{28A0092B-C50C-407E-A947-70E740481C1C}">
                          <a14:useLocalDpi xmlns:a14="http://schemas.microsoft.com/office/drawing/2010/main" val="0"/>
                        </a:ext>
                      </a:extLst>
                    </a:blip>
                    <a:srcRect t="2576" b="2135"/>
                    <a:stretch/>
                  </pic:blipFill>
                  <pic:spPr bwMode="auto">
                    <a:xfrm>
                      <a:off x="0" y="0"/>
                      <a:ext cx="4878070" cy="702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but given the parallel tendency it is nonetheless worth noting.</w:t>
      </w:r>
    </w:p>
    <w:p w14:paraId="55A3A51F" w14:textId="77777777" w:rsidR="00E83011" w:rsidRDefault="00E83011" w:rsidP="00E83011">
      <w:pPr>
        <w:spacing w:line="480" w:lineRule="auto"/>
        <w:jc w:val="center"/>
        <w:rPr>
          <w:rFonts w:ascii="Times New Roman" w:hAnsi="Times New Roman" w:cs="Times New Roman"/>
        </w:rPr>
      </w:pPr>
      <w:r>
        <w:rPr>
          <w:rStyle w:val="apple-converted-space"/>
          <w:rFonts w:ascii="Times New Roman" w:hAnsi="Times New Roman" w:cs="Times New Roman"/>
          <w:color w:val="000000"/>
        </w:rPr>
        <w:t xml:space="preserve">Figure 7. </w:t>
      </w:r>
      <w:r w:rsidRPr="00D372DF">
        <w:rPr>
          <w:rStyle w:val="apple-converted-space"/>
          <w:rFonts w:ascii="Times New Roman" w:hAnsi="Times New Roman" w:cs="Times New Roman"/>
          <w:color w:val="000000"/>
        </w:rPr>
        <w:t xml:space="preserve">Sir Thomas More </w:t>
      </w:r>
      <w:r>
        <w:rPr>
          <w:rStyle w:val="apple-converted-space"/>
          <w:rFonts w:ascii="Times New Roman" w:hAnsi="Times New Roman" w:cs="Times New Roman"/>
          <w:color w:val="000000"/>
        </w:rPr>
        <w:t xml:space="preserve">Manuscript </w:t>
      </w:r>
      <w:r w:rsidRPr="00D27CBD">
        <w:rPr>
          <w:rStyle w:val="apple-converted-space"/>
          <w:rFonts w:ascii="Times New Roman" w:hAnsi="Times New Roman" w:cs="Times New Roman"/>
          <w:color w:val="000000"/>
        </w:rPr>
        <w:t>British Library, Harley MS 7368, ff. 8r</w:t>
      </w:r>
      <w:r>
        <w:rPr>
          <w:rStyle w:val="apple-converted-space"/>
          <w:rFonts w:ascii="Times New Roman" w:hAnsi="Times New Roman" w:cs="Times New Roman"/>
          <w:color w:val="000000"/>
        </w:rPr>
        <w:t>.</w:t>
      </w:r>
    </w:p>
    <w:p w14:paraId="020269F6" w14:textId="77777777" w:rsidR="00E83011" w:rsidRDefault="00E83011" w:rsidP="00E83011">
      <w:pPr>
        <w:spacing w:line="480" w:lineRule="auto"/>
        <w:rPr>
          <w:rFonts w:ascii="Times New Roman" w:hAnsi="Times New Roman" w:cs="Times New Roman"/>
        </w:rPr>
      </w:pPr>
      <w:r>
        <w:rPr>
          <w:rFonts w:ascii="Times New Roman" w:hAnsi="Times New Roman" w:cs="Times New Roman"/>
        </w:rPr>
        <w:lastRenderedPageBreak/>
        <w:tab/>
      </w:r>
      <w:r>
        <w:fldChar w:fldCharType="begin"/>
      </w:r>
      <w:r>
        <w:instrText xml:space="preserve"> INCLUDEPICTURE "https://cdn.mos.cms.futurecdn.net/KUqnrkK6YmGcHghMh4Cs6Z-320-80.jpg" \* MERGEFORMATINET </w:instrText>
      </w:r>
      <w:r w:rsidR="00000000">
        <w:fldChar w:fldCharType="separate"/>
      </w:r>
      <w:r>
        <w:fldChar w:fldCharType="end"/>
      </w:r>
      <w:r>
        <w:rPr>
          <w:rFonts w:ascii="Times New Roman" w:hAnsi="Times New Roman" w:cs="Times New Roman"/>
        </w:rPr>
        <w:t xml:space="preserve">Looking at this writing and comparing it to what is in the </w:t>
      </w:r>
      <w:r w:rsidRPr="00C155C7">
        <w:rPr>
          <w:rFonts w:ascii="Times New Roman" w:hAnsi="Times New Roman" w:cs="Times New Roman"/>
          <w:i/>
          <w:iCs/>
        </w:rPr>
        <w:t>Sir Thomas More</w:t>
      </w:r>
      <w:r>
        <w:rPr>
          <w:rFonts w:ascii="Times New Roman" w:hAnsi="Times New Roman" w:cs="Times New Roman"/>
        </w:rPr>
        <w:t xml:space="preserve"> pages (Figure 7) written by Hand D that is attributed to Shakespeare is an intriguing feat as well when trying to contextualize </w:t>
      </w:r>
      <w:proofErr w:type="gramStart"/>
      <w:r>
        <w:rPr>
          <w:rFonts w:ascii="Times New Roman" w:hAnsi="Times New Roman" w:cs="Times New Roman"/>
        </w:rPr>
        <w:t>whether or not</w:t>
      </w:r>
      <w:proofErr w:type="gramEnd"/>
      <w:r>
        <w:rPr>
          <w:rFonts w:ascii="Times New Roman" w:hAnsi="Times New Roman" w:cs="Times New Roman"/>
        </w:rPr>
        <w:t xml:space="preserve"> Shakespeare wrote these pages. The writing scrutiny around Shakespeare’s hand was first fully investigated by Sir Edward </w:t>
      </w:r>
      <w:proofErr w:type="spellStart"/>
      <w:r>
        <w:rPr>
          <w:rFonts w:ascii="Times New Roman" w:hAnsi="Times New Roman" w:cs="Times New Roman"/>
        </w:rPr>
        <w:t>Maunde</w:t>
      </w:r>
      <w:proofErr w:type="spellEnd"/>
      <w:r>
        <w:rPr>
          <w:rFonts w:ascii="Times New Roman" w:hAnsi="Times New Roman" w:cs="Times New Roman"/>
        </w:rPr>
        <w:t xml:space="preserve"> Thompson in 1916 since the paleographer shared that, “Shakespeare’s handwriting had never been subjected to a thorough and systematic study” (Thompson, 12). Thompson wanted to have a stronger claim than James </w:t>
      </w:r>
      <w:proofErr w:type="spellStart"/>
      <w:r>
        <w:rPr>
          <w:rFonts w:ascii="Times New Roman" w:hAnsi="Times New Roman" w:cs="Times New Roman"/>
        </w:rPr>
        <w:t>Spedding</w:t>
      </w:r>
      <w:proofErr w:type="spellEnd"/>
      <w:r>
        <w:rPr>
          <w:rFonts w:ascii="Times New Roman" w:hAnsi="Times New Roman" w:cs="Times New Roman"/>
        </w:rPr>
        <w:t xml:space="preserve"> had in the 1870s when </w:t>
      </w:r>
      <w:proofErr w:type="spellStart"/>
      <w:r>
        <w:rPr>
          <w:rFonts w:ascii="Times New Roman" w:hAnsi="Times New Roman" w:cs="Times New Roman"/>
        </w:rPr>
        <w:t>Spedding</w:t>
      </w:r>
      <w:proofErr w:type="spellEnd"/>
      <w:r>
        <w:rPr>
          <w:rFonts w:ascii="Times New Roman" w:hAnsi="Times New Roman" w:cs="Times New Roman"/>
        </w:rPr>
        <w:t xml:space="preserve"> shared that, “the handwriting found in the </w:t>
      </w:r>
      <w:r w:rsidRPr="00C95993">
        <w:rPr>
          <w:rFonts w:ascii="Times New Roman" w:hAnsi="Times New Roman" w:cs="Times New Roman"/>
          <w:i/>
          <w:iCs/>
        </w:rPr>
        <w:t>Sir Thomas More</w:t>
      </w:r>
      <w:r>
        <w:rPr>
          <w:rFonts w:ascii="Times New Roman" w:hAnsi="Times New Roman" w:cs="Times New Roman"/>
        </w:rPr>
        <w:t xml:space="preserve"> manuscript agrees with [Shakespeare’s] signature, which is a simple one, and written in the ordinary character of the time” (Serafin, 316). After studying the </w:t>
      </w:r>
      <w:r w:rsidRPr="00517BB6">
        <w:rPr>
          <w:rFonts w:ascii="Times New Roman" w:hAnsi="Times New Roman" w:cs="Times New Roman"/>
          <w:i/>
          <w:iCs/>
        </w:rPr>
        <w:t xml:space="preserve">Sir Thomas More </w:t>
      </w:r>
      <w:r>
        <w:rPr>
          <w:rFonts w:ascii="Times New Roman" w:hAnsi="Times New Roman" w:cs="Times New Roman"/>
        </w:rPr>
        <w:t xml:space="preserve">manuscript, Thompson shared that there are, “sufficient close resemblances [that] have been detected to bring the two handwritings together and to identify them as coming from one and the same hand” </w:t>
      </w:r>
      <w:r w:rsidRPr="008F6455">
        <w:rPr>
          <w:rFonts w:ascii="Times New Roman" w:hAnsi="Times New Roman" w:cs="Times New Roman"/>
        </w:rPr>
        <w:t xml:space="preserve">which means Thompson personally feels, “confident that […] we have indeed the handwriting of William Shakespeare” (Thompson, 41). Thompson made strides in navigating the </w:t>
      </w:r>
      <w:r w:rsidRPr="008F6455">
        <w:rPr>
          <w:rFonts w:ascii="Times New Roman" w:hAnsi="Times New Roman" w:cs="Times New Roman"/>
          <w:i/>
          <w:iCs/>
        </w:rPr>
        <w:t>Sir Thomas More</w:t>
      </w:r>
      <w:r w:rsidRPr="008F6455">
        <w:rPr>
          <w:rFonts w:ascii="Times New Roman" w:hAnsi="Times New Roman" w:cs="Times New Roman"/>
        </w:rPr>
        <w:t xml:space="preserve"> manuscript</w:t>
      </w:r>
      <w:r>
        <w:rPr>
          <w:rFonts w:ascii="Times New Roman" w:hAnsi="Times New Roman" w:cs="Times New Roman"/>
        </w:rPr>
        <w:t xml:space="preserve"> in his scrutiny at the start of the 20</w:t>
      </w:r>
      <w:r w:rsidRPr="00C95993">
        <w:rPr>
          <w:rFonts w:ascii="Times New Roman" w:hAnsi="Times New Roman" w:cs="Times New Roman"/>
          <w:vertAlign w:val="superscript"/>
        </w:rPr>
        <w:t>th</w:t>
      </w:r>
      <w:r>
        <w:rPr>
          <w:rFonts w:ascii="Times New Roman" w:hAnsi="Times New Roman" w:cs="Times New Roman"/>
        </w:rPr>
        <w:t xml:space="preserve"> century, but there is still discrepancy about his findings to this date. Taking a deeper look at the five main distinctive paleographical formed letters will aid in seeing where Thompson’s claims are coming from to gain better insight into the debate in question about whether Shakespeare is Hand D.</w:t>
      </w:r>
    </w:p>
    <w:p w14:paraId="31A7B1B9"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When initially sharing the signatures of Shakespeare, at the forefront of this section, notes on some of the general features were mentioned, however an overview of the main features that connect the two hands will be more explicitly outlined here. One telling sign in early modern paleography is the formation of the letter “a” in the miniscule (or lowercase) form since in early modern secretary hand there are two main ways to decipher the letter form: closed and open. Shakespeare clearly frames his miniscule “a” with an open top almost like a “u” and the </w:t>
      </w:r>
      <w:r>
        <w:rPr>
          <w:rFonts w:ascii="Times New Roman" w:hAnsi="Times New Roman" w:cs="Times New Roman"/>
        </w:rPr>
        <w:lastRenderedPageBreak/>
        <w:t xml:space="preserve">consistency of that letter framing continues throughout Hand D’s pages in the </w:t>
      </w:r>
      <w:r w:rsidRPr="007E4DD1">
        <w:rPr>
          <w:rFonts w:ascii="Times New Roman" w:hAnsi="Times New Roman" w:cs="Times New Roman"/>
          <w:i/>
          <w:iCs/>
        </w:rPr>
        <w:t>Sir Thomas More</w:t>
      </w:r>
      <w:r>
        <w:rPr>
          <w:rFonts w:ascii="Times New Roman" w:hAnsi="Times New Roman" w:cs="Times New Roman"/>
        </w:rPr>
        <w:t xml:space="preserve"> manuscript in a similar fashion. The derivation for the early modern secretary hand letter form for the miniscule “a” most clearly resembles the formation of the Middle Ages Latin script insular half-</w:t>
      </w:r>
      <w:proofErr w:type="spellStart"/>
      <w:r>
        <w:rPr>
          <w:rFonts w:ascii="Times New Roman" w:hAnsi="Times New Roman" w:cs="Times New Roman"/>
        </w:rPr>
        <w:t>unical</w:t>
      </w:r>
      <w:proofErr w:type="spellEnd"/>
      <w:r>
        <w:rPr>
          <w:rFonts w:ascii="Times New Roman" w:hAnsi="Times New Roman" w:cs="Times New Roman"/>
        </w:rPr>
        <w:t xml:space="preserve"> form in Ireland (Bischoff, 84). Comparing the </w:t>
      </w:r>
      <w:r w:rsidRPr="00C47BA3">
        <w:rPr>
          <w:rFonts w:ascii="Times New Roman" w:hAnsi="Times New Roman" w:cs="Times New Roman"/>
          <w:i/>
          <w:iCs/>
        </w:rPr>
        <w:t>Sir Thomas More</w:t>
      </w:r>
      <w:r>
        <w:rPr>
          <w:rFonts w:ascii="Times New Roman" w:hAnsi="Times New Roman" w:cs="Times New Roman"/>
        </w:rPr>
        <w:t xml:space="preserve"> manuscript to the research by Bernard Bischoff in his book, </w:t>
      </w:r>
      <w:r w:rsidRPr="00C47BA3">
        <w:rPr>
          <w:rFonts w:ascii="Times New Roman" w:hAnsi="Times New Roman" w:cs="Times New Roman"/>
          <w:i/>
          <w:iCs/>
        </w:rPr>
        <w:t>Latin Paleography</w:t>
      </w:r>
      <w:r>
        <w:rPr>
          <w:rFonts w:ascii="Times New Roman" w:hAnsi="Times New Roman" w:cs="Times New Roman"/>
        </w:rPr>
        <w:t xml:space="preserve">, helps to unearth where that letter form originated from (Bischoff, 85). This also illuminates just how far back this tendency with the lowercase “a” </w:t>
      </w:r>
      <w:proofErr w:type="gramStart"/>
      <w:r>
        <w:rPr>
          <w:rFonts w:ascii="Times New Roman" w:hAnsi="Times New Roman" w:cs="Times New Roman"/>
        </w:rPr>
        <w:t>dates</w:t>
      </w:r>
      <w:proofErr w:type="gramEnd"/>
      <w:r>
        <w:rPr>
          <w:rFonts w:ascii="Times New Roman" w:hAnsi="Times New Roman" w:cs="Times New Roman"/>
        </w:rPr>
        <w:t xml:space="preserve"> back in time. What is perhaps most intriguing about this is that historically the tendency to have the open form at the top of the “a” resembling a similar letter form from the Middle Ages gestures towards the solid grammar school training that Shakespeare had leading him towards a concreate comprehension of letter forms. The fact that Shakespeare would select the open framing of the “a” likely illustrates the Latin basis in his schooling.</w:t>
      </w:r>
    </w:p>
    <w:p w14:paraId="0959D842"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In addition to the framing of the letter “a,” there exists definitive similarity in the minim letters (“m” and “n”). The “m” and “n” both appear to share similarities with the Italian </w:t>
      </w:r>
      <w:proofErr w:type="spellStart"/>
      <w:r>
        <w:rPr>
          <w:rFonts w:ascii="Times New Roman" w:hAnsi="Times New Roman" w:cs="Times New Roman"/>
        </w:rPr>
        <w:t>Luxeuil</w:t>
      </w:r>
      <w:proofErr w:type="spellEnd"/>
      <w:r>
        <w:rPr>
          <w:rFonts w:ascii="Times New Roman" w:hAnsi="Times New Roman" w:cs="Times New Roman"/>
        </w:rPr>
        <w:t xml:space="preserve"> type tendency with the formation of the concavity of the letter forms (Bischoff, 104). When Bernhard Bischoff talks about the </w:t>
      </w:r>
      <w:proofErr w:type="spellStart"/>
      <w:r>
        <w:rPr>
          <w:rFonts w:ascii="Times New Roman" w:hAnsi="Times New Roman" w:cs="Times New Roman"/>
        </w:rPr>
        <w:t>scriptive</w:t>
      </w:r>
      <w:proofErr w:type="spellEnd"/>
      <w:r>
        <w:rPr>
          <w:rFonts w:ascii="Times New Roman" w:hAnsi="Times New Roman" w:cs="Times New Roman"/>
        </w:rPr>
        <w:t xml:space="preserve"> qualities of the “m” in this way in his book, there is discussion about the pace of writing truncating the curvature of the letters (Bischoff, 104). The </w:t>
      </w:r>
      <w:r w:rsidRPr="002D7F60">
        <w:rPr>
          <w:rFonts w:ascii="Times New Roman" w:hAnsi="Times New Roman" w:cs="Times New Roman"/>
          <w:i/>
          <w:iCs/>
        </w:rPr>
        <w:t>Sir Thomas More</w:t>
      </w:r>
      <w:r>
        <w:rPr>
          <w:rFonts w:ascii="Times New Roman" w:hAnsi="Times New Roman" w:cs="Times New Roman"/>
        </w:rPr>
        <w:t xml:space="preserve"> manuscript shows a tendency towards framing these letters with a focus on speed rather than clarity of letter formation as most of the “m” and “n” moments are not fully formed which matches the essence of the lettering seen in Italian </w:t>
      </w:r>
      <w:proofErr w:type="spellStart"/>
      <w:r>
        <w:rPr>
          <w:rFonts w:ascii="Times New Roman" w:hAnsi="Times New Roman" w:cs="Times New Roman"/>
        </w:rPr>
        <w:t>Luxeuil</w:t>
      </w:r>
      <w:proofErr w:type="spellEnd"/>
      <w:r>
        <w:rPr>
          <w:rFonts w:ascii="Times New Roman" w:hAnsi="Times New Roman" w:cs="Times New Roman"/>
        </w:rPr>
        <w:t xml:space="preserve">. As Thompson points out in his analysis of this letter, the “m” has a straightened last stroke in sequence which is distinct and common in the signatures as well as in the minim uses throughout the </w:t>
      </w:r>
      <w:r w:rsidRPr="00800D04">
        <w:rPr>
          <w:rFonts w:ascii="Times New Roman" w:hAnsi="Times New Roman" w:cs="Times New Roman"/>
          <w:i/>
          <w:iCs/>
        </w:rPr>
        <w:t>Sir Thomas More</w:t>
      </w:r>
      <w:r>
        <w:rPr>
          <w:rFonts w:ascii="Times New Roman" w:hAnsi="Times New Roman" w:cs="Times New Roman"/>
        </w:rPr>
        <w:t xml:space="preserve"> manuscript (Thompson, 23). Between this and the </w:t>
      </w:r>
      <w:proofErr w:type="spellStart"/>
      <w:r>
        <w:rPr>
          <w:rFonts w:ascii="Times New Roman" w:hAnsi="Times New Roman" w:cs="Times New Roman"/>
        </w:rPr>
        <w:t>magiscule</w:t>
      </w:r>
      <w:proofErr w:type="spellEnd"/>
      <w:r>
        <w:rPr>
          <w:rFonts w:ascii="Times New Roman" w:hAnsi="Times New Roman" w:cs="Times New Roman"/>
        </w:rPr>
        <w:t xml:space="preserve"> “S” in the signature (as mentioned in the discussion about the signatures), the tendency towards the Italian letter form </w:t>
      </w:r>
      <w:r>
        <w:rPr>
          <w:rFonts w:ascii="Times New Roman" w:hAnsi="Times New Roman" w:cs="Times New Roman"/>
        </w:rPr>
        <w:lastRenderedPageBreak/>
        <w:t>present in these letters shows the push away from the chancery cursive letter forms which were also a common handwriting style in early modern England (Hamilton, 140). Likewise, this illuminates the positive impact that Italian handwriting had on the formation of the early modern secretary hand alphabet.</w:t>
      </w:r>
    </w:p>
    <w:p w14:paraId="56CA227C"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  The miniscule letters are not the only letter forms that are revealing and similar between the Shakespeare signatures and </w:t>
      </w:r>
      <w:r w:rsidRPr="00142338">
        <w:rPr>
          <w:rFonts w:ascii="Times New Roman" w:hAnsi="Times New Roman" w:cs="Times New Roman"/>
          <w:i/>
          <w:iCs/>
        </w:rPr>
        <w:t>the Sir Thomas More manuscript</w:t>
      </w:r>
      <w:r>
        <w:rPr>
          <w:rFonts w:ascii="Times New Roman" w:hAnsi="Times New Roman" w:cs="Times New Roman"/>
        </w:rPr>
        <w:t xml:space="preserve">, the formation of the </w:t>
      </w:r>
      <w:proofErr w:type="spellStart"/>
      <w:r>
        <w:rPr>
          <w:rFonts w:ascii="Times New Roman" w:hAnsi="Times New Roman" w:cs="Times New Roman"/>
        </w:rPr>
        <w:t>magiscule</w:t>
      </w:r>
      <w:proofErr w:type="spellEnd"/>
      <w:r>
        <w:rPr>
          <w:rFonts w:ascii="Times New Roman" w:hAnsi="Times New Roman" w:cs="Times New Roman"/>
        </w:rPr>
        <w:t xml:space="preserve"> (uppercase) “W” presents as one of the most distinct letter forms in both writing samples. Thompson shares that the framework is reminiscent of a German cursive capital but does not account for the ornamental dot which is not present in that German cursive tendency (Thompson, 25). Rather than listing it as a side feature, I will argue that the “W” evolved from the framing of the letter from the development in the late medieval era. According to Peter T. Daniels and William Bright’s </w:t>
      </w:r>
      <w:r w:rsidRPr="001A0489">
        <w:rPr>
          <w:rFonts w:ascii="Times New Roman" w:hAnsi="Times New Roman" w:cs="Times New Roman"/>
          <w:i/>
          <w:iCs/>
        </w:rPr>
        <w:t>The World’s Writing Systems</w:t>
      </w:r>
      <w:r>
        <w:rPr>
          <w:rFonts w:ascii="Times New Roman" w:hAnsi="Times New Roman" w:cs="Times New Roman"/>
        </w:rPr>
        <w:t xml:space="preserve"> book, the medieval </w:t>
      </w:r>
      <w:proofErr w:type="spellStart"/>
      <w:r>
        <w:rPr>
          <w:rFonts w:ascii="Times New Roman" w:hAnsi="Times New Roman" w:cs="Times New Roman"/>
        </w:rPr>
        <w:t>scriptive</w:t>
      </w:r>
      <w:proofErr w:type="spellEnd"/>
      <w:r>
        <w:rPr>
          <w:rFonts w:ascii="Times New Roman" w:hAnsi="Times New Roman" w:cs="Times New Roman"/>
        </w:rPr>
        <w:t xml:space="preserve"> framework for the flourish on the </w:t>
      </w:r>
      <w:proofErr w:type="spellStart"/>
      <w:r>
        <w:rPr>
          <w:rFonts w:ascii="Times New Roman" w:hAnsi="Times New Roman" w:cs="Times New Roman"/>
        </w:rPr>
        <w:t>magiscule</w:t>
      </w:r>
      <w:proofErr w:type="spellEnd"/>
      <w:r>
        <w:rPr>
          <w:rFonts w:ascii="Times New Roman" w:hAnsi="Times New Roman" w:cs="Times New Roman"/>
        </w:rPr>
        <w:t xml:space="preserve"> “W’ sustains the same framed sweeping movement as the writing seen in the late Medieval Runes table of letters (Daniels &amp; Bright, 337). The sweeping gesture of the form matching the medieval formulation of the letter speaks to the approach stroke content that was picked up from the preceding handwriting system. The fact that the </w:t>
      </w:r>
      <w:proofErr w:type="spellStart"/>
      <w:r>
        <w:rPr>
          <w:rFonts w:ascii="Times New Roman" w:hAnsi="Times New Roman" w:cs="Times New Roman"/>
        </w:rPr>
        <w:t>magiscule</w:t>
      </w:r>
      <w:proofErr w:type="spellEnd"/>
      <w:r>
        <w:rPr>
          <w:rFonts w:ascii="Times New Roman" w:hAnsi="Times New Roman" w:cs="Times New Roman"/>
        </w:rPr>
        <w:t xml:space="preserve"> “W” in the </w:t>
      </w:r>
      <w:r w:rsidRPr="00487153">
        <w:rPr>
          <w:rFonts w:ascii="Times New Roman" w:hAnsi="Times New Roman" w:cs="Times New Roman"/>
          <w:i/>
          <w:iCs/>
        </w:rPr>
        <w:t>Sir Thomas More</w:t>
      </w:r>
      <w:r>
        <w:rPr>
          <w:rFonts w:ascii="Times New Roman" w:hAnsi="Times New Roman" w:cs="Times New Roman"/>
        </w:rPr>
        <w:t xml:space="preserve"> manuscript shares the same curvature pattern as the surname in each of the signatures shows paleographic evidence of the hands crafting the letters likely being the same. </w:t>
      </w:r>
    </w:p>
    <w:p w14:paraId="2399C5F7"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Perhaps the most telling letter in </w:t>
      </w:r>
      <w:proofErr w:type="gramStart"/>
      <w:r>
        <w:rPr>
          <w:rFonts w:ascii="Times New Roman" w:hAnsi="Times New Roman" w:cs="Times New Roman"/>
        </w:rPr>
        <w:t>all of</w:t>
      </w:r>
      <w:proofErr w:type="gramEnd"/>
      <w:r>
        <w:rPr>
          <w:rFonts w:ascii="Times New Roman" w:hAnsi="Times New Roman" w:cs="Times New Roman"/>
        </w:rPr>
        <w:t xml:space="preserve"> the signature work by Shakespeare is the framework for the letter “r.” The miniscule form of the letter “r” in early modern secretary hand can be quite variable, but the similarity and clarity in the repetition here makes the framing of the letter quite distinct. Thompson points out in the </w:t>
      </w:r>
      <w:r w:rsidRPr="00437E1C">
        <w:rPr>
          <w:rFonts w:ascii="Times New Roman" w:hAnsi="Times New Roman" w:cs="Times New Roman"/>
          <w:i/>
          <w:iCs/>
        </w:rPr>
        <w:t>Sir Thomas More</w:t>
      </w:r>
      <w:r>
        <w:rPr>
          <w:rFonts w:ascii="Times New Roman" w:hAnsi="Times New Roman" w:cs="Times New Roman"/>
        </w:rPr>
        <w:t xml:space="preserve"> manuscript that there is only one “r” that does not follow the pattern that is set forth in the signatures. I believe this is just a </w:t>
      </w:r>
      <w:r>
        <w:rPr>
          <w:rFonts w:ascii="Times New Roman" w:hAnsi="Times New Roman" w:cs="Times New Roman"/>
        </w:rPr>
        <w:lastRenderedPageBreak/>
        <w:t xml:space="preserve">lesser formed miniscule “r” rather than a variation since the ill signatures of Shakespeare shown by the writing on his will illuminate the variation of letter forms in the descending fashion when fatigued. What is the most recognizable about the “r” is that its relation to the base stem is curved in a very articulate manner quite unique to Shakespeare’s handwriting, and therefore it is harder to track its direct line of inspiration from past handwriting systems. The flat into the curved nature of the miniscule letter shows some similarities to the </w:t>
      </w:r>
      <w:proofErr w:type="spellStart"/>
      <w:r>
        <w:rPr>
          <w:rFonts w:ascii="Times New Roman" w:hAnsi="Times New Roman" w:cs="Times New Roman"/>
        </w:rPr>
        <w:t>visigothic</w:t>
      </w:r>
      <w:proofErr w:type="spellEnd"/>
      <w:r>
        <w:rPr>
          <w:rFonts w:ascii="Times New Roman" w:hAnsi="Times New Roman" w:cs="Times New Roman"/>
        </w:rPr>
        <w:t xml:space="preserve"> miniscule forms in the Daniels and Bright examples but, even so, it is not as clear of an evolution as some of the other letter forms mentioned in this paper (Daniels &amp; Bright, 337). What this indicates is the sincere inimitability of Shakespeare’s letter formation of the “r” which would prove useful in deciphering </w:t>
      </w:r>
      <w:proofErr w:type="gramStart"/>
      <w:r>
        <w:rPr>
          <w:rFonts w:ascii="Times New Roman" w:hAnsi="Times New Roman" w:cs="Times New Roman"/>
        </w:rPr>
        <w:t>whether or not</w:t>
      </w:r>
      <w:proofErr w:type="gramEnd"/>
      <w:r>
        <w:rPr>
          <w:rFonts w:ascii="Times New Roman" w:hAnsi="Times New Roman" w:cs="Times New Roman"/>
        </w:rPr>
        <w:t xml:space="preserve"> another manuscript was written by him. Thompson argues that it is the letters that are distinct that help to show the Shakespearean qualities in the </w:t>
      </w:r>
      <w:r w:rsidRPr="00561209">
        <w:rPr>
          <w:rFonts w:ascii="Times New Roman" w:hAnsi="Times New Roman" w:cs="Times New Roman"/>
          <w:i/>
          <w:iCs/>
        </w:rPr>
        <w:t>Sir Thomas More</w:t>
      </w:r>
      <w:r>
        <w:rPr>
          <w:rFonts w:ascii="Times New Roman" w:hAnsi="Times New Roman" w:cs="Times New Roman"/>
        </w:rPr>
        <w:t xml:space="preserve"> manuscript and based on the individuality of the framework of this letter form, it is likely the “r” falls in this category (Thompson, 34). </w:t>
      </w:r>
    </w:p>
    <w:p w14:paraId="5D4C632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The last instance worth noting in this overview of the Shakespeare paleography debate over </w:t>
      </w:r>
      <w:proofErr w:type="gramStart"/>
      <w:r>
        <w:rPr>
          <w:rFonts w:ascii="Times New Roman" w:hAnsi="Times New Roman" w:cs="Times New Roman"/>
        </w:rPr>
        <w:t>whether or not</w:t>
      </w:r>
      <w:proofErr w:type="gramEnd"/>
      <w:r>
        <w:rPr>
          <w:rFonts w:ascii="Times New Roman" w:hAnsi="Times New Roman" w:cs="Times New Roman"/>
        </w:rPr>
        <w:t xml:space="preserve"> Shakespeare is Hand D is the early modern secretary hand “c” that is recurrent in the </w:t>
      </w:r>
      <w:r w:rsidRPr="00E73015">
        <w:rPr>
          <w:rFonts w:ascii="Times New Roman" w:hAnsi="Times New Roman" w:cs="Times New Roman"/>
          <w:i/>
          <w:iCs/>
        </w:rPr>
        <w:t>Sir Thomas More</w:t>
      </w:r>
      <w:r>
        <w:rPr>
          <w:rFonts w:ascii="Times New Roman" w:hAnsi="Times New Roman" w:cs="Times New Roman"/>
        </w:rPr>
        <w:t xml:space="preserve"> manuscript. Although not in Shakespeare’s signature, the crossbar identity that is in the “c” in the </w:t>
      </w:r>
      <w:r w:rsidRPr="00E73015">
        <w:rPr>
          <w:rFonts w:ascii="Times New Roman" w:hAnsi="Times New Roman" w:cs="Times New Roman"/>
          <w:i/>
          <w:iCs/>
        </w:rPr>
        <w:t>Sir Thomas More</w:t>
      </w:r>
      <w:r>
        <w:rPr>
          <w:rFonts w:ascii="Times New Roman" w:hAnsi="Times New Roman" w:cs="Times New Roman"/>
        </w:rPr>
        <w:t xml:space="preserve"> manuscript can also be seen in the framing of other letters in the signatures. This crossing bar formation likely comes from the way of connecting the humanist cursive forms as Daniels and Bright illustrate when examining the different formalized cursive scripts (Daniels and Bright, 323). The framing of the cross form does not only exist in the letter “c,” and knowing that the crossed “c” is what is used throughout the </w:t>
      </w:r>
      <w:r w:rsidRPr="00E73015">
        <w:rPr>
          <w:rFonts w:ascii="Times New Roman" w:hAnsi="Times New Roman" w:cs="Times New Roman"/>
          <w:i/>
          <w:iCs/>
        </w:rPr>
        <w:t>Sir Thomas More</w:t>
      </w:r>
      <w:r>
        <w:rPr>
          <w:rFonts w:ascii="Times New Roman" w:hAnsi="Times New Roman" w:cs="Times New Roman"/>
        </w:rPr>
        <w:t xml:space="preserve"> text in question points to a hand that will use the cross feature in other letters more readily. This is why when first examining the basics of the signatures I mentioned </w:t>
      </w:r>
      <w:r>
        <w:rPr>
          <w:rFonts w:ascii="Times New Roman" w:hAnsi="Times New Roman" w:cs="Times New Roman"/>
        </w:rPr>
        <w:lastRenderedPageBreak/>
        <w:t xml:space="preserve">the letter “k” is distinct. The cross formation in that letter in the signatures alludes to the likelihood that the writer would use a crossed miniscule “c” when writing. While this one is less definitive than the other examples, picking up on fluidity tendencies within the cross figuring can prove helpful. This also serves as an example of why there is still doubt about </w:t>
      </w:r>
      <w:proofErr w:type="gramStart"/>
      <w:r>
        <w:rPr>
          <w:rFonts w:ascii="Times New Roman" w:hAnsi="Times New Roman" w:cs="Times New Roman"/>
        </w:rPr>
        <w:t>whether or not</w:t>
      </w:r>
      <w:proofErr w:type="gramEnd"/>
      <w:r>
        <w:rPr>
          <w:rFonts w:ascii="Times New Roman" w:hAnsi="Times New Roman" w:cs="Times New Roman"/>
        </w:rPr>
        <w:t xml:space="preserve"> this is Shakespeare’s handwriting. While lots of studying and analysis has gone into deciphering the handwriting forms, a lack of a complete alphabet in the authentic signatures does unfortunately lead to some paleographic guess work.</w:t>
      </w:r>
    </w:p>
    <w:p w14:paraId="5685BC5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Overall, taking the time to look at the letter forms of Shakespeare’s handwriting shows not only trends and tendencies that can help in navigating </w:t>
      </w:r>
      <w:proofErr w:type="gramStart"/>
      <w:r>
        <w:rPr>
          <w:rFonts w:ascii="Times New Roman" w:hAnsi="Times New Roman" w:cs="Times New Roman"/>
        </w:rPr>
        <w:t>whether or not</w:t>
      </w:r>
      <w:proofErr w:type="gramEnd"/>
      <w:r>
        <w:rPr>
          <w:rFonts w:ascii="Times New Roman" w:hAnsi="Times New Roman" w:cs="Times New Roman"/>
        </w:rPr>
        <w:t xml:space="preserve"> Shakespeare wrote </w:t>
      </w:r>
      <w:r w:rsidRPr="000C63C0">
        <w:rPr>
          <w:rFonts w:ascii="Times New Roman" w:hAnsi="Times New Roman" w:cs="Times New Roman"/>
          <w:i/>
          <w:iCs/>
        </w:rPr>
        <w:t>Sir Thomas More</w:t>
      </w:r>
      <w:r>
        <w:rPr>
          <w:rFonts w:ascii="Times New Roman" w:hAnsi="Times New Roman" w:cs="Times New Roman"/>
        </w:rPr>
        <w:t xml:space="preserve">, but also understanding the history of the letter forms. Historically, the inspirations of the letters from previous time periods can enlighten new understanding of the paleographic choices made. Knowing Shakespeare’s background at grammar school and the basis for the letter forms assists in understanding why Shakespeare likely framed certain letters that way that he did in his signatures. Whether or not a scholar believes that Shakespeare wrote </w:t>
      </w:r>
      <w:r w:rsidRPr="000C63C0">
        <w:rPr>
          <w:rFonts w:ascii="Times New Roman" w:hAnsi="Times New Roman" w:cs="Times New Roman"/>
          <w:i/>
          <w:iCs/>
        </w:rPr>
        <w:t>Sir Thomas More</w:t>
      </w:r>
      <w:r>
        <w:rPr>
          <w:rFonts w:ascii="Times New Roman" w:hAnsi="Times New Roman" w:cs="Times New Roman"/>
        </w:rPr>
        <w:t xml:space="preserve">, this analysis illuminates </w:t>
      </w:r>
      <w:proofErr w:type="gramStart"/>
      <w:r>
        <w:rPr>
          <w:rFonts w:ascii="Times New Roman" w:hAnsi="Times New Roman" w:cs="Times New Roman"/>
        </w:rPr>
        <w:t>through the use of</w:t>
      </w:r>
      <w:proofErr w:type="gramEnd"/>
      <w:r>
        <w:rPr>
          <w:rFonts w:ascii="Times New Roman" w:hAnsi="Times New Roman" w:cs="Times New Roman"/>
        </w:rPr>
        <w:t xml:space="preserve"> paleographical analysis why Thompson reached the conclusions he did regarding the handwriting based on the similarities observed. By taking the time to look at the basis for these arguments around the manuscript, we can gain a deeper understanding about what is being debated and why historicizing this argument matters. </w:t>
      </w:r>
    </w:p>
    <w:p w14:paraId="63984820"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In essence, by taking the time to unpack and understand the heart of the arguments surrounding Shakespeare debates, the basis for each side of the argument is clarified. In examining the meaning of “bard” and its etymology, the debate of appropriateness </w:t>
      </w:r>
      <w:proofErr w:type="gramStart"/>
      <w:r>
        <w:rPr>
          <w:rFonts w:ascii="Times New Roman" w:hAnsi="Times New Roman" w:cs="Times New Roman"/>
        </w:rPr>
        <w:t>with regard to</w:t>
      </w:r>
      <w:proofErr w:type="gramEnd"/>
      <w:r>
        <w:rPr>
          <w:rFonts w:ascii="Times New Roman" w:hAnsi="Times New Roman" w:cs="Times New Roman"/>
        </w:rPr>
        <w:t xml:space="preserve"> the terminology becomes clearer. Similarly, breaking apart the history behind and paleography within the </w:t>
      </w:r>
      <w:r w:rsidRPr="00E2396F">
        <w:rPr>
          <w:rFonts w:ascii="Times New Roman" w:hAnsi="Times New Roman" w:cs="Times New Roman"/>
          <w:i/>
          <w:iCs/>
        </w:rPr>
        <w:t>Sir Thomas More</w:t>
      </w:r>
      <w:r>
        <w:rPr>
          <w:rFonts w:ascii="Times New Roman" w:hAnsi="Times New Roman" w:cs="Times New Roman"/>
        </w:rPr>
        <w:t xml:space="preserve"> manuscript helps in comprehending the basis for the penmanship </w:t>
      </w:r>
      <w:r>
        <w:rPr>
          <w:rFonts w:ascii="Times New Roman" w:hAnsi="Times New Roman" w:cs="Times New Roman"/>
        </w:rPr>
        <w:lastRenderedPageBreak/>
        <w:t>debate. It is through historical research and avid material comprehension of texts that interpreting full meaning can aptly occur. These two Shakespeare debates illuminate the necessity of understanding the historical contexts to enable full comprehension of a textual debate or discrepancy. Understanding the Shakespeare history backing the arguments strengthens our understanding of the bard and Hand D in ways that would otherwise be overlooked.</w:t>
      </w:r>
    </w:p>
    <w:p w14:paraId="7543A3A5" w14:textId="77777777" w:rsidR="00395B31" w:rsidRDefault="00395B31" w:rsidP="00901B00">
      <w:pPr>
        <w:spacing w:line="480" w:lineRule="auto"/>
        <w:jc w:val="center"/>
        <w:rPr>
          <w:rFonts w:ascii="Times New Roman" w:hAnsi="Times New Roman" w:cs="Times New Roman"/>
        </w:rPr>
      </w:pPr>
    </w:p>
    <w:p w14:paraId="3B9F01E2" w14:textId="32795F24" w:rsidR="00901B00" w:rsidRDefault="00901B00" w:rsidP="00901B00">
      <w:pPr>
        <w:spacing w:line="480" w:lineRule="auto"/>
        <w:jc w:val="center"/>
        <w:rPr>
          <w:rFonts w:ascii="Times New Roman" w:hAnsi="Times New Roman" w:cs="Times New Roman"/>
        </w:rPr>
      </w:pPr>
      <w:r>
        <w:rPr>
          <w:rFonts w:ascii="Times New Roman" w:hAnsi="Times New Roman" w:cs="Times New Roman"/>
        </w:rPr>
        <w:t>Works Cited</w:t>
      </w:r>
    </w:p>
    <w:p w14:paraId="5E1801E7" w14:textId="77777777" w:rsidR="00901B00" w:rsidRPr="004A099D" w:rsidRDefault="00901B00" w:rsidP="00901B00">
      <w:pPr>
        <w:spacing w:line="480" w:lineRule="auto"/>
        <w:rPr>
          <w:rStyle w:val="apple-converted-space"/>
          <w:rFonts w:ascii="Times New Roman" w:hAnsi="Times New Roman" w:cs="Times New Roman"/>
        </w:rPr>
      </w:pPr>
      <w:r w:rsidRPr="00D27CBD">
        <w:rPr>
          <w:rFonts w:ascii="Times New Roman" w:hAnsi="Times New Roman" w:cs="Times New Roman"/>
          <w:color w:val="000000"/>
        </w:rPr>
        <w:t>Ackroyd, Peter.</w:t>
      </w:r>
      <w:r w:rsidRPr="00D27CBD">
        <w:rPr>
          <w:rStyle w:val="apple-converted-space"/>
          <w:rFonts w:ascii="Times New Roman" w:hAnsi="Times New Roman" w:cs="Times New Roman"/>
          <w:color w:val="000000"/>
        </w:rPr>
        <w:t> </w:t>
      </w:r>
      <w:r w:rsidRPr="00D27CBD">
        <w:rPr>
          <w:rFonts w:ascii="Times New Roman" w:hAnsi="Times New Roman" w:cs="Times New Roman"/>
          <w:i/>
          <w:iCs/>
          <w:color w:val="000000"/>
        </w:rPr>
        <w:t>Shakespeare: The Biography</w:t>
      </w:r>
      <w:r w:rsidRPr="00D27CBD">
        <w:rPr>
          <w:rFonts w:ascii="Times New Roman" w:hAnsi="Times New Roman" w:cs="Times New Roman"/>
          <w:color w:val="000000"/>
        </w:rPr>
        <w:t xml:space="preserve">. Chatto &amp; </w:t>
      </w:r>
      <w:proofErr w:type="spellStart"/>
      <w:r w:rsidRPr="00D27CBD">
        <w:rPr>
          <w:rFonts w:ascii="Times New Roman" w:hAnsi="Times New Roman" w:cs="Times New Roman"/>
          <w:color w:val="000000"/>
        </w:rPr>
        <w:t>Windus</w:t>
      </w:r>
      <w:proofErr w:type="spellEnd"/>
      <w:r w:rsidRPr="00D27CBD">
        <w:rPr>
          <w:rFonts w:ascii="Times New Roman" w:hAnsi="Times New Roman" w:cs="Times New Roman"/>
          <w:color w:val="000000"/>
        </w:rPr>
        <w:t>, 2005.</w:t>
      </w:r>
      <w:r w:rsidRPr="00D27CBD">
        <w:rPr>
          <w:rStyle w:val="apple-converted-space"/>
          <w:rFonts w:ascii="Times New Roman" w:hAnsi="Times New Roman" w:cs="Times New Roman"/>
          <w:color w:val="000000"/>
        </w:rPr>
        <w:t> </w:t>
      </w:r>
    </w:p>
    <w:p w14:paraId="5A0DE610" w14:textId="77777777" w:rsidR="00901B00" w:rsidRDefault="00901B00" w:rsidP="00901B00">
      <w:pPr>
        <w:pStyle w:val="NormalWeb"/>
        <w:spacing w:line="480" w:lineRule="auto"/>
        <w:ind w:left="567" w:hanging="567"/>
        <w:contextualSpacing/>
        <w:rPr>
          <w:color w:val="202122"/>
          <w:shd w:val="clear" w:color="auto" w:fill="FFFFFF"/>
        </w:rPr>
      </w:pPr>
      <w:r w:rsidRPr="00BE2789">
        <w:rPr>
          <w:color w:val="202122"/>
          <w:shd w:val="clear" w:color="auto" w:fill="FFFFFF"/>
        </w:rPr>
        <w:t>Archives, The National.</w:t>
      </w:r>
      <w:r w:rsidRPr="00D27CBD">
        <w:rPr>
          <w:color w:val="202122"/>
          <w:shd w:val="clear" w:color="auto" w:fill="FFFFFF"/>
        </w:rPr>
        <w:t xml:space="preserve"> “Treasure f</w:t>
      </w:r>
      <w:r>
        <w:rPr>
          <w:color w:val="202122"/>
          <w:shd w:val="clear" w:color="auto" w:fill="FFFFFF"/>
        </w:rPr>
        <w:t>r</w:t>
      </w:r>
      <w:r w:rsidRPr="00D27CBD">
        <w:rPr>
          <w:color w:val="202122"/>
          <w:shd w:val="clear" w:color="auto" w:fill="FFFFFF"/>
        </w:rPr>
        <w:t xml:space="preserve">om the National Archives – </w:t>
      </w:r>
      <w:proofErr w:type="spellStart"/>
      <w:r w:rsidRPr="00D27CBD">
        <w:rPr>
          <w:color w:val="202122"/>
          <w:shd w:val="clear" w:color="auto" w:fill="FFFFFF"/>
        </w:rPr>
        <w:t>Shakeaspeare’s</w:t>
      </w:r>
      <w:proofErr w:type="spellEnd"/>
      <w:r w:rsidRPr="00D27CBD">
        <w:rPr>
          <w:color w:val="202122"/>
          <w:shd w:val="clear" w:color="auto" w:fill="FFFFFF"/>
        </w:rPr>
        <w:t xml:space="preserve"> </w:t>
      </w:r>
      <w:r>
        <w:rPr>
          <w:color w:val="202122"/>
          <w:shd w:val="clear" w:color="auto" w:fill="FFFFFF"/>
        </w:rPr>
        <w:tab/>
        <w:t>W</w:t>
      </w:r>
      <w:r w:rsidRPr="00D27CBD">
        <w:rPr>
          <w:color w:val="202122"/>
          <w:shd w:val="clear" w:color="auto" w:fill="FFFFFF"/>
        </w:rPr>
        <w:t>ill</w:t>
      </w:r>
      <w:proofErr w:type="gramStart"/>
      <w:r w:rsidRPr="00D27CBD">
        <w:rPr>
          <w:color w:val="202122"/>
          <w:shd w:val="clear" w:color="auto" w:fill="FFFFFF"/>
        </w:rPr>
        <w:t>”</w:t>
      </w:r>
      <w:r w:rsidRPr="00BE2789">
        <w:rPr>
          <w:color w:val="202122"/>
          <w:shd w:val="clear" w:color="auto" w:fill="FFFFFF"/>
        </w:rPr>
        <w:t> </w:t>
      </w:r>
      <w:r w:rsidRPr="00BE2789">
        <w:rPr>
          <w:i/>
          <w:iCs/>
          <w:color w:val="202122"/>
        </w:rPr>
        <w:t>.</w:t>
      </w:r>
      <w:proofErr w:type="gramEnd"/>
      <w:r w:rsidRPr="00BE2789">
        <w:rPr>
          <w:i/>
          <w:iCs/>
          <w:color w:val="202122"/>
        </w:rPr>
        <w:t>nationalarchives.gov.uk</w:t>
      </w:r>
      <w:r w:rsidRPr="00BE2789">
        <w:rPr>
          <w:color w:val="202122"/>
          <w:shd w:val="clear" w:color="auto" w:fill="FFFFFF"/>
        </w:rPr>
        <w:t>.</w:t>
      </w:r>
    </w:p>
    <w:p w14:paraId="546C523A" w14:textId="64ECD56A" w:rsidR="00901B00" w:rsidRPr="00901B00" w:rsidRDefault="00901B00" w:rsidP="00901B00">
      <w:pPr>
        <w:pStyle w:val="NormalWeb"/>
        <w:spacing w:line="480" w:lineRule="auto"/>
        <w:ind w:left="567" w:hanging="567"/>
        <w:contextualSpacing/>
        <w:rPr>
          <w:rStyle w:val="apple-converted-space"/>
          <w:color w:val="202122"/>
        </w:rPr>
      </w:pPr>
      <w:proofErr w:type="spellStart"/>
      <w:r w:rsidRPr="00383986">
        <w:rPr>
          <w:color w:val="202122"/>
          <w:shd w:val="clear" w:color="auto" w:fill="FFFFFF"/>
        </w:rPr>
        <w:t>Ashliman</w:t>
      </w:r>
      <w:proofErr w:type="spellEnd"/>
      <w:r w:rsidRPr="00383986">
        <w:rPr>
          <w:color w:val="202122"/>
          <w:shd w:val="clear" w:color="auto" w:fill="FFFFFF"/>
        </w:rPr>
        <w:t>, D. L. (ed.).</w:t>
      </w:r>
      <w:r w:rsidRPr="00D27CBD">
        <w:rPr>
          <w:color w:val="202122"/>
          <w:shd w:val="clear" w:color="auto" w:fill="FFFFFF"/>
        </w:rPr>
        <w:t xml:space="preserve"> “The Pied Piper of Hamelin and Related </w:t>
      </w:r>
      <w:proofErr w:type="spellStart"/>
      <w:r w:rsidRPr="00D27CBD">
        <w:rPr>
          <w:color w:val="202122"/>
          <w:shd w:val="clear" w:color="auto" w:fill="FFFFFF"/>
        </w:rPr>
        <w:t>Legents</w:t>
      </w:r>
      <w:proofErr w:type="spellEnd"/>
      <w:r w:rsidRPr="00D27CBD">
        <w:rPr>
          <w:color w:val="202122"/>
          <w:shd w:val="clear" w:color="auto" w:fill="FFFFFF"/>
        </w:rPr>
        <w:t xml:space="preserve"> from Other Towns</w:t>
      </w:r>
      <w:proofErr w:type="gramStart"/>
      <w:r w:rsidRPr="00D27CBD">
        <w:rPr>
          <w:color w:val="202122"/>
          <w:shd w:val="clear" w:color="auto" w:fill="FFFFFF"/>
        </w:rPr>
        <w:t xml:space="preserve">,”  </w:t>
      </w:r>
      <w:r w:rsidRPr="00383986">
        <w:rPr>
          <w:color w:val="202122"/>
          <w:shd w:val="clear" w:color="auto" w:fill="FFFFFF"/>
        </w:rPr>
        <w:t>University</w:t>
      </w:r>
      <w:proofErr w:type="gramEnd"/>
      <w:r w:rsidRPr="00383986">
        <w:rPr>
          <w:color w:val="202122"/>
          <w:shd w:val="clear" w:color="auto" w:fill="FFFFFF"/>
        </w:rPr>
        <w:t xml:space="preserve"> of Pittsburgh</w:t>
      </w:r>
      <w:r w:rsidRPr="00D27CBD">
        <w:rPr>
          <w:color w:val="202122"/>
        </w:rPr>
        <w:t>, 2017.</w:t>
      </w:r>
    </w:p>
    <w:p w14:paraId="5A9B6551" w14:textId="77777777" w:rsidR="00901B00" w:rsidRPr="008614BC" w:rsidRDefault="00901B00" w:rsidP="00901B00">
      <w:pPr>
        <w:pStyle w:val="NormalWeb"/>
        <w:spacing w:line="480" w:lineRule="auto"/>
        <w:ind w:left="567" w:hanging="567"/>
        <w:contextualSpacing/>
        <w:rPr>
          <w:color w:val="000000" w:themeColor="text1"/>
        </w:rPr>
      </w:pPr>
      <w:r w:rsidRPr="00D27CBD">
        <w:rPr>
          <w:i/>
          <w:iCs/>
          <w:color w:val="000000" w:themeColor="text1"/>
          <w:kern w:val="36"/>
        </w:rPr>
        <w:t>“</w:t>
      </w:r>
      <w:proofErr w:type="spellStart"/>
      <w:r w:rsidRPr="008F6455">
        <w:rPr>
          <w:i/>
          <w:iCs/>
          <w:color w:val="000000" w:themeColor="text1"/>
          <w:kern w:val="36"/>
        </w:rPr>
        <w:t>Bellott</w:t>
      </w:r>
      <w:proofErr w:type="spellEnd"/>
      <w:r w:rsidRPr="008F6455">
        <w:rPr>
          <w:i/>
          <w:iCs/>
          <w:color w:val="000000" w:themeColor="text1"/>
          <w:kern w:val="36"/>
        </w:rPr>
        <w:t xml:space="preserve"> v. Mountjoy: Compulsory Summons to Shakespeare and others for the first set of Interrogatories</w:t>
      </w:r>
      <w:r w:rsidRPr="00D27CBD">
        <w:rPr>
          <w:i/>
          <w:iCs/>
          <w:color w:val="000000" w:themeColor="text1"/>
          <w:kern w:val="36"/>
        </w:rPr>
        <w:t>,”</w:t>
      </w:r>
      <w:r w:rsidRPr="00D27CBD">
        <w:rPr>
          <w:color w:val="000000" w:themeColor="text1"/>
          <w:kern w:val="36"/>
        </w:rPr>
        <w:t xml:space="preserve"> British National Archives, REQ 1/183, f. 269, May 7, 1612.</w:t>
      </w:r>
    </w:p>
    <w:p w14:paraId="168AC3FF"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Bischoff, Bernhard.</w:t>
      </w:r>
      <w:r w:rsidRPr="00D27CBD">
        <w:rPr>
          <w:rStyle w:val="apple-converted-space"/>
          <w:rFonts w:eastAsiaTheme="majorEastAsia"/>
          <w:color w:val="000000"/>
        </w:rPr>
        <w:t> </w:t>
      </w:r>
      <w:r w:rsidRPr="00D27CBD">
        <w:rPr>
          <w:i/>
          <w:iCs/>
          <w:color w:val="000000"/>
        </w:rPr>
        <w:t>Latin Paleography: Antiquity and the Middle Ages</w:t>
      </w:r>
      <w:r w:rsidRPr="00D27CBD">
        <w:rPr>
          <w:color w:val="000000"/>
        </w:rPr>
        <w:t>. Cambridge University Press, 2004.</w:t>
      </w:r>
      <w:r w:rsidRPr="00D27CBD">
        <w:rPr>
          <w:rStyle w:val="apple-converted-space"/>
          <w:rFonts w:eastAsiaTheme="majorEastAsia"/>
          <w:color w:val="000000"/>
        </w:rPr>
        <w:t> </w:t>
      </w:r>
    </w:p>
    <w:p w14:paraId="2D869DBB"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 xml:space="preserve">Condell, </w:t>
      </w:r>
      <w:proofErr w:type="spellStart"/>
      <w:r w:rsidRPr="00D27CBD">
        <w:rPr>
          <w:color w:val="000000"/>
        </w:rPr>
        <w:t>Heminges</w:t>
      </w:r>
      <w:proofErr w:type="spellEnd"/>
      <w:r w:rsidRPr="00D27CBD">
        <w:rPr>
          <w:color w:val="000000"/>
        </w:rPr>
        <w:t>, and Shakespeare, William, et al.</w:t>
      </w:r>
      <w:r w:rsidRPr="00D27CBD">
        <w:rPr>
          <w:rStyle w:val="apple-converted-space"/>
          <w:rFonts w:eastAsiaTheme="majorEastAsia"/>
          <w:color w:val="000000"/>
        </w:rPr>
        <w:t> </w:t>
      </w:r>
      <w:r w:rsidRPr="00D27CBD">
        <w:rPr>
          <w:i/>
          <w:iCs/>
          <w:color w:val="000000"/>
        </w:rPr>
        <w:t>First Folio</w:t>
      </w:r>
      <w:r w:rsidRPr="00D27CBD">
        <w:rPr>
          <w:color w:val="000000"/>
        </w:rPr>
        <w:t>. Shakespeare Society of New York, 1889.</w:t>
      </w:r>
      <w:r w:rsidRPr="00D27CBD">
        <w:rPr>
          <w:rStyle w:val="apple-converted-space"/>
          <w:rFonts w:eastAsiaTheme="majorEastAsia"/>
          <w:color w:val="000000"/>
        </w:rPr>
        <w:t> </w:t>
      </w:r>
    </w:p>
    <w:p w14:paraId="4DC904D3"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Daniels, Peter T, and William Bright.</w:t>
      </w:r>
      <w:r w:rsidRPr="00D27CBD">
        <w:rPr>
          <w:rStyle w:val="apple-converted-space"/>
          <w:rFonts w:eastAsiaTheme="majorEastAsia"/>
          <w:color w:val="000000"/>
        </w:rPr>
        <w:t> </w:t>
      </w:r>
      <w:r w:rsidRPr="00D27CBD">
        <w:rPr>
          <w:i/>
          <w:iCs/>
          <w:color w:val="000000"/>
        </w:rPr>
        <w:t>The World's Writing Systems</w:t>
      </w:r>
      <w:r w:rsidRPr="00D27CBD">
        <w:rPr>
          <w:color w:val="000000"/>
        </w:rPr>
        <w:t>. Oxford University Press, 2010.</w:t>
      </w:r>
      <w:r w:rsidRPr="00D27CBD">
        <w:rPr>
          <w:rStyle w:val="apple-converted-space"/>
          <w:rFonts w:eastAsiaTheme="majorEastAsia"/>
          <w:color w:val="000000"/>
        </w:rPr>
        <w:t> </w:t>
      </w:r>
    </w:p>
    <w:p w14:paraId="33CAF9AE"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proofErr w:type="spellStart"/>
      <w:r w:rsidRPr="00D27CBD">
        <w:rPr>
          <w:color w:val="000000"/>
        </w:rPr>
        <w:t>Dircks</w:t>
      </w:r>
      <w:proofErr w:type="spellEnd"/>
      <w:r w:rsidRPr="00D27CBD">
        <w:rPr>
          <w:color w:val="000000"/>
        </w:rPr>
        <w:t>, Phyllis T.</w:t>
      </w:r>
      <w:r w:rsidRPr="00D27CBD">
        <w:rPr>
          <w:rStyle w:val="apple-converted-space"/>
          <w:rFonts w:eastAsiaTheme="majorEastAsia"/>
          <w:color w:val="000000"/>
        </w:rPr>
        <w:t> </w:t>
      </w:r>
      <w:r w:rsidRPr="00D27CBD">
        <w:rPr>
          <w:i/>
          <w:iCs/>
          <w:color w:val="000000"/>
        </w:rPr>
        <w:t>David Garrick</w:t>
      </w:r>
      <w:r w:rsidRPr="00D27CBD">
        <w:rPr>
          <w:color w:val="000000"/>
        </w:rPr>
        <w:t xml:space="preserve">. </w:t>
      </w:r>
      <w:proofErr w:type="spellStart"/>
      <w:r w:rsidRPr="00D27CBD">
        <w:rPr>
          <w:color w:val="000000"/>
        </w:rPr>
        <w:t>Twayne</w:t>
      </w:r>
      <w:proofErr w:type="spellEnd"/>
      <w:r w:rsidRPr="00D27CBD">
        <w:rPr>
          <w:color w:val="000000"/>
        </w:rPr>
        <w:t>, 1985.</w:t>
      </w:r>
      <w:r w:rsidRPr="00D27CBD">
        <w:rPr>
          <w:rStyle w:val="apple-converted-space"/>
          <w:rFonts w:eastAsiaTheme="majorEastAsia"/>
          <w:color w:val="000000"/>
        </w:rPr>
        <w:t> </w:t>
      </w:r>
    </w:p>
    <w:p w14:paraId="7A376DBF"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Hamilton, Charles.</w:t>
      </w:r>
      <w:r w:rsidRPr="00D27CBD">
        <w:rPr>
          <w:rStyle w:val="apple-converted-space"/>
          <w:rFonts w:eastAsiaTheme="majorEastAsia"/>
          <w:color w:val="000000"/>
        </w:rPr>
        <w:t> </w:t>
      </w:r>
      <w:r w:rsidRPr="00D27CBD">
        <w:rPr>
          <w:i/>
          <w:iCs/>
          <w:color w:val="000000"/>
        </w:rPr>
        <w:t>In Search of Shakespeare: A Reconnaissance into the Poet's Life and Handwriting</w:t>
      </w:r>
      <w:r w:rsidRPr="00D27CBD">
        <w:rPr>
          <w:color w:val="000000"/>
        </w:rPr>
        <w:t>. Harcourt Brace Jovanovich, 1985.</w:t>
      </w:r>
      <w:r w:rsidRPr="00D27CBD">
        <w:rPr>
          <w:rStyle w:val="apple-converted-space"/>
          <w:rFonts w:eastAsiaTheme="majorEastAsia"/>
          <w:color w:val="000000"/>
        </w:rPr>
        <w:t> </w:t>
      </w:r>
    </w:p>
    <w:p w14:paraId="3B7A2482" w14:textId="77777777" w:rsidR="00901B00" w:rsidRPr="00D27CBD" w:rsidRDefault="00901B00" w:rsidP="00901B00">
      <w:pPr>
        <w:pStyle w:val="NormalWeb"/>
        <w:spacing w:line="480" w:lineRule="auto"/>
        <w:ind w:left="567" w:hanging="567"/>
        <w:contextualSpacing/>
        <w:rPr>
          <w:color w:val="000000"/>
        </w:rPr>
      </w:pPr>
      <w:r w:rsidRPr="00D27CBD">
        <w:rPr>
          <w:rStyle w:val="apple-converted-space"/>
          <w:rFonts w:eastAsiaTheme="majorEastAsia"/>
          <w:color w:val="000000"/>
        </w:rPr>
        <w:lastRenderedPageBreak/>
        <w:t xml:space="preserve"> </w:t>
      </w:r>
      <w:r w:rsidRPr="00D27CBD">
        <w:rPr>
          <w:color w:val="000000"/>
        </w:rPr>
        <w:t>Jonson, Ben, and Ralph S. Walker.</w:t>
      </w:r>
      <w:r w:rsidRPr="00D27CBD">
        <w:rPr>
          <w:rStyle w:val="apple-converted-space"/>
          <w:rFonts w:eastAsiaTheme="majorEastAsia"/>
          <w:color w:val="000000"/>
        </w:rPr>
        <w:t> </w:t>
      </w:r>
      <w:r w:rsidRPr="00D27CBD">
        <w:rPr>
          <w:i/>
          <w:iCs/>
          <w:color w:val="000000"/>
        </w:rPr>
        <w:t>Timber, Or the Discoveries</w:t>
      </w:r>
      <w:r w:rsidRPr="00D27CBD">
        <w:rPr>
          <w:color w:val="000000"/>
        </w:rPr>
        <w:t>. Syracuse University Press, 1953.</w:t>
      </w:r>
      <w:r w:rsidRPr="00D27CBD">
        <w:rPr>
          <w:rStyle w:val="apple-converted-space"/>
          <w:rFonts w:eastAsiaTheme="majorEastAsia"/>
          <w:color w:val="000000"/>
        </w:rPr>
        <w:t> </w:t>
      </w:r>
    </w:p>
    <w:p w14:paraId="7E877B9A"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Lewis, Robert E.</w:t>
      </w:r>
      <w:r w:rsidRPr="00D27CBD">
        <w:rPr>
          <w:rStyle w:val="apple-converted-space"/>
          <w:rFonts w:eastAsiaTheme="majorEastAsia"/>
          <w:color w:val="000000"/>
        </w:rPr>
        <w:t> </w:t>
      </w:r>
      <w:r w:rsidRPr="00D27CBD">
        <w:rPr>
          <w:i/>
          <w:iCs/>
          <w:color w:val="000000"/>
        </w:rPr>
        <w:t>Middle English Dictionary</w:t>
      </w:r>
      <w:r w:rsidRPr="00D27CBD">
        <w:rPr>
          <w:color w:val="000000"/>
        </w:rPr>
        <w:t xml:space="preserve">. University of Michigan Press </w:t>
      </w:r>
      <w:proofErr w:type="spellStart"/>
      <w:r w:rsidRPr="00D27CBD">
        <w:rPr>
          <w:color w:val="000000"/>
        </w:rPr>
        <w:t>U.a.</w:t>
      </w:r>
      <w:proofErr w:type="spellEnd"/>
      <w:r w:rsidRPr="00D27CBD">
        <w:rPr>
          <w:color w:val="000000"/>
        </w:rPr>
        <w:t>, 1997.</w:t>
      </w:r>
      <w:r w:rsidRPr="00D27CBD">
        <w:rPr>
          <w:rStyle w:val="apple-converted-space"/>
          <w:rFonts w:eastAsiaTheme="majorEastAsia"/>
          <w:color w:val="000000"/>
        </w:rPr>
        <w:t> </w:t>
      </w:r>
    </w:p>
    <w:p w14:paraId="2E9DC21A" w14:textId="77777777" w:rsidR="00901B00" w:rsidRPr="00D27CBD" w:rsidRDefault="00901B00" w:rsidP="00901B00">
      <w:pPr>
        <w:pStyle w:val="NormalWeb"/>
        <w:spacing w:line="480" w:lineRule="auto"/>
        <w:ind w:left="567" w:hanging="567"/>
        <w:contextualSpacing/>
        <w:rPr>
          <w:color w:val="000000"/>
        </w:rPr>
      </w:pPr>
      <w:r w:rsidRPr="00D27CBD">
        <w:rPr>
          <w:color w:val="000000"/>
        </w:rPr>
        <w:t>Martin, Peter.</w:t>
      </w:r>
      <w:r w:rsidRPr="00D27CBD">
        <w:rPr>
          <w:rStyle w:val="apple-converted-space"/>
          <w:rFonts w:eastAsiaTheme="majorEastAsia"/>
          <w:color w:val="000000"/>
        </w:rPr>
        <w:t> </w:t>
      </w:r>
      <w:r w:rsidRPr="00D27CBD">
        <w:rPr>
          <w:i/>
          <w:iCs/>
          <w:color w:val="000000"/>
        </w:rPr>
        <w:t>Edmond Malone, Shakespearean Scholar: A Literary Biography</w:t>
      </w:r>
      <w:r w:rsidRPr="00D27CBD">
        <w:rPr>
          <w:color w:val="000000"/>
        </w:rPr>
        <w:t>. Cambridge University Press, 1995.</w:t>
      </w:r>
    </w:p>
    <w:p w14:paraId="6023C265"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Serafin, Steven.</w:t>
      </w:r>
      <w:r w:rsidRPr="00D27CBD">
        <w:rPr>
          <w:rStyle w:val="apple-converted-space"/>
          <w:rFonts w:eastAsiaTheme="majorEastAsia"/>
          <w:color w:val="000000"/>
        </w:rPr>
        <w:t> </w:t>
      </w:r>
      <w:r w:rsidRPr="00D27CBD">
        <w:rPr>
          <w:i/>
          <w:iCs/>
          <w:color w:val="000000"/>
        </w:rPr>
        <w:t>Nineteenth-Century British Literary Biographers</w:t>
      </w:r>
      <w:r w:rsidRPr="00D27CBD">
        <w:rPr>
          <w:color w:val="000000"/>
        </w:rPr>
        <w:t>. Gale Research, 1994.</w:t>
      </w:r>
      <w:r w:rsidRPr="00D27CBD">
        <w:rPr>
          <w:rStyle w:val="apple-converted-space"/>
          <w:rFonts w:eastAsiaTheme="majorEastAsia"/>
          <w:color w:val="000000"/>
        </w:rPr>
        <w:t> </w:t>
      </w:r>
    </w:p>
    <w:p w14:paraId="56E573C2"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Shaw, Bernard.</w:t>
      </w:r>
      <w:r w:rsidRPr="00D27CBD">
        <w:rPr>
          <w:rStyle w:val="apple-converted-space"/>
          <w:rFonts w:eastAsiaTheme="majorEastAsia"/>
          <w:color w:val="000000"/>
        </w:rPr>
        <w:t> </w:t>
      </w:r>
      <w:r w:rsidRPr="00D27CBD">
        <w:rPr>
          <w:i/>
          <w:iCs/>
          <w:color w:val="000000"/>
        </w:rPr>
        <w:t>Three Plays for Puritans</w:t>
      </w:r>
      <w:r w:rsidRPr="00D27CBD">
        <w:rPr>
          <w:color w:val="000000"/>
        </w:rPr>
        <w:t xml:space="preserve">. </w:t>
      </w:r>
      <w:proofErr w:type="spellStart"/>
      <w:r w:rsidRPr="00D27CBD">
        <w:rPr>
          <w:color w:val="000000"/>
        </w:rPr>
        <w:t>Nabu</w:t>
      </w:r>
      <w:proofErr w:type="spellEnd"/>
      <w:r w:rsidRPr="00D27CBD">
        <w:rPr>
          <w:color w:val="000000"/>
        </w:rPr>
        <w:t xml:space="preserve"> Press, Reprint 2010, Original 1910.</w:t>
      </w:r>
      <w:r w:rsidRPr="00D27CBD">
        <w:rPr>
          <w:rStyle w:val="apple-converted-space"/>
          <w:rFonts w:eastAsiaTheme="majorEastAsia"/>
          <w:color w:val="000000"/>
        </w:rPr>
        <w:t> </w:t>
      </w:r>
    </w:p>
    <w:p w14:paraId="3B96B5DD" w14:textId="77777777" w:rsidR="00901B00"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“Shakespeare Deed to the </w:t>
      </w:r>
      <w:proofErr w:type="spellStart"/>
      <w:r w:rsidRPr="00D27CBD">
        <w:rPr>
          <w:rStyle w:val="apple-converted-space"/>
          <w:rFonts w:eastAsiaTheme="majorEastAsia"/>
          <w:color w:val="000000"/>
        </w:rPr>
        <w:t>Blackfriars</w:t>
      </w:r>
      <w:proofErr w:type="spellEnd"/>
      <w:r w:rsidRPr="00D27CBD">
        <w:rPr>
          <w:rStyle w:val="apple-converted-space"/>
          <w:rFonts w:eastAsiaTheme="majorEastAsia"/>
          <w:color w:val="000000"/>
        </w:rPr>
        <w:t xml:space="preserve"> Property,” Metropolitan Archives, London 2r, MS 543.</w:t>
      </w:r>
    </w:p>
    <w:p w14:paraId="1FCBB7B4"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“Shakespeare </w:t>
      </w:r>
      <w:r>
        <w:rPr>
          <w:rStyle w:val="apple-converted-space"/>
          <w:rFonts w:eastAsiaTheme="majorEastAsia"/>
          <w:color w:val="000000"/>
        </w:rPr>
        <w:t>Mortgage for</w:t>
      </w:r>
      <w:r w:rsidRPr="00D27CBD">
        <w:rPr>
          <w:rStyle w:val="apple-converted-space"/>
          <w:rFonts w:eastAsiaTheme="majorEastAsia"/>
          <w:color w:val="000000"/>
        </w:rPr>
        <w:t xml:space="preserve"> </w:t>
      </w:r>
      <w:proofErr w:type="spellStart"/>
      <w:r w:rsidRPr="00D27CBD">
        <w:rPr>
          <w:rStyle w:val="apple-converted-space"/>
          <w:rFonts w:eastAsiaTheme="majorEastAsia"/>
          <w:color w:val="000000"/>
        </w:rPr>
        <w:t>Blackfriars</w:t>
      </w:r>
      <w:proofErr w:type="spellEnd"/>
      <w:r w:rsidRPr="00D27CBD">
        <w:rPr>
          <w:rStyle w:val="apple-converted-space"/>
          <w:rFonts w:eastAsiaTheme="majorEastAsia"/>
          <w:color w:val="000000"/>
        </w:rPr>
        <w:t xml:space="preserve"> Property,” Metropolitan Archives, London </w:t>
      </w:r>
      <w:r>
        <w:rPr>
          <w:rStyle w:val="apple-converted-space"/>
          <w:rFonts w:eastAsiaTheme="majorEastAsia"/>
          <w:color w:val="000000"/>
        </w:rPr>
        <w:t>3</w:t>
      </w:r>
      <w:r w:rsidRPr="00D27CBD">
        <w:rPr>
          <w:rStyle w:val="apple-converted-space"/>
          <w:rFonts w:eastAsiaTheme="majorEastAsia"/>
          <w:color w:val="000000"/>
        </w:rPr>
        <w:t>r, MS 54</w:t>
      </w:r>
      <w:r>
        <w:rPr>
          <w:rStyle w:val="apple-converted-space"/>
          <w:rFonts w:eastAsiaTheme="majorEastAsia"/>
          <w:color w:val="000000"/>
        </w:rPr>
        <w:t>5</w:t>
      </w:r>
      <w:r w:rsidRPr="00D27CBD">
        <w:rPr>
          <w:rStyle w:val="apple-converted-space"/>
          <w:rFonts w:eastAsiaTheme="majorEastAsia"/>
          <w:color w:val="000000"/>
        </w:rPr>
        <w:t>.</w:t>
      </w:r>
    </w:p>
    <w:p w14:paraId="655334C1"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proofErr w:type="spellStart"/>
      <w:r w:rsidRPr="00D27CBD">
        <w:rPr>
          <w:color w:val="000000"/>
        </w:rPr>
        <w:t>Stratmann</w:t>
      </w:r>
      <w:proofErr w:type="spellEnd"/>
      <w:r w:rsidRPr="00D27CBD">
        <w:rPr>
          <w:color w:val="000000"/>
        </w:rPr>
        <w:t>, Francis Henry, and Henry Bradley.</w:t>
      </w:r>
      <w:r w:rsidRPr="00D27CBD">
        <w:rPr>
          <w:rStyle w:val="apple-converted-space"/>
          <w:rFonts w:eastAsiaTheme="majorEastAsia"/>
          <w:color w:val="000000"/>
        </w:rPr>
        <w:t> </w:t>
      </w:r>
      <w:r w:rsidRPr="00D27CBD">
        <w:rPr>
          <w:i/>
          <w:iCs/>
          <w:color w:val="000000"/>
        </w:rPr>
        <w:t>A Middle-English Dictionary: Containing Words Used by English Writers from the Twelfth to the Fifteenth Century</w:t>
      </w:r>
      <w:r w:rsidRPr="00D27CBD">
        <w:rPr>
          <w:color w:val="000000"/>
        </w:rPr>
        <w:t>. Literary Licensing, 2014.</w:t>
      </w:r>
      <w:r w:rsidRPr="00D27CBD">
        <w:rPr>
          <w:rStyle w:val="apple-converted-space"/>
          <w:rFonts w:eastAsiaTheme="majorEastAsia"/>
          <w:color w:val="000000"/>
        </w:rPr>
        <w:t> </w:t>
      </w:r>
    </w:p>
    <w:p w14:paraId="441BAB14"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“The </w:t>
      </w:r>
      <w:proofErr w:type="spellStart"/>
      <w:r w:rsidRPr="00D27CBD">
        <w:rPr>
          <w:rStyle w:val="apple-converted-space"/>
          <w:rFonts w:eastAsiaTheme="majorEastAsia"/>
          <w:color w:val="000000"/>
        </w:rPr>
        <w:t>Booke</w:t>
      </w:r>
      <w:proofErr w:type="spellEnd"/>
      <w:r w:rsidRPr="00D27CBD">
        <w:rPr>
          <w:rStyle w:val="apple-converted-space"/>
          <w:rFonts w:eastAsiaTheme="majorEastAsia"/>
          <w:color w:val="000000"/>
        </w:rPr>
        <w:t xml:space="preserve"> of Sir Thomas More,” (1601-1604), Anthony Munday, Edmund </w:t>
      </w:r>
      <w:proofErr w:type="spellStart"/>
      <w:r w:rsidRPr="00D27CBD">
        <w:rPr>
          <w:rStyle w:val="apple-converted-space"/>
          <w:rFonts w:eastAsiaTheme="majorEastAsia"/>
          <w:color w:val="000000"/>
        </w:rPr>
        <w:t>Tillney</w:t>
      </w:r>
      <w:proofErr w:type="spellEnd"/>
      <w:r w:rsidRPr="00D27CBD">
        <w:rPr>
          <w:rStyle w:val="apple-converted-space"/>
          <w:rFonts w:eastAsiaTheme="majorEastAsia"/>
          <w:color w:val="000000"/>
        </w:rPr>
        <w:t xml:space="preserve">, Henry </w:t>
      </w:r>
      <w:proofErr w:type="spellStart"/>
      <w:r w:rsidRPr="00D27CBD">
        <w:rPr>
          <w:rStyle w:val="apple-converted-space"/>
          <w:rFonts w:eastAsiaTheme="majorEastAsia"/>
          <w:color w:val="000000"/>
        </w:rPr>
        <w:t>Chettle</w:t>
      </w:r>
      <w:proofErr w:type="spellEnd"/>
      <w:r w:rsidRPr="00D27CBD">
        <w:rPr>
          <w:rStyle w:val="apple-converted-space"/>
          <w:rFonts w:eastAsiaTheme="majorEastAsia"/>
          <w:color w:val="000000"/>
        </w:rPr>
        <w:t xml:space="preserve">, Thomas Heywood, William Shakespeare, Thomas Dekker, British Library, Harley MS 7368, ff. 8r, 8v, and 9v. </w:t>
      </w:r>
    </w:p>
    <w:p w14:paraId="747EE55F" w14:textId="77777777" w:rsidR="00901B00" w:rsidRPr="00D27CBD" w:rsidRDefault="00901B00" w:rsidP="00901B00">
      <w:pPr>
        <w:pStyle w:val="NormalWeb"/>
        <w:spacing w:line="480" w:lineRule="auto"/>
        <w:ind w:left="567" w:hanging="567"/>
        <w:contextualSpacing/>
        <w:rPr>
          <w:color w:val="000000"/>
        </w:rPr>
      </w:pPr>
      <w:r w:rsidRPr="00D27CBD">
        <w:rPr>
          <w:i/>
          <w:iCs/>
          <w:color w:val="000000"/>
        </w:rPr>
        <w:t>The Grammar School of King Edward the Sixth (Shakespeare's School) in Stratford-upon-Avon</w:t>
      </w:r>
      <w:r w:rsidRPr="00D27CBD">
        <w:rPr>
          <w:color w:val="000000"/>
        </w:rPr>
        <w:t>. G.W. Jones, Printer, 1919.</w:t>
      </w:r>
      <w:r w:rsidRPr="00D27CBD">
        <w:rPr>
          <w:rStyle w:val="apple-converted-space"/>
          <w:rFonts w:eastAsiaTheme="majorEastAsia"/>
          <w:color w:val="000000"/>
        </w:rPr>
        <w:t> </w:t>
      </w:r>
    </w:p>
    <w:p w14:paraId="433255D0"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 xml:space="preserve">Thompson, Edward </w:t>
      </w:r>
      <w:proofErr w:type="spellStart"/>
      <w:r w:rsidRPr="00D27CBD">
        <w:rPr>
          <w:color w:val="000000"/>
        </w:rPr>
        <w:t>Maunde</w:t>
      </w:r>
      <w:proofErr w:type="spellEnd"/>
      <w:r w:rsidRPr="00D27CBD">
        <w:rPr>
          <w:color w:val="000000"/>
        </w:rPr>
        <w:t>.</w:t>
      </w:r>
      <w:r w:rsidRPr="00D27CBD">
        <w:rPr>
          <w:rStyle w:val="apple-converted-space"/>
          <w:rFonts w:eastAsiaTheme="majorEastAsia"/>
          <w:color w:val="000000"/>
        </w:rPr>
        <w:t> </w:t>
      </w:r>
      <w:r w:rsidRPr="00D27CBD">
        <w:rPr>
          <w:i/>
          <w:iCs/>
          <w:color w:val="000000"/>
        </w:rPr>
        <w:t>William Shakespeare's Handwriting: A Study</w:t>
      </w:r>
      <w:r w:rsidRPr="00D27CBD">
        <w:rPr>
          <w:color w:val="000000"/>
        </w:rPr>
        <w:t>. Norwood Editions, 1978.</w:t>
      </w:r>
      <w:r w:rsidRPr="00D27CBD">
        <w:rPr>
          <w:rStyle w:val="apple-converted-space"/>
          <w:rFonts w:eastAsiaTheme="majorEastAsia"/>
          <w:color w:val="000000"/>
        </w:rPr>
        <w:t> </w:t>
      </w:r>
    </w:p>
    <w:p w14:paraId="6D928C44" w14:textId="29BEBAC0" w:rsidR="00901B00" w:rsidRPr="00FE0F52" w:rsidRDefault="00901B00" w:rsidP="00FE0F52">
      <w:pPr>
        <w:pStyle w:val="NormalWeb"/>
        <w:spacing w:line="480" w:lineRule="auto"/>
        <w:ind w:left="567" w:hanging="567"/>
        <w:contextualSpacing/>
        <w:rPr>
          <w:rFonts w:eastAsiaTheme="majorEastAsia"/>
          <w:color w:val="000000"/>
        </w:rPr>
      </w:pPr>
      <w:r w:rsidRPr="00D27CBD">
        <w:rPr>
          <w:color w:val="000000"/>
        </w:rPr>
        <w:t>Thurston, Herbert.</w:t>
      </w:r>
      <w:r w:rsidRPr="00D27CBD">
        <w:rPr>
          <w:rStyle w:val="apple-converted-space"/>
          <w:rFonts w:eastAsiaTheme="majorEastAsia"/>
          <w:color w:val="000000"/>
        </w:rPr>
        <w:t> </w:t>
      </w:r>
      <w:r w:rsidRPr="00D27CBD">
        <w:rPr>
          <w:i/>
          <w:iCs/>
          <w:color w:val="000000"/>
        </w:rPr>
        <w:t>Shakespeare's Handwriting</w:t>
      </w:r>
      <w:r w:rsidRPr="00D27CBD">
        <w:rPr>
          <w:color w:val="000000"/>
        </w:rPr>
        <w:t xml:space="preserve">. </w:t>
      </w:r>
      <w:proofErr w:type="spellStart"/>
      <w:r w:rsidRPr="00D27CBD">
        <w:rPr>
          <w:color w:val="000000"/>
        </w:rPr>
        <w:t>Simpkin</w:t>
      </w:r>
      <w:proofErr w:type="spellEnd"/>
      <w:r w:rsidRPr="00D27CBD">
        <w:rPr>
          <w:color w:val="000000"/>
        </w:rPr>
        <w:t xml:space="preserve">, Marshall &amp; Company Press </w:t>
      </w:r>
      <w:proofErr w:type="gramStart"/>
      <w:r w:rsidRPr="00D27CBD">
        <w:rPr>
          <w:color w:val="000000"/>
        </w:rPr>
        <w:t>London,,</w:t>
      </w:r>
      <w:proofErr w:type="gramEnd"/>
      <w:r w:rsidRPr="00D27CBD">
        <w:rPr>
          <w:color w:val="000000"/>
        </w:rPr>
        <w:t xml:space="preserve"> 1914.</w:t>
      </w:r>
    </w:p>
    <w:p w14:paraId="2A1BFDD9" w14:textId="77777777" w:rsidR="00901B00" w:rsidRPr="00D27CBD" w:rsidRDefault="00901B00" w:rsidP="00901B00">
      <w:pPr>
        <w:spacing w:line="480" w:lineRule="auto"/>
        <w:contextualSpacing/>
        <w:rPr>
          <w:rFonts w:ascii="Times New Roman" w:hAnsi="Times New Roman" w:cs="Times New Roman"/>
        </w:rPr>
      </w:pPr>
    </w:p>
    <w:p w14:paraId="0EE62BF3" w14:textId="77777777" w:rsidR="00901B00" w:rsidRPr="00D27CBD" w:rsidRDefault="00901B00" w:rsidP="00901B00">
      <w:pPr>
        <w:spacing w:line="480" w:lineRule="auto"/>
        <w:contextualSpacing/>
        <w:rPr>
          <w:rFonts w:ascii="Times New Roman" w:hAnsi="Times New Roman" w:cs="Times New Roman"/>
        </w:rPr>
      </w:pPr>
      <w:r w:rsidRPr="00D27CBD">
        <w:rPr>
          <w:rFonts w:ascii="Times New Roman" w:hAnsi="Times New Roman" w:cs="Times New Roman"/>
        </w:rPr>
        <w:tab/>
      </w:r>
    </w:p>
    <w:p w14:paraId="2F30D302" w14:textId="77777777" w:rsidR="00901B00" w:rsidRPr="00D27CBD" w:rsidRDefault="00901B00" w:rsidP="00901B00">
      <w:pPr>
        <w:spacing w:line="480" w:lineRule="auto"/>
        <w:contextualSpacing/>
        <w:rPr>
          <w:rFonts w:ascii="Times New Roman" w:hAnsi="Times New Roman" w:cs="Times New Roman"/>
        </w:rPr>
      </w:pPr>
      <w:r w:rsidRPr="00D27CBD">
        <w:rPr>
          <w:rFonts w:ascii="Times New Roman" w:hAnsi="Times New Roman" w:cs="Times New Roman"/>
        </w:rPr>
        <w:lastRenderedPageBreak/>
        <w:tab/>
      </w:r>
    </w:p>
    <w:p w14:paraId="7F1BC35F" w14:textId="77777777" w:rsidR="00901B00" w:rsidRPr="00D27CBD" w:rsidRDefault="00901B00" w:rsidP="00901B00">
      <w:pPr>
        <w:spacing w:line="480" w:lineRule="auto"/>
        <w:contextualSpacing/>
        <w:jc w:val="center"/>
        <w:rPr>
          <w:rFonts w:ascii="Times New Roman" w:hAnsi="Times New Roman" w:cs="Times New Roman"/>
        </w:rPr>
      </w:pPr>
    </w:p>
    <w:p w14:paraId="672316EF" w14:textId="77777777" w:rsidR="00901B00" w:rsidRPr="00D27CBD" w:rsidRDefault="00901B00" w:rsidP="00901B00">
      <w:pPr>
        <w:spacing w:line="480" w:lineRule="auto"/>
        <w:contextualSpacing/>
        <w:rPr>
          <w:rFonts w:ascii="Times New Roman" w:hAnsi="Times New Roman" w:cs="Times New Roman"/>
        </w:rPr>
      </w:pPr>
    </w:p>
    <w:p w14:paraId="4833BF97" w14:textId="77777777" w:rsidR="00901B00" w:rsidRPr="00D27CBD" w:rsidRDefault="00901B00" w:rsidP="00901B00">
      <w:pPr>
        <w:spacing w:line="480" w:lineRule="auto"/>
        <w:contextualSpacing/>
        <w:rPr>
          <w:rFonts w:ascii="Times New Roman" w:hAnsi="Times New Roman" w:cs="Times New Roman"/>
        </w:rPr>
      </w:pPr>
    </w:p>
    <w:p w14:paraId="4D49A823" w14:textId="77777777" w:rsidR="00403811" w:rsidRDefault="00403811"/>
    <w:sectPr w:rsidR="0040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11"/>
    <w:rsid w:val="000E707F"/>
    <w:rsid w:val="00191EAB"/>
    <w:rsid w:val="00306521"/>
    <w:rsid w:val="00395B31"/>
    <w:rsid w:val="00403811"/>
    <w:rsid w:val="00431B18"/>
    <w:rsid w:val="004A4C24"/>
    <w:rsid w:val="00637A06"/>
    <w:rsid w:val="008A0FE6"/>
    <w:rsid w:val="00901B00"/>
    <w:rsid w:val="00AB1923"/>
    <w:rsid w:val="00BF2995"/>
    <w:rsid w:val="00DF4581"/>
    <w:rsid w:val="00E62E43"/>
    <w:rsid w:val="00E83011"/>
    <w:rsid w:val="00EB16DF"/>
    <w:rsid w:val="00EF0E91"/>
    <w:rsid w:val="00F022FC"/>
    <w:rsid w:val="00FB32BA"/>
    <w:rsid w:val="00FE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A7E0D"/>
  <w15:chartTrackingRefBased/>
  <w15:docId w15:val="{EE655372-5128-B046-9D52-9019544B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11"/>
    <w:rPr>
      <w:kern w:val="0"/>
      <w14:ligatures w14:val="none"/>
    </w:rPr>
  </w:style>
  <w:style w:type="paragraph" w:styleId="Heading1">
    <w:name w:val="heading 1"/>
    <w:basedOn w:val="Normal"/>
    <w:next w:val="Normal"/>
    <w:link w:val="Heading1Char"/>
    <w:uiPriority w:val="9"/>
    <w:qFormat/>
    <w:rsid w:val="00E8301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301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3011"/>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3011"/>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83011"/>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83011"/>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83011"/>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83011"/>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83011"/>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11"/>
    <w:rPr>
      <w:rFonts w:eastAsiaTheme="majorEastAsia" w:cstheme="majorBidi"/>
      <w:color w:val="272727" w:themeColor="text1" w:themeTint="D8"/>
    </w:rPr>
  </w:style>
  <w:style w:type="paragraph" w:styleId="Title">
    <w:name w:val="Title"/>
    <w:basedOn w:val="Normal"/>
    <w:next w:val="Normal"/>
    <w:link w:val="TitleChar"/>
    <w:uiPriority w:val="10"/>
    <w:qFormat/>
    <w:rsid w:val="00E830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11"/>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11"/>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83011"/>
    <w:rPr>
      <w:i/>
      <w:iCs/>
      <w:color w:val="404040" w:themeColor="text1" w:themeTint="BF"/>
    </w:rPr>
  </w:style>
  <w:style w:type="paragraph" w:styleId="ListParagraph">
    <w:name w:val="List Paragraph"/>
    <w:basedOn w:val="Normal"/>
    <w:uiPriority w:val="34"/>
    <w:qFormat/>
    <w:rsid w:val="00E83011"/>
    <w:pPr>
      <w:ind w:left="720"/>
      <w:contextualSpacing/>
    </w:pPr>
    <w:rPr>
      <w:kern w:val="2"/>
      <w14:ligatures w14:val="standardContextual"/>
    </w:rPr>
  </w:style>
  <w:style w:type="character" w:styleId="IntenseEmphasis">
    <w:name w:val="Intense Emphasis"/>
    <w:basedOn w:val="DefaultParagraphFont"/>
    <w:uiPriority w:val="21"/>
    <w:qFormat/>
    <w:rsid w:val="00E83011"/>
    <w:rPr>
      <w:i/>
      <w:iCs/>
      <w:color w:val="0F4761" w:themeColor="accent1" w:themeShade="BF"/>
    </w:rPr>
  </w:style>
  <w:style w:type="paragraph" w:styleId="IntenseQuote">
    <w:name w:val="Intense Quote"/>
    <w:basedOn w:val="Normal"/>
    <w:next w:val="Normal"/>
    <w:link w:val="IntenseQuoteChar"/>
    <w:uiPriority w:val="30"/>
    <w:qFormat/>
    <w:rsid w:val="00E8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83011"/>
    <w:rPr>
      <w:i/>
      <w:iCs/>
      <w:color w:val="0F4761" w:themeColor="accent1" w:themeShade="BF"/>
    </w:rPr>
  </w:style>
  <w:style w:type="character" w:styleId="IntenseReference">
    <w:name w:val="Intense Reference"/>
    <w:basedOn w:val="DefaultParagraphFont"/>
    <w:uiPriority w:val="32"/>
    <w:qFormat/>
    <w:rsid w:val="00E83011"/>
    <w:rPr>
      <w:b/>
      <w:bCs/>
      <w:smallCaps/>
      <w:color w:val="0F4761" w:themeColor="accent1" w:themeShade="BF"/>
      <w:spacing w:val="5"/>
    </w:rPr>
  </w:style>
  <w:style w:type="character" w:customStyle="1" w:styleId="apple-converted-space">
    <w:name w:val="apple-converted-space"/>
    <w:basedOn w:val="DefaultParagraphFont"/>
    <w:rsid w:val="00E83011"/>
  </w:style>
  <w:style w:type="paragraph" w:styleId="NormalWeb">
    <w:name w:val="Normal (Web)"/>
    <w:basedOn w:val="Normal"/>
    <w:uiPriority w:val="99"/>
    <w:unhideWhenUsed/>
    <w:rsid w:val="00901B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707F"/>
    <w:rPr>
      <w:color w:val="467886" w:themeColor="hyperlink"/>
      <w:u w:val="single"/>
    </w:rPr>
  </w:style>
  <w:style w:type="character" w:styleId="UnresolvedMention">
    <w:name w:val="Unresolved Mention"/>
    <w:basedOn w:val="DefaultParagraphFont"/>
    <w:uiPriority w:val="99"/>
    <w:semiHidden/>
    <w:unhideWhenUsed/>
    <w:rsid w:val="000E707F"/>
    <w:rPr>
      <w:color w:val="605E5C"/>
      <w:shd w:val="clear" w:color="auto" w:fill="E1DFDD"/>
    </w:rPr>
  </w:style>
  <w:style w:type="character" w:styleId="FollowedHyperlink">
    <w:name w:val="FollowedHyperlink"/>
    <w:basedOn w:val="DefaultParagraphFont"/>
    <w:uiPriority w:val="99"/>
    <w:semiHidden/>
    <w:unhideWhenUsed/>
    <w:rsid w:val="000E70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2911</Words>
  <Characters>15837</Characters>
  <Application>Microsoft Office Word</Application>
  <DocSecurity>0</DocSecurity>
  <Lines>386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Marie Rogus</dc:creator>
  <cp:keywords/>
  <dc:description/>
  <cp:lastModifiedBy>Amanda Marie Rogus</cp:lastModifiedBy>
  <cp:revision>3</cp:revision>
  <dcterms:created xsi:type="dcterms:W3CDTF">2024-03-25T03:23:00Z</dcterms:created>
  <dcterms:modified xsi:type="dcterms:W3CDTF">2024-04-14T22:06:00Z</dcterms:modified>
</cp:coreProperties>
</file>