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23C" w:rsidRPr="0014024D" w:rsidRDefault="004B09F1">
      <w:pPr>
        <w:pStyle w:val="Ttulo"/>
        <w:rPr>
          <w:lang w:val="pt-BR"/>
        </w:rPr>
      </w:pPr>
      <w:r w:rsidRPr="0014024D">
        <w:rPr>
          <w:lang w:val="pt-BR"/>
        </w:rPr>
        <w:t>Relatorio Final - Projetos de Análise de Dados Usando R</w:t>
      </w:r>
    </w:p>
    <w:p w:rsidR="0069223C" w:rsidRPr="0014024D" w:rsidRDefault="004B09F1" w:rsidP="0014024D">
      <w:pPr>
        <w:pStyle w:val="Author"/>
        <w:jc w:val="center"/>
        <w:rPr>
          <w:lang w:val="pt-BR"/>
        </w:rPr>
      </w:pPr>
      <w:r w:rsidRPr="0014024D">
        <w:rPr>
          <w:lang w:val="pt-BR"/>
        </w:rPr>
        <w:t>Amanda Narcizo</w:t>
      </w:r>
    </w:p>
    <w:p w:rsidR="0069223C" w:rsidRPr="0014024D" w:rsidRDefault="004B09F1">
      <w:pPr>
        <w:pStyle w:val="Data"/>
        <w:rPr>
          <w:lang w:val="pt-BR"/>
        </w:rPr>
      </w:pPr>
      <w:r w:rsidRPr="0014024D">
        <w:rPr>
          <w:lang w:val="pt-BR"/>
        </w:rPr>
        <w:t>19/03/2020</w:t>
      </w:r>
    </w:p>
    <w:p w:rsidR="0069223C" w:rsidRPr="0014024D" w:rsidRDefault="004B09F1">
      <w:pPr>
        <w:pStyle w:val="Ttulo2"/>
        <w:rPr>
          <w:lang w:val="pt-BR"/>
        </w:rPr>
      </w:pPr>
      <w:bookmarkStart w:id="0" w:name="introdução"/>
      <w:r w:rsidRPr="0014024D">
        <w:rPr>
          <w:lang w:val="pt-BR"/>
        </w:rPr>
        <w:t>INTRODUÇÃO</w:t>
      </w:r>
      <w:bookmarkEnd w:id="0"/>
    </w:p>
    <w:p w:rsidR="0069223C" w:rsidRPr="0014024D" w:rsidRDefault="004B09F1">
      <w:pPr>
        <w:pStyle w:val="FirstParagraph"/>
        <w:rPr>
          <w:lang w:val="pt-BR"/>
        </w:rPr>
      </w:pPr>
      <w:r w:rsidRPr="0014024D">
        <w:rPr>
          <w:lang w:val="pt-BR"/>
        </w:rPr>
        <w:t xml:space="preserve">Espécies invasoras, segundo apresentado por Moro et al. (2012), são </w:t>
      </w:r>
      <w:r w:rsidRPr="0014024D">
        <w:rPr>
          <w:lang w:val="pt-BR"/>
        </w:rPr>
        <w:t xml:space="preserve">espécies – que ocorrem naquela região biogeográfica graças ao transporte humano intencional ou não – que conseguem se reproduzir e aumentar seu tamanho populacional estabelecendo-se no local e também se dispersando de forma eficiente. Essas espécies podem </w:t>
      </w:r>
      <w:r w:rsidRPr="0014024D">
        <w:rPr>
          <w:lang w:val="pt-BR"/>
        </w:rPr>
        <w:t>muitas vezes promover impactos negativos nos ecossistemas eos quais elas chegam, como apontam diversos estudos, tais como: consequências como alterações na estrutura e composição da comunidade, na ciclagem de nutrientes, no acúmulo de serapilheira e de bio</w:t>
      </w:r>
      <w:r w:rsidRPr="0014024D">
        <w:rPr>
          <w:lang w:val="pt-BR"/>
        </w:rPr>
        <w:t>massa (Hardman et al. (2012), Marod et al. (2012)). Além disso, há estudos que também apontam que essas espécies podem promover a redução da biodiversidade e impactos socioeconômicos negativos (Gilbert and Levine (2013), Bellingham et al. (2018), Reaser et</w:t>
      </w:r>
      <w:r w:rsidRPr="0014024D">
        <w:rPr>
          <w:lang w:val="pt-BR"/>
        </w:rPr>
        <w:t xml:space="preserve"> al. (2007)). Embora essas consequências sejam citadas, a elucidação insuficiente da influência de espécies exóticas invasoras nas comunidades pode acarretar situações onde grandes esforços de erradicação das mesmas culminam em consequências diretas ou ind</w:t>
      </w:r>
      <w:r w:rsidRPr="0014024D">
        <w:rPr>
          <w:lang w:val="pt-BR"/>
        </w:rPr>
        <w:t>iretas ainda maiores para o ecossistema (Bergstrom et al. (2009)). Consequências tais como a indução de invasões secundárias por outras espécies exóticas invasoras após iniciativas de manejo (González et al. (2017)). Dessa forma, antes de prejulgar o impac</w:t>
      </w:r>
      <w:r w:rsidRPr="0014024D">
        <w:rPr>
          <w:lang w:val="pt-BR"/>
        </w:rPr>
        <w:t>to da espécie e propor iniciativas de manejo é imprescindível investigar qual o papel daquela espécie no ecossistema em estudo, para que medidas de conservação eficientes possam ser tomadas e recursos não sejam desperdiçados (Davis et al. (2011)). A partir</w:t>
      </w:r>
      <w:r w:rsidRPr="0014024D">
        <w:rPr>
          <w:lang w:val="pt-BR"/>
        </w:rPr>
        <w:t xml:space="preserve"> desta perspectiva a seguinte pergunta é proposta: As espécies </w:t>
      </w:r>
      <w:r w:rsidRPr="0014024D">
        <w:rPr>
          <w:lang w:val="pt-BR"/>
        </w:rPr>
        <w:lastRenderedPageBreak/>
        <w:t>exóticas invasoras aqui estudadas estão promovendo alterações negativas na regeneração natural de espécies nativas em florestas de restinga?</w:t>
      </w:r>
    </w:p>
    <w:p w:rsidR="0069223C" w:rsidRPr="0014024D" w:rsidRDefault="004B09F1">
      <w:pPr>
        <w:pStyle w:val="Ttulo2"/>
        <w:rPr>
          <w:lang w:val="pt-BR"/>
        </w:rPr>
      </w:pPr>
      <w:bookmarkStart w:id="1" w:name="metodologia"/>
      <w:r w:rsidRPr="0014024D">
        <w:rPr>
          <w:lang w:val="pt-BR"/>
        </w:rPr>
        <w:t>METODOLOGIA</w:t>
      </w:r>
      <w:bookmarkEnd w:id="1"/>
    </w:p>
    <w:p w:rsidR="0069223C" w:rsidRPr="0014024D" w:rsidRDefault="004B09F1">
      <w:pPr>
        <w:pStyle w:val="Ttulo3"/>
        <w:rPr>
          <w:lang w:val="pt-BR"/>
        </w:rPr>
      </w:pPr>
      <w:bookmarkStart w:id="2" w:name="área-de-estudo"/>
      <w:r w:rsidRPr="0014024D">
        <w:rPr>
          <w:lang w:val="pt-BR"/>
        </w:rPr>
        <w:t>ÁREA DE ESTUDO</w:t>
      </w:r>
      <w:bookmarkEnd w:id="2"/>
    </w:p>
    <w:p w:rsidR="0069223C" w:rsidRPr="0014024D" w:rsidRDefault="004B09F1">
      <w:pPr>
        <w:pStyle w:val="FirstParagraph"/>
        <w:rPr>
          <w:lang w:val="pt-BR"/>
        </w:rPr>
      </w:pPr>
      <w:r w:rsidRPr="0014024D">
        <w:rPr>
          <w:lang w:val="pt-BR"/>
        </w:rPr>
        <w:t>O estudo foi realizado na</w:t>
      </w:r>
      <w:r w:rsidRPr="0014024D">
        <w:rPr>
          <w:lang w:val="pt-BR"/>
        </w:rPr>
        <w:t xml:space="preserve"> unidade de conservação Parque Natural Municipal Bosque da Barra (54 ha), localizado na cidade do Rio de Janeiro. Nesta área há a predominância da formação vegetacional de restingas, que são ambientes geologicamente recentes,sendo formadas por depósitos ma</w:t>
      </w:r>
      <w:r w:rsidRPr="0014024D">
        <w:rPr>
          <w:lang w:val="pt-BR"/>
        </w:rPr>
        <w:t>rinhos quaternários que criaram barreiras ao longo dacosta, aprisionando lagunas e formando cordões arenosos paralelos e depressões entre eles.</w:t>
      </w:r>
    </w:p>
    <w:p w:rsidR="0069223C" w:rsidRDefault="004B09F1" w:rsidP="0014024D">
      <w:pPr>
        <w:jc w:val="center"/>
      </w:pPr>
      <w:r>
        <w:rPr>
          <w:noProof/>
        </w:rPr>
        <w:drawing>
          <wp:inline distT="0" distB="0" distL="0" distR="0">
            <wp:extent cx="3388092" cy="2858703"/>
            <wp:effectExtent l="0" t="0" r="0" b="0"/>
            <wp:docPr id="1" name="Picture" descr="Mapa do Parque Natural Municipal Bosque da Barra, Rio de Janeiro, RJ. SMAC (201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s/figura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3C" w:rsidRPr="0014024D" w:rsidRDefault="004B09F1">
      <w:pPr>
        <w:pStyle w:val="ImageCaption"/>
        <w:rPr>
          <w:lang w:val="pt-BR"/>
        </w:rPr>
      </w:pPr>
      <w:r w:rsidRPr="0014024D">
        <w:rPr>
          <w:lang w:val="pt-BR"/>
        </w:rPr>
        <w:t>Mapa do Parque Natural Municipal Bosque da Barra, Rio de Janeiro, RJ. SMAC (2014)</w:t>
      </w:r>
    </w:p>
    <w:p w:rsidR="0069223C" w:rsidRPr="0014024D" w:rsidRDefault="004B09F1">
      <w:pPr>
        <w:pStyle w:val="Corpodetexto"/>
        <w:rPr>
          <w:lang w:val="pt-BR"/>
        </w:rPr>
      </w:pPr>
      <w:r w:rsidRPr="0014024D">
        <w:rPr>
          <w:lang w:val="pt-BR"/>
        </w:rPr>
        <w:t>Visando elucidar parte desta</w:t>
      </w:r>
      <w:r w:rsidRPr="0014024D">
        <w:rPr>
          <w:lang w:val="pt-BR"/>
        </w:rPr>
        <w:t xml:space="preserve"> pergunta, foram amostrados regenerantes com altura até 30 cm a partir de sub-parcelas de 1x1m sob três diferentes tratamentos. Sendo eles, sob a copa de espécies nativas presentes na área de estudo (10 parcelas), sob a copa da espécie asiática </w:t>
      </w:r>
      <w:r w:rsidRPr="0014024D">
        <w:rPr>
          <w:i/>
          <w:lang w:val="pt-BR"/>
        </w:rPr>
        <w:t xml:space="preserve">Talipariti </w:t>
      </w:r>
      <w:r w:rsidRPr="0014024D">
        <w:rPr>
          <w:i/>
          <w:lang w:val="pt-BR"/>
        </w:rPr>
        <w:t>tiliacium</w:t>
      </w:r>
      <w:r w:rsidRPr="0014024D">
        <w:rPr>
          <w:lang w:val="pt-BR"/>
        </w:rPr>
        <w:t xml:space="preserve"> comumente conhecida como algodoeiro-da-praia (15 parcelas) e sob a copa da espécie </w:t>
      </w:r>
      <w:r w:rsidRPr="0014024D">
        <w:rPr>
          <w:i/>
          <w:lang w:val="pt-BR"/>
        </w:rPr>
        <w:t>Syzygium cumini</w:t>
      </w:r>
      <w:r w:rsidRPr="0014024D">
        <w:rPr>
          <w:lang w:val="pt-BR"/>
        </w:rPr>
        <w:t>, o jamelão (15 parcelas).</w:t>
      </w:r>
    </w:p>
    <w:p w:rsidR="0069223C" w:rsidRPr="0014024D" w:rsidRDefault="004B09F1">
      <w:pPr>
        <w:pStyle w:val="Ttulo3"/>
        <w:rPr>
          <w:lang w:val="pt-BR"/>
        </w:rPr>
      </w:pPr>
      <w:bookmarkStart w:id="3" w:name="análise-de-dados"/>
      <w:r w:rsidRPr="0014024D">
        <w:rPr>
          <w:lang w:val="pt-BR"/>
        </w:rPr>
        <w:lastRenderedPageBreak/>
        <w:t>ANÁLISE DE DADOS</w:t>
      </w:r>
      <w:bookmarkEnd w:id="3"/>
    </w:p>
    <w:p w:rsidR="0069223C" w:rsidRPr="0014024D" w:rsidRDefault="004B09F1">
      <w:pPr>
        <w:pStyle w:val="FirstParagraph"/>
        <w:rPr>
          <w:lang w:val="pt-BR"/>
        </w:rPr>
      </w:pPr>
      <w:r w:rsidRPr="0014024D">
        <w:rPr>
          <w:lang w:val="pt-BR"/>
        </w:rPr>
        <w:t>Primeiramente para poder comparar se havia diferenca significante entre a abundancia de regenerantes nos</w:t>
      </w:r>
      <w:r w:rsidRPr="0014024D">
        <w:rPr>
          <w:lang w:val="pt-BR"/>
        </w:rPr>
        <w:t xml:space="preserve"> diferentes tratamentos foi necessário checar primeiramente a normalidade dos dados com o uso do teste de Shapiro-Wilkis. Uma vez que os dados não correspoderam as premissas de normalidade em sua totalidade, para comparar os tratamentos foi o utilizado a u</w:t>
      </w:r>
      <w:r w:rsidRPr="0014024D">
        <w:rPr>
          <w:lang w:val="pt-BR"/>
        </w:rPr>
        <w:t>tilizado a análise não-paramétrica de Kruskal-Wallis e a análise de Bonferroni como teste a posteriori.</w:t>
      </w:r>
    </w:p>
    <w:p w:rsidR="0069223C" w:rsidRPr="0014024D" w:rsidRDefault="004B09F1">
      <w:pPr>
        <w:pStyle w:val="Ttulo2"/>
        <w:rPr>
          <w:lang w:val="pt-BR"/>
        </w:rPr>
      </w:pPr>
      <w:bookmarkStart w:id="4" w:name="resultados"/>
      <w:r w:rsidRPr="0014024D">
        <w:rPr>
          <w:lang w:val="pt-BR"/>
        </w:rPr>
        <w:t>RESULTADOS</w:t>
      </w:r>
      <w:bookmarkEnd w:id="4"/>
    </w:p>
    <w:p w:rsidR="0069223C" w:rsidRPr="0014024D" w:rsidRDefault="004B09F1">
      <w:pPr>
        <w:pStyle w:val="FirstParagraph"/>
        <w:rPr>
          <w:lang w:val="pt-BR"/>
        </w:rPr>
      </w:pPr>
      <w:r w:rsidRPr="0014024D">
        <w:rPr>
          <w:lang w:val="pt-BR"/>
        </w:rPr>
        <w:t>A distruibuição da abundância de indivíduos regenerantes com altura menor do que 30 cm nos tratamentos está ilustrada no gráfico de boxplot (</w:t>
      </w:r>
      <w:r w:rsidRPr="0014024D">
        <w:rPr>
          <w:lang w:val="pt-BR"/>
        </w:rPr>
        <w:t>Figura 1). Sob a copa de espécies nativas a abundância de regenerantes teve mediana = 180 e média = 217.6, diferentemente dos tratamentos sob a copa de espécies exóticas S.cumini e T.tiliacium que tiveram mediana = 4 e médias = 6.2 e 4.8, respectivamente.</w:t>
      </w:r>
    </w:p>
    <w:p w:rsidR="0069223C" w:rsidRDefault="004B09F1">
      <w:r>
        <w:rPr>
          <w:noProof/>
        </w:rPr>
        <w:drawing>
          <wp:inline distT="0" distB="0" distL="0" distR="0">
            <wp:extent cx="5727700" cy="2863850"/>
            <wp:effectExtent l="0" t="0" r="0" b="0"/>
            <wp:docPr id="2" name="Picture" descr="Boxplot da distribuição dos indivíduos regenerantes sob os diferentes tratamentos: Hibisco da praia (T._tiliacium_), Jamelão (S._cumini_) e espécies nati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/figura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23C" w:rsidRPr="0014024D" w:rsidRDefault="004B09F1">
      <w:pPr>
        <w:pStyle w:val="ImageCaption"/>
        <w:rPr>
          <w:lang w:val="pt-BR"/>
        </w:rPr>
      </w:pPr>
      <w:r w:rsidRPr="0014024D">
        <w:rPr>
          <w:lang w:val="pt-BR"/>
        </w:rPr>
        <w:t>Boxplot da distribuição dos indivíduos regenerantes sob os diferentes tratamentos: Hibisco da praia (T._tiliacium_), Jamelão (S._cumini_) e espécies nativas</w:t>
      </w:r>
    </w:p>
    <w:p w:rsidR="0069223C" w:rsidRPr="0014024D" w:rsidRDefault="004B09F1">
      <w:pPr>
        <w:pStyle w:val="Corpodetexto"/>
        <w:rPr>
          <w:lang w:val="pt-BR"/>
        </w:rPr>
      </w:pPr>
      <w:r w:rsidRPr="0014024D">
        <w:rPr>
          <w:lang w:val="pt-BR"/>
        </w:rPr>
        <w:lastRenderedPageBreak/>
        <w:t>Há diferença significativa entre a abundância de indivíduos sob diferentes tratamentos (H= 22.132</w:t>
      </w:r>
      <w:r w:rsidRPr="0014024D">
        <w:rPr>
          <w:lang w:val="pt-BR"/>
        </w:rPr>
        <w:t>, p &lt; 0.05). Quando comparados par a par, os tratamentos sob a copa de S.cumini e T.tiliacium não diferiram significativamente (p &gt; 0.05), porém ambos tratamentos quando comparados com a abundância de regenerantes sob a copa de espécies nativas apresentara</w:t>
      </w:r>
      <w:r w:rsidRPr="0014024D">
        <w:rPr>
          <w:lang w:val="pt-BR"/>
        </w:rPr>
        <w:t>m diferença significativa assim como era o esperado.</w:t>
      </w:r>
    </w:p>
    <w:p w:rsidR="0069223C" w:rsidRDefault="004B09F1">
      <w:pPr>
        <w:pStyle w:val="SourceCode"/>
      </w:pPr>
      <w:r>
        <w:rPr>
          <w:rStyle w:val="VerbatimChar"/>
        </w:rPr>
        <w:t>## [1] "data/data_regeneracao.csv"</w:t>
      </w:r>
    </w:p>
    <w:p w:rsidR="0069223C" w:rsidRDefault="004B09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ab_reg and trat</w:t>
      </w:r>
      <w:r>
        <w:br/>
      </w:r>
      <w:r>
        <w:rPr>
          <w:rStyle w:val="VerbatimChar"/>
        </w:rPr>
        <w:t>## Kruskal-Wallis chi-squared = 22.132, df = 2, p-value = 1.564e-05</w:t>
      </w:r>
    </w:p>
    <w:p w:rsidR="0069223C" w:rsidRDefault="004B09F1">
      <w:pPr>
        <w:pStyle w:val="SourceCode"/>
      </w:pPr>
      <w:r>
        <w:rPr>
          <w:rStyle w:val="VerbatimChar"/>
        </w:rPr>
        <w:t>##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ab_reg and trat</w:t>
      </w:r>
      <w:r>
        <w:br/>
      </w:r>
      <w:r>
        <w:rPr>
          <w:rStyle w:val="VerbatimChar"/>
        </w:rPr>
        <w:t>## Kruskal-Wallis chi-squared = 22.1315, df = 2, p-value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Comparison of ab_reg by trat                          </w:t>
      </w:r>
      <w:r>
        <w:br/>
      </w:r>
      <w:r>
        <w:rPr>
          <w:rStyle w:val="VerbatimChar"/>
        </w:rPr>
        <w:t xml:space="preserve">##                                  (Bonferroni)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Col Mean-|</w:t>
      </w:r>
      <w:r>
        <w:br/>
      </w:r>
      <w:r>
        <w:rPr>
          <w:rStyle w:val="VerbatimChar"/>
        </w:rPr>
        <w:t>## Row Mean |    Hibisco    Jamelao</w:t>
      </w:r>
      <w:r>
        <w:br/>
      </w:r>
      <w:r>
        <w:rPr>
          <w:rStyle w:val="VerbatimChar"/>
        </w:rPr>
        <w:t>## ---------+----------------------</w:t>
      </w:r>
      <w:r>
        <w:br/>
      </w:r>
      <w:r>
        <w:rPr>
          <w:rStyle w:val="VerbatimChar"/>
        </w:rPr>
        <w:t>##  Jamelao |  -0.203666</w:t>
      </w:r>
      <w:r>
        <w:br/>
      </w:r>
      <w:r>
        <w:rPr>
          <w:rStyle w:val="VerbatimChar"/>
        </w:rPr>
        <w:t>##          |     1.0000</w:t>
      </w:r>
      <w:r>
        <w:br/>
      </w:r>
      <w:r>
        <w:rPr>
          <w:rStyle w:val="VerbatimChar"/>
        </w:rPr>
        <w:t>##          |</w:t>
      </w:r>
      <w:r>
        <w:br/>
      </w:r>
      <w:r>
        <w:rPr>
          <w:rStyle w:val="VerbatimChar"/>
        </w:rPr>
        <w:t>##  Nativas |  -4.294896  -4.112730</w:t>
      </w:r>
      <w:r>
        <w:br/>
      </w:r>
      <w:r>
        <w:rPr>
          <w:rStyle w:val="VerbatimChar"/>
        </w:rPr>
        <w:t>##          |    0.0000*    0.0001*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alpha = 0.05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ject Ho if p &lt;= alpha/2</w:t>
      </w:r>
    </w:p>
    <w:p w:rsidR="0014024D" w:rsidRDefault="0014024D">
      <w:pPr>
        <w:pStyle w:val="Ttulo2"/>
      </w:pPr>
      <w:bookmarkStart w:id="5" w:name="referências"/>
    </w:p>
    <w:p w:rsidR="0014024D" w:rsidRDefault="0014024D" w:rsidP="0014024D">
      <w:pPr>
        <w:pStyle w:val="Corpodetexto"/>
      </w:pPr>
    </w:p>
    <w:p w:rsidR="0014024D" w:rsidRPr="0014024D" w:rsidRDefault="0014024D" w:rsidP="0014024D">
      <w:pPr>
        <w:pStyle w:val="Corpodetexto"/>
      </w:pPr>
    </w:p>
    <w:p w:rsidR="0069223C" w:rsidRDefault="004B09F1">
      <w:pPr>
        <w:pStyle w:val="Ttulo2"/>
      </w:pPr>
      <w:r>
        <w:lastRenderedPageBreak/>
        <w:t>REFERÊNCIAS</w:t>
      </w:r>
      <w:bookmarkEnd w:id="5"/>
    </w:p>
    <w:p w:rsidR="0069223C" w:rsidRDefault="004B09F1">
      <w:pPr>
        <w:pStyle w:val="Bibliografia"/>
      </w:pPr>
      <w:bookmarkStart w:id="6" w:name="ref-bellingham_endemic_2018"/>
      <w:bookmarkStart w:id="7" w:name="refs"/>
      <w:r>
        <w:t>Belling</w:t>
      </w:r>
      <w:bookmarkStart w:id="8" w:name="_GoBack"/>
      <w:bookmarkEnd w:id="8"/>
      <w:r>
        <w:t>ham, P. J., E. V. Tanner, P. H. Martin, J. R. Healey, and O. R. Burge. 2018. Endemic trees in a tropical biodiversity hotspot imperilled by an invasive tree. Biological Conservation 217:47–53.</w:t>
      </w:r>
    </w:p>
    <w:p w:rsidR="0069223C" w:rsidRDefault="004B09F1">
      <w:pPr>
        <w:pStyle w:val="Bibliografia"/>
      </w:pPr>
      <w:bookmarkStart w:id="9" w:name="ref-bergstrom_indirect_2009"/>
      <w:bookmarkEnd w:id="6"/>
      <w:r>
        <w:t>Bergstrom, D. M., A. Lucieer, K. Kiefer, J. Wasley, L. Belbin, T. K. Pedersen, and S. L. Chown. 2009. Indirect effects of invasive species removal devastate World Heritage Island. Journal of Applied Ecology 46:73–81.</w:t>
      </w:r>
    </w:p>
    <w:p w:rsidR="0069223C" w:rsidRDefault="004B09F1">
      <w:pPr>
        <w:pStyle w:val="Bibliografia"/>
      </w:pPr>
      <w:bookmarkStart w:id="10" w:name="ref-davis_dont_2011"/>
      <w:bookmarkEnd w:id="9"/>
      <w:r>
        <w:t xml:space="preserve">Davis, M. A., M. K. Chew, R. J. Hobbs, </w:t>
      </w:r>
      <w:r>
        <w:t>A. E. Lugo, J. J. Ewel, G. J. Vermeij, J. H. Brown, M. L. Rosenzweig, M. R. Gardener, S. P. Carroll, K. Thompson, S. T. A. Pickett, J. C. Stromberg, P. D. Tredici, K. N. Suding, J. G. Ehrenfeld, J. Philip Grime, J. Mascaro, and J. C. Briggs. 2011. Don’t ju</w:t>
      </w:r>
      <w:r>
        <w:t>dge species on their origins. Nature 474:153–154.</w:t>
      </w:r>
    </w:p>
    <w:p w:rsidR="0069223C" w:rsidRDefault="004B09F1">
      <w:pPr>
        <w:pStyle w:val="Bibliografia"/>
      </w:pPr>
      <w:bookmarkStart w:id="11" w:name="ref-gilbert_plant_2013"/>
      <w:bookmarkEnd w:id="10"/>
      <w:r>
        <w:t>Gilbert, B., and J. M. Levine. 2013. Plant invasions and extinction debts. Proceedings of the National Academy of Sciences 110:1744–1749.</w:t>
      </w:r>
    </w:p>
    <w:p w:rsidR="0069223C" w:rsidRDefault="004B09F1">
      <w:pPr>
        <w:pStyle w:val="Bibliografia"/>
      </w:pPr>
      <w:bookmarkStart w:id="12" w:name="ref-gonzalez_secondary_2017"/>
      <w:bookmarkEnd w:id="11"/>
      <w:r>
        <w:t xml:space="preserve">González, E., A. A. Sher, R. M. Anderson, R. F. Bay, D. W. Bean, G. </w:t>
      </w:r>
      <w:r>
        <w:t>J. Bissonnete, D. J. Cooper, K. Dohrenwend, K. D. Eichhorst, H. El Waer, D. K. Kennard, R. Harms-Weissinger, A. L. Henry, L. J. Makarick, S. M. Ostoja, L. V. Reynolds, W. W. Robinson, P. B. Shafroth, and E. Tabacchi. 2017. Secondary invasions of noxious we</w:t>
      </w:r>
      <w:r>
        <w:t>eds associated with control of invasive Tamarix are frequent, idiosyncratic and persistent. Biological Conservation 213:106–114.</w:t>
      </w:r>
    </w:p>
    <w:p w:rsidR="0069223C" w:rsidRDefault="004B09F1">
      <w:pPr>
        <w:pStyle w:val="Bibliografia"/>
      </w:pPr>
      <w:bookmarkStart w:id="13" w:name="ref-hardman_predicting_2012"/>
      <w:bookmarkEnd w:id="12"/>
      <w:r>
        <w:t xml:space="preserve">Hardman, C. J., S. Williams, B. N. Manco, and M. A. Hamilton. 2012. Predicting the potential threat of </w:t>
      </w:r>
      <w:r>
        <w:rPr>
          <w:i/>
        </w:rPr>
        <w:t>Casuarina equisetifolia</w:t>
      </w:r>
      <w:r>
        <w:t xml:space="preserve"> to three endemic plant species on the Turks and Caicos Islands. Oryx 46:204–212.</w:t>
      </w:r>
    </w:p>
    <w:p w:rsidR="0069223C" w:rsidRDefault="004B09F1">
      <w:pPr>
        <w:pStyle w:val="Bibliografia"/>
      </w:pPr>
      <w:bookmarkStart w:id="14" w:name="ref-marod_uences_nodate"/>
      <w:bookmarkEnd w:id="13"/>
      <w:r>
        <w:lastRenderedPageBreak/>
        <w:t>Marod, D., P. Duengkae, U. Kutintara, S. Sungkae</w:t>
      </w:r>
      <w:r>
        <w:t>w, C. Wachrinrat, L. Asanok, and N. Klomwattanakul. 2012. The Inﬂuences of an Invasive Plant Species (Leucaena leucocephala) on Tree Regeneration in Khao Phuluang Forest, Northeastern Thailand:13.</w:t>
      </w:r>
    </w:p>
    <w:p w:rsidR="0069223C" w:rsidRDefault="004B09F1">
      <w:pPr>
        <w:pStyle w:val="Bibliografia"/>
      </w:pPr>
      <w:bookmarkStart w:id="15" w:name="ref-moro_alienigenas_2012"/>
      <w:bookmarkEnd w:id="14"/>
      <w:r w:rsidRPr="0014024D">
        <w:rPr>
          <w:lang w:val="pt-BR"/>
        </w:rPr>
        <w:t>Moro, M. F., V. C. Souza, A. T. de Oliveira-Filho, L. P. de</w:t>
      </w:r>
      <w:r w:rsidRPr="0014024D">
        <w:rPr>
          <w:lang w:val="pt-BR"/>
        </w:rPr>
        <w:t xml:space="preserve"> Queiroz, C. N. de Fraga, M. J. N. Rodal, F. S. de Araújo, and F. R. Martins. 2012. Alienígenas na sala: O que fazer com espécies exóticas em trabalhos de taxonomia, florística e fitossociologia? </w:t>
      </w:r>
      <w:r>
        <w:t>Acta Bot. Bras. 26:991–999.</w:t>
      </w:r>
    </w:p>
    <w:p w:rsidR="0069223C" w:rsidRPr="0014024D" w:rsidRDefault="004B09F1">
      <w:pPr>
        <w:pStyle w:val="Bibliografia"/>
        <w:rPr>
          <w:lang w:val="pt-BR"/>
        </w:rPr>
      </w:pPr>
      <w:bookmarkStart w:id="16" w:name="ref-reaser_ecological_2007"/>
      <w:bookmarkEnd w:id="15"/>
      <w:r>
        <w:t>Reaser, J. K., L. A. Meyerson, Q</w:t>
      </w:r>
      <w:r>
        <w:t>. Cronk, M. De Poorter, L. Eldrege, E. Green, M. Kairo, P. Latasi, R. N. Mack, J. Mauremootoo, D. O’Dowd, W. Orapa, S. Sastroutomo, A. Saunders, C. Shine, S. Thrainsson, and L. Vaiutu. 2007. Ecological and socioeconomic impacts of invasive alien species in</w:t>
      </w:r>
      <w:r>
        <w:t xml:space="preserve"> island ecosystems. </w:t>
      </w:r>
      <w:r w:rsidRPr="0014024D">
        <w:rPr>
          <w:lang w:val="pt-BR"/>
        </w:rPr>
        <w:t>Envir. Conserv. 34:98–111.</w:t>
      </w:r>
    </w:p>
    <w:p w:rsidR="0069223C" w:rsidRPr="0014024D" w:rsidRDefault="004B09F1">
      <w:pPr>
        <w:pStyle w:val="Bibliografia"/>
        <w:rPr>
          <w:lang w:val="pt-BR"/>
        </w:rPr>
      </w:pPr>
      <w:bookmarkStart w:id="17" w:name="ref-smac_prefeitura_2014"/>
      <w:bookmarkEnd w:id="16"/>
      <w:r w:rsidRPr="0014024D">
        <w:rPr>
          <w:lang w:val="pt-BR"/>
        </w:rPr>
        <w:t>SMAC. 2014. PREFEITURA DA CIDADE DO RIO DE JANEIRO 2:251.</w:t>
      </w:r>
      <w:bookmarkEnd w:id="7"/>
      <w:bookmarkEnd w:id="17"/>
    </w:p>
    <w:sectPr w:rsidR="0069223C" w:rsidRPr="0014024D" w:rsidSect="00864F1B">
      <w:pgSz w:w="11901" w:h="16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F1" w:rsidRDefault="004B09F1">
      <w:pPr>
        <w:spacing w:after="0"/>
      </w:pPr>
      <w:r>
        <w:separator/>
      </w:r>
    </w:p>
  </w:endnote>
  <w:endnote w:type="continuationSeparator" w:id="0">
    <w:p w:rsidR="004B09F1" w:rsidRDefault="004B0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F1" w:rsidRDefault="004B09F1">
      <w:r>
        <w:separator/>
      </w:r>
    </w:p>
  </w:footnote>
  <w:footnote w:type="continuationSeparator" w:id="0">
    <w:p w:rsidR="004B09F1" w:rsidRDefault="004B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7840FB"/>
    <w:multiLevelType w:val="multilevel"/>
    <w:tmpl w:val="C65424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DA22319"/>
    <w:multiLevelType w:val="multilevel"/>
    <w:tmpl w:val="5F0A6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DD16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F652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C1AE401"/>
    <w:multiLevelType w:val="multilevel"/>
    <w:tmpl w:val="8AE4EB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90712B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034B8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F755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A661F0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4E018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8B5781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024D"/>
    <w:rsid w:val="004B09F1"/>
    <w:rsid w:val="004E29B3"/>
    <w:rsid w:val="00590D07"/>
    <w:rsid w:val="0069223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8227"/>
  <w15:docId w15:val="{B78DBBD0-E337-44B3-BA97-0B098DA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3A14AB"/>
    <w:pPr>
      <w:keepNext/>
      <w:keepLines/>
      <w:pageBreakBefore/>
      <w:spacing w:before="480" w:after="120" w:line="48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1755D5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 w:val="26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FE38A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FE38A2"/>
    <w:pPr>
      <w:keepNext/>
      <w:keepLines/>
      <w:spacing w:before="200" w:after="0" w:line="480" w:lineRule="auto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Ttulo5">
    <w:name w:val="heading 5"/>
    <w:basedOn w:val="Normal"/>
    <w:next w:val="Corpodetexto"/>
    <w:uiPriority w:val="9"/>
    <w:unhideWhenUsed/>
    <w:qFormat/>
    <w:rsid w:val="00FE38A2"/>
    <w:pPr>
      <w:keepNext/>
      <w:keepLines/>
      <w:spacing w:before="240" w:after="0" w:line="480" w:lineRule="auto"/>
      <w:outlineLvl w:val="4"/>
    </w:pPr>
    <w:rPr>
      <w:rFonts w:ascii="Times New Roman" w:eastAsiaTheme="majorEastAsia" w:hAnsi="Times New Roman" w:cstheme="majorBidi"/>
      <w:iCs/>
      <w:u w:val="single"/>
    </w:rPr>
  </w:style>
  <w:style w:type="paragraph" w:styleId="Ttulo6">
    <w:name w:val="heading 6"/>
    <w:basedOn w:val="Normal"/>
    <w:next w:val="Corpodetexto"/>
    <w:uiPriority w:val="9"/>
    <w:unhideWhenUsed/>
    <w:qFormat/>
    <w:rsid w:val="00FE38A2"/>
    <w:pPr>
      <w:keepNext/>
      <w:keepLines/>
      <w:spacing w:before="200" w:after="0" w:line="480" w:lineRule="auto"/>
      <w:outlineLvl w:val="5"/>
    </w:pPr>
    <w:rPr>
      <w:rFonts w:ascii="Times New Roman" w:eastAsiaTheme="majorEastAsia" w:hAnsi="Times New Roman" w:cstheme="majorBidi"/>
      <w:sz w:val="22"/>
    </w:rPr>
  </w:style>
  <w:style w:type="paragraph" w:styleId="Ttulo7">
    <w:name w:val="heading 7"/>
    <w:basedOn w:val="Normal"/>
    <w:next w:val="Normal"/>
    <w:link w:val="Ttulo7Char"/>
    <w:rsid w:val="00384D4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rsid w:val="00384D4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rsid w:val="00384D4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200240"/>
    <w:pPr>
      <w:spacing w:before="180" w:after="18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5F0F8D"/>
  </w:style>
  <w:style w:type="paragraph" w:customStyle="1" w:styleId="Compact">
    <w:name w:val="Compact"/>
    <w:basedOn w:val="Corpodetexto"/>
    <w:qFormat/>
    <w:rsid w:val="00EB0D8B"/>
    <w:pPr>
      <w:spacing w:before="36" w:after="36" w:line="360" w:lineRule="auto"/>
    </w:pPr>
  </w:style>
  <w:style w:type="paragraph" w:styleId="Ttulo">
    <w:name w:val="Title"/>
    <w:basedOn w:val="Normal"/>
    <w:next w:val="Corpodetexto"/>
    <w:qFormat/>
    <w:rsid w:val="00864F1B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864F1B"/>
    <w:pPr>
      <w:keepNext/>
      <w:keepLines/>
    </w:pPr>
    <w:rPr>
      <w:rFonts w:ascii="Times New Roman" w:hAnsi="Times New Roman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5F0F8D"/>
    <w:pPr>
      <w:keepNext/>
      <w:keepLines/>
      <w:spacing w:before="300" w:after="300" w:line="360" w:lineRule="auto"/>
      <w:ind w:firstLine="720"/>
      <w:jc w:val="both"/>
    </w:pPr>
    <w:rPr>
      <w:rFonts w:ascii="Times New Roman" w:hAnsi="Times New Roman"/>
      <w:szCs w:val="20"/>
    </w:rPr>
  </w:style>
  <w:style w:type="paragraph" w:styleId="Bibliografia">
    <w:name w:val="Bibliography"/>
    <w:basedOn w:val="Normal"/>
    <w:qFormat/>
    <w:rsid w:val="00864F1B"/>
    <w:pPr>
      <w:spacing w:line="480" w:lineRule="auto"/>
    </w:pPr>
    <w:rPr>
      <w:rFonts w:ascii="Times New Roman" w:hAnsi="Times New Roman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EC51E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inha">
    <w:name w:val="line number"/>
    <w:basedOn w:val="Fontepargpadro"/>
    <w:semiHidden/>
    <w:unhideWhenUsed/>
    <w:rsid w:val="00047456"/>
  </w:style>
  <w:style w:type="character" w:customStyle="1" w:styleId="Ttulo7Char">
    <w:name w:val="Título 7 Char"/>
    <w:basedOn w:val="Fontepargpadro"/>
    <w:link w:val="Ttulo7"/>
    <w:rsid w:val="00384D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rsid w:val="003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3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semiHidden/>
    <w:unhideWhenUsed/>
    <w:rsid w:val="00850914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509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Final - Projetos de Análise de Dados Usando R</dc:title>
  <dc:creator>Amanda Narcizo</dc:creator>
  <cp:keywords/>
  <cp:lastModifiedBy>Amanda</cp:lastModifiedBy>
  <cp:revision>2</cp:revision>
  <dcterms:created xsi:type="dcterms:W3CDTF">2020-03-19T22:45:00Z</dcterms:created>
  <dcterms:modified xsi:type="dcterms:W3CDTF">2020-03-19T22:45:00Z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Citation/TDR.bib</vt:lpwstr>
  </property>
  <property fmtid="{D5CDD505-2E9C-101B-9397-08002B2CF9AE}" pid="3" name="csl">
    <vt:lpwstr>Citation/ecology.csl</vt:lpwstr>
  </property>
  <property fmtid="{D5CDD505-2E9C-101B-9397-08002B2CF9AE}" pid="4" name="date">
    <vt:lpwstr>19/03/2020</vt:lpwstr>
  </property>
  <property fmtid="{D5CDD505-2E9C-101B-9397-08002B2CF9AE}" pid="5" name="output">
    <vt:lpwstr/>
  </property>
</Properties>
</file>