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jc w:val="center"/>
      </w:pPr>
      <w:r>
        <w:rPr>
          <w:rFonts w:ascii="Arial" w:cs="Arial" w:eastAsia="Arial" w:hAnsi="Arial"/>
          <w:b/>
          <w:bCs/>
          <w:color w:val="1F3864"/>
          <w:sz w:val="52"/>
          <w:szCs w:val="52"/>
        </w:rPr>
        <w:t xml:space="preserve">QR EQUITY DERIVATIVES FLOW</w:t>
      </w:r>
    </w:p>
    <w:p>
      <w:pPr>
        <w:jc w:val="center"/>
      </w:pPr>
      <w:r>
        <w:rPr>
          <w:rFonts w:ascii="Arial" w:cs="Arial" w:eastAsia="Arial" w:hAnsi="Arial"/>
          <w:color w:val="2E75B6"/>
          <w:sz w:val="32"/>
          <w:szCs w:val="32"/>
        </w:rPr>
        <w:t xml:space="preserve">Vice President | Quantitative Research</w:t>
      </w:r>
    </w:p>
    <w:p>
      <w:r>
        <w:t xml:space="preserve"> </w:t>
      </w:r>
    </w:p>
    <w:p>
      <w:pPr>
        <w:pBdr>
          <w:top w:val="single" w:color="2E75B6" w:sz="8"/>
          <w:bottom w:val="single" w:color="2E75B6" w:sz="8"/>
        </w:pBdr>
        <w:spacing w:before="60" w:after="60"/>
        <w:jc w:val="center"/>
      </w:pPr>
      <w:r>
        <w:rPr>
          <w:rFonts w:ascii="Arial" w:cs="Arial" w:eastAsia="Arial" w:hAnsi="Arial"/>
          <w:b/>
          <w:bCs/>
          <w:color w:val="006064"/>
          <w:sz w:val="38"/>
          <w:szCs w:val="38"/>
        </w:rPr>
        <w:t xml:space="preserve">Complete In-Depth Learning Guide</w:t>
      </w:r>
    </w:p>
    <w:p>
      <w:r>
        <w:t xml:space="preserve"> </w:t>
      </w:r>
    </w:p>
    <w:p>
      <w:pPr>
        <w:jc w:val="center"/>
      </w:pPr>
      <w:r>
        <w:rPr>
          <w:rFonts w:ascii="Arial" w:cs="Arial" w:eastAsia="Arial" w:hAnsi="Arial"/>
          <w:color w:val="1A1A2E"/>
          <w:sz w:val="22"/>
          <w:szCs w:val="22"/>
        </w:rPr>
        <w:t xml:space="preserve">SSVI  |  Black-Scholes  |  Arbitrage Detection  |  Greeks  |  Dividend Modeling</w:t>
      </w:r>
    </w:p>
    <w:p>
      <w:pPr>
        <w:jc w:val="center"/>
      </w:pPr>
      <w:r>
        <w:rPr>
          <w:rFonts w:ascii="Arial" w:cs="Arial" w:eastAsia="Arial" w:hAnsi="Arial"/>
          <w:color w:val="1A1A2E"/>
          <w:sz w:val="22"/>
          <w:szCs w:val="22"/>
        </w:rPr>
        <w:t xml:space="preserve">Gradient Boosted Trees  |  Hedging Optimization  |  ETF Premium/Discount</w:t>
      </w:r>
    </w:p>
    <w:p>
      <w:r>
        <w:t xml:space="preserve"> </w:t>
      </w:r>
    </w:p>
    <w:p>
      <w:r>
        <w:t xml:space="preserve"> </w:t>
      </w:r>
    </w:p>
    <w:p>
      <w:pPr>
        <w:jc w:val="center"/>
      </w:pPr>
      <w:r>
        <w:rPr>
          <w:rFonts w:ascii="Arial" w:cs="Arial" w:eastAsia="Arial" w:hAnsi="Arial"/>
          <w:color w:val="666666"/>
          <w:sz w:val="18"/>
          <w:szCs w:val="18"/>
        </w:rPr>
        <w:t xml:space="preserve">Sources: Gatheral-Jacquier (2013) | The Volatility Surface (Gatheral 2006)</w:t>
      </w:r>
    </w:p>
    <w:p>
      <w:pPr>
        <w:jc w:val="center"/>
      </w:pPr>
      <w:r>
        <w:rPr>
          <w:rFonts w:ascii="Arial" w:cs="Arial" w:eastAsia="Arial" w:hAnsi="Arial"/>
          <w:color w:val="666666"/>
          <w:sz w:val="18"/>
          <w:szCs w:val="18"/>
        </w:rPr>
        <w:t xml:space="preserve">Elements of Statistical Learning | Carol Alexander Market Risk Analysis III</w:t>
      </w:r>
    </w:p>
    <w:p>
      <w:r>
        <w:t xml:space="preserve"> </w:t>
      </w:r>
    </w:p>
    <w:p>
      <w:r>
        <w:br w:type="page"/>
      </w:r>
    </w:p>
    <w:p>
      <w:pPr>
        <w:pStyle w:val="Heading1"/>
        <w:pBdr>
          <w:bottom w:val="single" w:color="2E75B6" w:sz="8" w:space="4"/>
        </w:pBdr>
        <w:spacing w:before="360" w:after="120"/>
      </w:pPr>
      <w:r>
        <w:rPr>
          <w:rFonts w:ascii="Arial" w:cs="Arial" w:eastAsia="Arial" w:hAnsi="Arial"/>
          <w:b/>
          <w:bCs/>
          <w:color w:val="1F3864"/>
          <w:sz w:val="36"/>
          <w:szCs w:val="36"/>
        </w:rPr>
        <w:t xml:space="preserve">1. Black-Scholes Foundations</w:t>
      </w:r>
    </w:p>
    <w:p>
      <w:pPr>
        <w:pStyle w:val="Heading2"/>
        <w:spacing w:before="280" w:after="80"/>
      </w:pPr>
      <w:r>
        <w:rPr>
          <w:rFonts w:ascii="Arial" w:cs="Arial" w:eastAsia="Arial" w:hAnsi="Arial"/>
          <w:b/>
          <w:bCs/>
          <w:color w:val="2E75B6"/>
          <w:sz w:val="28"/>
          <w:szCs w:val="28"/>
        </w:rPr>
        <w:t xml:space="preserve">1.1 The Model and Its Assumptions</w:t>
      </w:r>
    </w:p>
    <w:p>
      <w:pPr>
        <w:spacing w:before="60" w:after="60"/>
      </w:pPr>
      <w:r>
        <w:rPr>
          <w:rFonts w:ascii="Arial" w:cs="Arial" w:eastAsia="Arial" w:hAnsi="Arial"/>
          <w:color w:val="1A1A2E"/>
          <w:sz w:val="22"/>
          <w:szCs w:val="22"/>
        </w:rPr>
        <w:t xml:space="preserve">Black-Scholes assumes the underlying stock price follows Geometric Brownian Motion:</w:t>
      </w:r>
    </w:p>
    <w:p>
      <w:pPr>
        <w:shd w:fill="F2F4F7" w:val="clear"/>
        <w:spacing w:before="100" w:after="100"/>
        <w:jc w:val="center"/>
      </w:pPr>
      <w:r>
        <w:rPr>
          <w:rFonts w:ascii="Cambria Math" w:cs="Cambria Math" w:eastAsia="Cambria Math" w:hAnsi="Cambria Math"/>
          <w:i/>
          <w:iCs/>
          <w:color w:val="1F3864"/>
          <w:sz w:val="24"/>
          <w:szCs w:val="24"/>
        </w:rPr>
        <w:t xml:space="preserve">dS = μ S dt + σ S dW_t</w:t>
      </w:r>
    </w:p>
    <w:p>
      <w:pPr>
        <w:spacing w:before="60" w:after="60"/>
      </w:pPr>
      <w:r>
        <w:rPr>
          <w:rFonts w:ascii="Arial" w:cs="Arial" w:eastAsia="Arial" w:hAnsi="Arial"/>
          <w:color w:val="1A1A2E"/>
          <w:sz w:val="22"/>
          <w:szCs w:val="22"/>
        </w:rPr>
        <w:t xml:space="preserve">where </w:t>
      </w:r>
      <w:r>
        <w:rPr>
          <w:rFonts w:ascii="Arial" w:cs="Arial" w:eastAsia="Arial" w:hAnsi="Arial"/>
          <w:b/>
          <w:bCs/>
          <w:color w:val="1A1A2E"/>
          <w:sz w:val="22"/>
          <w:szCs w:val="22"/>
        </w:rPr>
        <w:t xml:space="preserve">μ</w:t>
      </w:r>
      <w:r>
        <w:rPr>
          <w:rFonts w:ascii="Arial" w:cs="Arial" w:eastAsia="Arial" w:hAnsi="Arial"/>
          <w:color w:val="1A1A2E"/>
          <w:sz w:val="22"/>
          <w:szCs w:val="22"/>
        </w:rPr>
        <w:t xml:space="preserve"> is the drift, </w:t>
      </w:r>
      <w:r>
        <w:rPr>
          <w:rFonts w:ascii="Arial" w:cs="Arial" w:eastAsia="Arial" w:hAnsi="Arial"/>
          <w:b/>
          <w:bCs/>
          <w:color w:val="1A1A2E"/>
          <w:sz w:val="22"/>
          <w:szCs w:val="22"/>
        </w:rPr>
        <w:t xml:space="preserve">σ</w:t>
      </w:r>
      <w:r>
        <w:rPr>
          <w:rFonts w:ascii="Arial" w:cs="Arial" w:eastAsia="Arial" w:hAnsi="Arial"/>
          <w:color w:val="1A1A2E"/>
          <w:sz w:val="22"/>
          <w:szCs w:val="22"/>
        </w:rPr>
        <w:t xml:space="preserve"> is constant volatility, and </w:t>
      </w:r>
      <w:r>
        <w:rPr>
          <w:rFonts w:ascii="Arial" w:cs="Arial" w:eastAsia="Arial" w:hAnsi="Arial"/>
          <w:b/>
          <w:bCs/>
          <w:color w:val="1A1A2E"/>
          <w:sz w:val="22"/>
          <w:szCs w:val="22"/>
        </w:rPr>
        <w:t xml:space="preserve">W_t</w:t>
      </w:r>
      <w:r>
        <w:rPr>
          <w:rFonts w:ascii="Arial" w:cs="Arial" w:eastAsia="Arial" w:hAnsi="Arial"/>
          <w:color w:val="1A1A2E"/>
          <w:sz w:val="22"/>
          <w:szCs w:val="22"/>
        </w:rPr>
        <w:t xml:space="preserve"> is a standard Brownian motion under the physical measure ℙ.</w:t>
      </w:r>
    </w:p>
    <w:p>
      <w:pPr>
        <w:spacing w:before="60" w:after="60"/>
      </w:pPr>
      <w:r>
        <w:rPr>
          <w:rFonts w:ascii="Arial" w:cs="Arial" w:eastAsia="Arial" w:hAnsi="Arial"/>
          <w:color w:val="1A1A2E"/>
          <w:sz w:val="22"/>
          <w:szCs w:val="22"/>
        </w:rPr>
        <w:t xml:space="preserve">Key assumptions: (1) constant volatility, (2) continuous trading, (3) no dividends, (4) log-normal returns, (5) frictionless markets, (6) risk-free rate is constant. Each assumption is violated in practice — the volatility surface is the market's way of pricing these violations.</w:t>
      </w:r>
    </w:p>
    <w:p>
      <w:pPr>
        <w:pStyle w:val="Heading2"/>
        <w:spacing w:before="280" w:after="80"/>
      </w:pPr>
      <w:r>
        <w:rPr>
          <w:rFonts w:ascii="Arial" w:cs="Arial" w:eastAsia="Arial" w:hAnsi="Arial"/>
          <w:b/>
          <w:bCs/>
          <w:color w:val="2E75B6"/>
          <w:sz w:val="28"/>
          <w:szCs w:val="28"/>
        </w:rPr>
        <w:t xml:space="preserve">1.2 The Pricing Formula (Forward Form)</w:t>
      </w:r>
    </w:p>
    <w:p>
      <w:pPr>
        <w:spacing w:before="60" w:after="60"/>
      </w:pPr>
      <w:r>
        <w:rPr>
          <w:rFonts w:ascii="Arial" w:cs="Arial" w:eastAsia="Arial" w:hAnsi="Arial"/>
          <w:color w:val="1A1A2E"/>
          <w:sz w:val="22"/>
          <w:szCs w:val="22"/>
        </w:rPr>
        <w:t xml:space="preserve">The project uses the forward-price form, which correctly incorporates dividends and rates through the forward </w:t>
      </w:r>
      <w:r>
        <w:rPr>
          <w:rFonts w:ascii="Arial" w:cs="Arial" w:eastAsia="Arial" w:hAnsi="Arial"/>
          <w:b/>
          <w:bCs/>
          <w:color w:val="1A1A2E"/>
          <w:sz w:val="22"/>
          <w:szCs w:val="22"/>
        </w:rPr>
        <w:t xml:space="preserve">F = (S - PV(divs)) · e^(rT)</w:t>
      </w:r>
      <w:r>
        <w:rPr>
          <w:rFonts w:ascii="Arial" w:cs="Arial" w:eastAsia="Arial" w:hAnsi="Arial"/>
          <w:color w:val="1A1A2E"/>
          <w:sz w:val="22"/>
          <w:szCs w:val="22"/>
        </w:rPr>
        <w:t xml:space="preserve">:</w:t>
      </w:r>
    </w:p>
    <w:p>
      <w:pPr>
        <w:shd w:fill="F2F4F7" w:val="clear"/>
        <w:spacing w:before="100" w:after="100"/>
        <w:jc w:val="center"/>
      </w:pPr>
      <w:r>
        <w:rPr>
          <w:rFonts w:ascii="Cambria Math" w:cs="Cambria Math" w:eastAsia="Cambria Math" w:hAnsi="Cambria Math"/>
          <w:i/>
          <w:iCs/>
          <w:color w:val="1F3864"/>
          <w:sz w:val="24"/>
          <w:szCs w:val="24"/>
        </w:rPr>
        <w:t xml:space="preserve">C = e^(-rT) · [F · N(d₁) - K · N(d₂)]</w:t>
      </w:r>
    </w:p>
    <w:p>
      <w:pPr>
        <w:shd w:fill="F2F4F7" w:val="clear"/>
        <w:spacing w:before="100" w:after="100"/>
        <w:jc w:val="center"/>
      </w:pPr>
      <w:r>
        <w:rPr>
          <w:rFonts w:ascii="Cambria Math" w:cs="Cambria Math" w:eastAsia="Cambria Math" w:hAnsi="Cambria Math"/>
          <w:i/>
          <w:iCs/>
          <w:color w:val="1F3864"/>
          <w:sz w:val="24"/>
          <w:szCs w:val="24"/>
        </w:rPr>
        <w:t xml:space="preserve">d₁ = [ln(F/K) + σ²T/2] / (σ√T)     d₂ = d₁ - σ√T</w:t>
      </w:r>
    </w:p>
    <w:p>
      <w:pPr>
        <w:spacing w:before="60" w:after="60"/>
      </w:pPr>
      <w:r>
        <w:rPr>
          <w:rFonts w:ascii="Arial" w:cs="Arial" w:eastAsia="Arial" w:hAnsi="Arial"/>
          <w:color w:val="1A1A2E"/>
          <w:sz w:val="22"/>
          <w:szCs w:val="22"/>
        </w:rPr>
        <w:t xml:space="preserve">This form is superior to the spot form because dividends enter cleanly via F. At expiry (T → 0), the formula degenerates gracefully to discounted intrinsic value max(F-K, 0) · e^(-rT). The C++ implementation guards this edge case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6064" w:sz="1"/>
              <w:left w:val="single" w:color="006064" w:sz="1"/>
              <w:bottom w:val="single" w:color="006064" w:sz="1"/>
              <w:right w:val="single" w:color="006064" w:sz="1"/>
            </w:tcBorders>
            <w:shd w:fill="0060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w:t>
            </w:r>
          </w:p>
        </w:tc>
        <w:tc>
          <w:tcPr>
            <w:tcW w:type="dxa" w:w="8160"/>
            <w:tcBorders>
              <w:top w:val="single" w:color="006064" w:sz="1"/>
              <w:left w:val="single" w:color="006064" w:sz="1"/>
              <w:bottom w:val="single" w:color="006064" w:sz="1"/>
              <w:right w:val="single" w:color="006064" w:sz="1"/>
            </w:tcBorders>
            <w:shd w:fill="F8FAFF" w:val="clear"/>
            <w:tcMar>
              <w:top w:type="dxa" w:w="100"/>
              <w:left w:type="dxa" w:w="160"/>
              <w:bottom w:type="dxa" w:w="100"/>
              <w:right w:type="dxa" w:w="120"/>
            </w:tcMar>
          </w:tcPr>
          <w:p>
            <w:r>
              <w:rPr>
                <w:rFonts w:ascii="Arial" w:cs="Arial" w:eastAsia="Arial" w:hAnsi="Arial"/>
                <w:color w:val="1A1A2E"/>
                <w:sz w:val="22"/>
                <w:szCs w:val="22"/>
              </w:rPr>
              <w:t xml:space="preserve">The forward form decouples dividend complexity from the option formula. Whether dividends are discrete (SPY) or continuous (index), they all enter through F. The pricer never needs to know the dividend model — it only receives the forward.</w:t>
            </w:r>
          </w:p>
        </w:tc>
      </w:tr>
    </w:tbl>
    <w:p>
      <w:r>
        <w:t xml:space="preserve"> </w:t>
      </w:r>
    </w:p>
    <w:p>
      <w:pPr>
        <w:pStyle w:val="Heading2"/>
        <w:spacing w:before="280" w:after="80"/>
      </w:pPr>
      <w:r>
        <w:rPr>
          <w:rFonts w:ascii="Arial" w:cs="Arial" w:eastAsia="Arial" w:hAnsi="Arial"/>
          <w:b/>
          <w:bCs/>
          <w:color w:val="2E75B6"/>
          <w:sz w:val="28"/>
          <w:szCs w:val="28"/>
        </w:rPr>
        <w:t xml:space="preserve">1.3 Greeks — Analytical Forms</w:t>
      </w:r>
    </w:p>
    <w:p>
      <w:pPr>
        <w:spacing w:before="60" w:after="60"/>
      </w:pPr>
      <w:r>
        <w:rPr>
          <w:rFonts w:ascii="Arial" w:cs="Arial" w:eastAsia="Arial" w:hAnsi="Arial"/>
          <w:color w:val="1A1A2E"/>
          <w:sz w:val="22"/>
          <w:szCs w:val="22"/>
        </w:rPr>
        <w:t xml:space="preserve">The key analytical Greeks (for comparison with the finite-difference implementation in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Greek</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Formula</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Economic Meaning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1A2E"/>
                <w:sz w:val="22"/>
                <w:szCs w:val="22"/>
              </w:rPr>
              <w:t xml:space="preserve">Δ Delta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N(d₁)</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P&amp;L per $1 move in spot. Hedge ratio for delta-neutral.</w:t>
            </w:r>
          </w:p>
        </w:tc>
      </w:tr>
      <w:tr>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b/>
                <w:bCs/>
                <w:color w:val="1A1A2E"/>
                <w:sz w:val="22"/>
                <w:szCs w:val="22"/>
              </w:rPr>
              <w:t xml:space="preserve">Γ Gamma</w:t>
            </w:r>
          </w:p>
        </w:tc>
        <w:tc>
          <w:tcPr>
            <w:tcW w:type="dxa" w:w="2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N'(d₁)/(S·σ·√T)</w:t>
            </w:r>
          </w:p>
        </w:tc>
        <w:tc>
          <w:tcPr>
            <w:tcW w:type="dxa" w:w="57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Rate of change of delta. Gamma = convexity of option vs spot.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1A2E"/>
                <w:sz w:val="22"/>
                <w:szCs w:val="22"/>
              </w:rPr>
              <w:t xml:space="preserve">ν Vega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S·N'(d₁)·√T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P&amp;L per 1% change in IV. Largest for ATM options.</w:t>
            </w:r>
          </w:p>
        </w:tc>
      </w:tr>
      <w:tr>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b/>
                <w:bCs/>
                <w:color w:val="1A1A2E"/>
                <w:sz w:val="22"/>
                <w:szCs w:val="22"/>
              </w:rPr>
              <w:t xml:space="preserve">Θ Theta</w:t>
            </w:r>
          </w:p>
        </w:tc>
        <w:tc>
          <w:tcPr>
            <w:tcW w:type="dxa" w:w="2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-S·N'(d₁)·σ/(2√T) - rKe^(-rT)N(d₂)</w:t>
            </w:r>
          </w:p>
        </w:tc>
        <w:tc>
          <w:tcPr>
            <w:tcW w:type="dxa" w:w="57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P&amp;L decay per calendar day. Always negative for long options.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1A2E"/>
                <w:sz w:val="22"/>
                <w:szCs w:val="22"/>
              </w:rPr>
              <w:t xml:space="preserve">Vanna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dΔ/dσ</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Cross-sensitivity: how delta changes with vol. Critical for skew hedging.</w:t>
            </w:r>
          </w:p>
        </w:tc>
      </w:tr>
      <w:tr>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b/>
                <w:bCs/>
                <w:color w:val="1A1A2E"/>
                <w:sz w:val="22"/>
                <w:szCs w:val="22"/>
              </w:rPr>
              <w:t xml:space="preserve">Volga</w:t>
            </w:r>
          </w:p>
        </w:tc>
        <w:tc>
          <w:tcPr>
            <w:tcW w:type="dxa" w:w="2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d²V/dσ²</w:t>
            </w:r>
          </w:p>
        </w:tc>
        <w:tc>
          <w:tcPr>
            <w:tcW w:type="dxa" w:w="57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Convexity in volatility. Key for volatility of volatility exposure.</w:t>
            </w:r>
          </w:p>
        </w:tc>
      </w:tr>
    </w:tbl>
    <w:p>
      <w:r>
        <w:t xml:space="preserve"> </w:t>
      </w:r>
    </w:p>
    <w:p>
      <w:pPr>
        <w:pStyle w:val="Heading2"/>
        <w:spacing w:before="280" w:after="80"/>
      </w:pPr>
      <w:r>
        <w:rPr>
          <w:rFonts w:ascii="Arial" w:cs="Arial" w:eastAsia="Arial" w:hAnsi="Arial"/>
          <w:b/>
          <w:bCs/>
          <w:color w:val="2E75B6"/>
          <w:sz w:val="28"/>
          <w:szCs w:val="28"/>
        </w:rPr>
        <w:t xml:space="preserve">1.4 Why Finite Differences Instead of Analytical Greeks?</w:t>
      </w:r>
    </w:p>
    <w:p>
      <w:pPr>
        <w:spacing w:before="60" w:after="60"/>
      </w:pPr>
      <w:r>
        <w:rPr>
          <w:rFonts w:ascii="Arial" w:cs="Arial" w:eastAsia="Arial" w:hAnsi="Arial"/>
          <w:color w:val="1A1A2E"/>
          <w:sz w:val="22"/>
          <w:szCs w:val="22"/>
        </w:rPr>
        <w:t xml:space="preserve">The project computes Greeks via central finite differences in C++, not analytically. This is a deliberate engineering choice:</w:t>
      </w:r>
    </w:p>
    <w:p>
      <w:pPr>
        <w:pStyle w:val="ListParagraph"/>
        <w:numPr>
          <w:ilvl w:val="0"/>
          <w:numId w:val="2"/>
        </w:numPr>
        <w:spacing w:before="40" w:after="40"/>
      </w:pPr>
      <w:r>
        <w:rPr>
          <w:rFonts w:ascii="Arial" w:cs="Arial" w:eastAsia="Arial" w:hAnsi="Arial"/>
          <w:b/>
          <w:bCs/>
          <w:color w:val="1A1A2E"/>
          <w:sz w:val="22"/>
          <w:szCs w:val="22"/>
        </w:rPr>
        <w:t xml:space="preserve">Model-agnostic: </w:t>
      </w:r>
      <w:r>
        <w:rPr>
          <w:rFonts w:ascii="Arial" w:cs="Arial" w:eastAsia="Arial" w:hAnsi="Arial"/>
          <w:color w:val="1A1A2E"/>
          <w:sz w:val="22"/>
          <w:szCs w:val="22"/>
        </w:rPr>
        <w:t xml:space="preserve">The same finite-difference engine works whether the underlying model is Black-Scholes, SSVI-interpolated, or any future model.</w:t>
      </w:r>
    </w:p>
    <w:p>
      <w:pPr>
        <w:pStyle w:val="ListParagraph"/>
        <w:numPr>
          <w:ilvl w:val="0"/>
          <w:numId w:val="2"/>
        </w:numPr>
        <w:spacing w:before="40" w:after="40"/>
      </w:pPr>
      <w:r>
        <w:rPr>
          <w:rFonts w:ascii="Arial" w:cs="Arial" w:eastAsia="Arial" w:hAnsi="Arial"/>
          <w:b/>
          <w:bCs/>
          <w:color w:val="1A1A2E"/>
          <w:sz w:val="22"/>
          <w:szCs w:val="22"/>
        </w:rPr>
        <w:t xml:space="preserve">Handles surfaces: </w:t>
      </w:r>
      <w:r>
        <w:rPr>
          <w:rFonts w:ascii="Arial" w:cs="Arial" w:eastAsia="Arial" w:hAnsi="Arial"/>
          <w:color w:val="1A1A2E"/>
          <w:sz w:val="22"/>
          <w:szCs w:val="22"/>
        </w:rPr>
        <w:t xml:space="preserve">When you shift spot and re-price, the vol is read from the surface at the new (K, T) — automatically capturing sticky-strike vs sticky-delta dynamics.</w:t>
      </w:r>
    </w:p>
    <w:p>
      <w:pPr>
        <w:pStyle w:val="ListParagraph"/>
        <w:numPr>
          <w:ilvl w:val="0"/>
          <w:numId w:val="2"/>
        </w:numPr>
        <w:spacing w:before="40" w:after="40"/>
      </w:pPr>
      <w:r>
        <w:rPr>
          <w:rFonts w:ascii="Arial" w:cs="Arial" w:eastAsia="Arial" w:hAnsi="Arial"/>
          <w:b/>
          <w:bCs/>
          <w:color w:val="1A1A2E"/>
          <w:sz w:val="22"/>
          <w:szCs w:val="22"/>
        </w:rPr>
        <w:t xml:space="preserve">Cross-Greeks: </w:t>
      </w:r>
      <w:r>
        <w:rPr>
          <w:rFonts w:ascii="Arial" w:cs="Arial" w:eastAsia="Arial" w:hAnsi="Arial"/>
          <w:color w:val="1A1A2E"/>
          <w:sz w:val="22"/>
          <w:szCs w:val="22"/>
        </w:rPr>
        <w:t xml:space="preserve">Vanna and volga require 4-point cross bumps. The code handles these uniformly.</w:t>
      </w:r>
    </w:p>
    <w:p>
      <w:pPr>
        <w:pStyle w:val="ListParagraph"/>
        <w:numPr>
          <w:ilvl w:val="0"/>
          <w:numId w:val="2"/>
        </w:numPr>
        <w:spacing w:before="40" w:after="40"/>
      </w:pPr>
      <w:r>
        <w:rPr>
          <w:rFonts w:ascii="Arial" w:cs="Arial" w:eastAsia="Arial" w:hAnsi="Arial"/>
          <w:b/>
          <w:bCs/>
          <w:color w:val="1A1A2E"/>
          <w:sz w:val="22"/>
          <w:szCs w:val="22"/>
        </w:rPr>
        <w:t xml:space="preserve">Numerical precision: </w:t>
      </w:r>
      <w:r>
        <w:rPr>
          <w:rFonts w:ascii="Arial" w:cs="Arial" w:eastAsia="Arial" w:hAnsi="Arial"/>
          <w:color w:val="1A1A2E"/>
          <w:sz w:val="22"/>
          <w:szCs w:val="22"/>
        </w:rPr>
        <w:t xml:space="preserve">Central differences are O(h²) accurate. With dS = 0.5% of F and dσ = 50bps, precision is sufficient for all but the most degenerate cases.</w:t>
      </w:r>
    </w:p>
    <w:p>
      <w:pPr>
        <w:spacing w:before="60" w:after="60"/>
      </w:pPr>
      <w:r>
        <w:rPr>
          <w:rFonts w:ascii="Arial" w:cs="Arial" w:eastAsia="Arial" w:hAnsi="Arial"/>
          <w:color w:val="1A1A2E"/>
          <w:sz w:val="22"/>
          <w:szCs w:val="22"/>
        </w:rPr>
        <w:t xml:space="preserve">Trade-off: finite differences are slower (6 extra pricing calls per option) and can have issues near expiry. Production systems sometimes use a mix: analytical for delta/gamma, numerical for vanna/volga.</w:t>
      </w:r>
    </w:p>
    <w:p>
      <w:r>
        <w:t xml:space="preserve"> </w:t>
      </w:r>
    </w:p>
    <w:p>
      <w:pPr>
        <w:pStyle w:val="Heading2"/>
        <w:spacing w:before="280" w:after="80"/>
      </w:pPr>
      <w:r>
        <w:rPr>
          <w:rFonts w:ascii="Arial" w:cs="Arial" w:eastAsia="Arial" w:hAnsi="Arial"/>
          <w:b/>
          <w:bCs/>
          <w:color w:val="2E75B6"/>
          <w:sz w:val="28"/>
          <w:szCs w:val="28"/>
        </w:rPr>
        <w:t xml:space="preserve">1.5 Newton-Raphson Implied Volatility Inversion</w:t>
      </w:r>
    </w:p>
    <w:p>
      <w:pPr>
        <w:spacing w:before="60" w:after="60"/>
      </w:pPr>
      <w:r>
        <w:rPr>
          <w:rFonts w:ascii="Arial" w:cs="Arial" w:eastAsia="Arial" w:hAnsi="Arial"/>
          <w:color w:val="1A1A2E"/>
          <w:sz w:val="22"/>
          <w:szCs w:val="22"/>
        </w:rPr>
        <w:t xml:space="preserve">Given a market option price P_mkt, we solve for σ such that BS(σ) = P_mkt. Newton-Raphson iterates:</w:t>
      </w:r>
    </w:p>
    <w:p>
      <w:pPr>
        <w:shd w:fill="F2F4F7" w:val="clear"/>
        <w:spacing w:before="100" w:after="100"/>
        <w:jc w:val="center"/>
      </w:pPr>
      <w:r>
        <w:rPr>
          <w:rFonts w:ascii="Cambria Math" w:cs="Cambria Math" w:eastAsia="Cambria Math" w:hAnsi="Cambria Math"/>
          <w:i/>
          <w:iCs/>
          <w:color w:val="1F3864"/>
          <w:sz w:val="24"/>
          <w:szCs w:val="24"/>
        </w:rPr>
        <w:t xml:space="preserve">σ_{n+1} = σ_n - (BS(σ_n) - P_mkt) / vega(σ_n)</w:t>
      </w:r>
    </w:p>
    <w:p>
      <w:pPr>
        <w:spacing w:before="60" w:after="60"/>
      </w:pPr>
      <w:r>
        <w:rPr>
          <w:rFonts w:ascii="Arial" w:cs="Arial" w:eastAsia="Arial" w:hAnsi="Arial"/>
          <w:color w:val="1A1A2E"/>
          <w:sz w:val="22"/>
          <w:szCs w:val="22"/>
        </w:rPr>
        <w:t xml:space="preserve">The method converges quadratically because vega is smooth and positive for standard options. The project starts at σ₀ = 20%, runs to tolerance 10⁻⁸, and clamps σ ≥ 10⁻⁶. Stops if vega &lt; 10⁻¹⁴ to avoid division by zero (deep ITM/OTM options near expiry).</w:t>
      </w:r>
    </w:p>
    <w:p>
      <w:pPr>
        <w:spacing w:before="60" w:after="60"/>
      </w:pPr>
      <w:r>
        <w:rPr>
          <w:rFonts w:ascii="Arial" w:cs="Arial" w:eastAsia="Arial" w:hAnsi="Arial"/>
          <w:color w:val="1A1A2E"/>
          <w:sz w:val="22"/>
          <w:szCs w:val="22"/>
        </w:rPr>
        <w:t xml:space="preserve">Failure modes: (1) multiple roots for very short-dated or extreme-strike options, (2) slow convergence if the initial guess is far from truth (rare with 20% starting point), (3) numerical issues if the market price violates intrinsic value bounds (filtered out earlier).</w:t>
      </w:r>
    </w:p>
    <w:p>
      <w:r>
        <w:br w:type="page"/>
      </w:r>
    </w:p>
    <w:p>
      <w:pPr>
        <w:pStyle w:val="Heading1"/>
        <w:pBdr>
          <w:bottom w:val="single" w:color="2E75B6" w:sz="8" w:space="4"/>
        </w:pBdr>
        <w:spacing w:before="360" w:after="120"/>
      </w:pPr>
      <w:r>
        <w:rPr>
          <w:rFonts w:ascii="Arial" w:cs="Arial" w:eastAsia="Arial" w:hAnsi="Arial"/>
          <w:b/>
          <w:bCs/>
          <w:color w:val="1F3864"/>
          <w:sz w:val="36"/>
          <w:szCs w:val="36"/>
        </w:rPr>
        <w:t xml:space="preserve">2. Implied Volatility Surface — SVI / SSVI</w:t>
      </w:r>
    </w:p>
    <w:p>
      <w:pPr>
        <w:pStyle w:val="Heading2"/>
        <w:spacing w:before="280" w:after="80"/>
      </w:pPr>
      <w:r>
        <w:rPr>
          <w:rFonts w:ascii="Arial" w:cs="Arial" w:eastAsia="Arial" w:hAnsi="Arial"/>
          <w:b/>
          <w:bCs/>
          <w:color w:val="2E75B6"/>
          <w:sz w:val="28"/>
          <w:szCs w:val="28"/>
        </w:rPr>
        <w:t xml:space="preserve">2.1 Why the Volatility Surface Exists</w:t>
      </w:r>
    </w:p>
    <w:p>
      <w:pPr>
        <w:spacing w:before="60" w:after="60"/>
      </w:pPr>
      <w:r>
        <w:rPr>
          <w:rFonts w:ascii="Arial" w:cs="Arial" w:eastAsia="Arial" w:hAnsi="Arial"/>
          <w:color w:val="1A1A2E"/>
          <w:sz w:val="22"/>
          <w:szCs w:val="22"/>
        </w:rPr>
        <w:t xml:space="preserve">Black-Scholes assumes constant volatility. In reality, options at different strikes and expiries trade at different implied volatilities. The surface </w:t>
      </w:r>
      <w:r>
        <w:rPr>
          <w:rFonts w:ascii="Cambria Math" w:cs="Cambria Math" w:eastAsia="Cambria Math" w:hAnsi="Cambria Math"/>
          <w:i/>
          <w:iCs/>
          <w:color w:val="1F3864"/>
          <w:sz w:val="22"/>
          <w:szCs w:val="22"/>
        </w:rPr>
        <w:t xml:space="preserve">σ_BS(K, T)</w:t>
      </w:r>
      <w:r>
        <w:rPr>
          <w:rFonts w:ascii="Arial" w:cs="Arial" w:eastAsia="Arial" w:hAnsi="Arial"/>
          <w:color w:val="1A1A2E"/>
          <w:sz w:val="22"/>
          <w:szCs w:val="22"/>
        </w:rPr>
        <w:t xml:space="preserve"> maps (strike, expiry) → implied vol. It reflects three market realities:</w:t>
      </w:r>
    </w:p>
    <w:p>
      <w:pPr>
        <w:pStyle w:val="ListParagraph"/>
        <w:numPr>
          <w:ilvl w:val="0"/>
          <w:numId w:val="2"/>
        </w:numPr>
        <w:spacing w:before="40" w:after="40"/>
      </w:pPr>
      <w:r>
        <w:rPr>
          <w:rFonts w:ascii="Arial" w:cs="Arial" w:eastAsia="Arial" w:hAnsi="Arial"/>
          <w:b/>
          <w:bCs/>
          <w:color w:val="1A1A2E"/>
          <w:sz w:val="22"/>
          <w:szCs w:val="22"/>
        </w:rPr>
        <w:t xml:space="preserve">Skew/Smile: </w:t>
      </w:r>
      <w:r>
        <w:rPr>
          <w:rFonts w:ascii="Arial" w:cs="Arial" w:eastAsia="Arial" w:hAnsi="Arial"/>
          <w:color w:val="1A1A2E"/>
          <w:sz w:val="22"/>
          <w:szCs w:val="22"/>
        </w:rPr>
        <w:t xml:space="preserve">OTM puts trade at higher IV than ATM (negative skew in equities, driven by crash risk / leverage effect). The market prices left-tail fat tails.</w:t>
      </w:r>
    </w:p>
    <w:p>
      <w:pPr>
        <w:pStyle w:val="ListParagraph"/>
        <w:numPr>
          <w:ilvl w:val="0"/>
          <w:numId w:val="2"/>
        </w:numPr>
        <w:spacing w:before="40" w:after="40"/>
      </w:pPr>
      <w:r>
        <w:rPr>
          <w:rFonts w:ascii="Arial" w:cs="Arial" w:eastAsia="Arial" w:hAnsi="Arial"/>
          <w:b/>
          <w:bCs/>
          <w:color w:val="1A1A2E"/>
          <w:sz w:val="22"/>
          <w:szCs w:val="22"/>
        </w:rPr>
        <w:t xml:space="preserve">Term structure: </w:t>
      </w:r>
      <w:r>
        <w:rPr>
          <w:rFonts w:ascii="Arial" w:cs="Arial" w:eastAsia="Arial" w:hAnsi="Arial"/>
          <w:color w:val="1A1A2E"/>
          <w:sz w:val="22"/>
          <w:szCs w:val="22"/>
        </w:rPr>
        <w:t xml:space="preserve">Short-dated vol is more sensitive to recent events; long-dated vol reverts toward a long-run level.</w:t>
      </w:r>
    </w:p>
    <w:p>
      <w:pPr>
        <w:pStyle w:val="ListParagraph"/>
        <w:numPr>
          <w:ilvl w:val="0"/>
          <w:numId w:val="2"/>
        </w:numPr>
        <w:spacing w:before="40" w:after="40"/>
      </w:pPr>
      <w:r>
        <w:rPr>
          <w:rFonts w:ascii="Arial" w:cs="Arial" w:eastAsia="Arial" w:hAnsi="Arial"/>
          <w:b/>
          <w:bCs/>
          <w:color w:val="1A1A2E"/>
          <w:sz w:val="22"/>
          <w:szCs w:val="22"/>
        </w:rPr>
        <w:t xml:space="preserve">Smile dynamics: </w:t>
      </w:r>
      <w:r>
        <w:rPr>
          <w:rFonts w:ascii="Arial" w:cs="Arial" w:eastAsia="Arial" w:hAnsi="Arial"/>
          <w:color w:val="1A1A2E"/>
          <w:sz w:val="22"/>
          <w:szCs w:val="22"/>
        </w:rPr>
        <w:t xml:space="preserve">How the surface moves (sticky-strike vs sticky-delta) affects which Greeks matter for hedging.</w:t>
      </w:r>
    </w:p>
    <w:p>
      <w:pPr>
        <w:pStyle w:val="Heading2"/>
        <w:spacing w:before="280" w:after="80"/>
      </w:pPr>
      <w:r>
        <w:rPr>
          <w:rFonts w:ascii="Arial" w:cs="Arial" w:eastAsia="Arial" w:hAnsi="Arial"/>
          <w:b/>
          <w:bCs/>
          <w:color w:val="2E75B6"/>
          <w:sz w:val="28"/>
          <w:szCs w:val="28"/>
        </w:rPr>
        <w:t xml:space="preserve">2.2 Total Implied Variance — The Natural Working Variable</w:t>
      </w:r>
    </w:p>
    <w:p>
      <w:pPr>
        <w:spacing w:before="60" w:after="60"/>
      </w:pPr>
      <w:r>
        <w:rPr>
          <w:rFonts w:ascii="Arial" w:cs="Arial" w:eastAsia="Arial" w:hAnsi="Arial"/>
          <w:color w:val="1A1A2E"/>
          <w:sz w:val="22"/>
          <w:szCs w:val="22"/>
        </w:rPr>
        <w:t xml:space="preserve">Rather than working in volatility space, the literature works in </w:t>
      </w:r>
      <w:r>
        <w:rPr>
          <w:rFonts w:ascii="Arial" w:cs="Arial" w:eastAsia="Arial" w:hAnsi="Arial"/>
          <w:b/>
          <w:bCs/>
          <w:color w:val="1A1A2E"/>
          <w:sz w:val="22"/>
          <w:szCs w:val="22"/>
        </w:rPr>
        <w:t xml:space="preserve">total variance</w:t>
      </w:r>
      <w:r>
        <w:rPr>
          <w:rFonts w:ascii="Arial" w:cs="Arial" w:eastAsia="Arial" w:hAnsi="Arial"/>
          <w:color w:val="1A1A2E"/>
          <w:sz w:val="22"/>
          <w:szCs w:val="22"/>
        </w:rPr>
        <w:t xml:space="preserve"> space:</w:t>
      </w:r>
    </w:p>
    <w:p>
      <w:pPr>
        <w:shd w:fill="F2F4F7" w:val="clear"/>
        <w:spacing w:before="100" w:after="100"/>
        <w:jc w:val="center"/>
      </w:pPr>
      <w:r>
        <w:rPr>
          <w:rFonts w:ascii="Cambria Math" w:cs="Cambria Math" w:eastAsia="Cambria Math" w:hAnsi="Cambria Math"/>
          <w:i/>
          <w:iCs/>
          <w:color w:val="1F3864"/>
          <w:sz w:val="24"/>
          <w:szCs w:val="24"/>
        </w:rPr>
        <w:t xml:space="preserve">w(k, T) = σ²_BS(k, T) · T</w:t>
      </w:r>
    </w:p>
    <w:p>
      <w:pPr>
        <w:spacing w:before="60" w:after="60"/>
      </w:pPr>
      <w:r>
        <w:rPr>
          <w:rFonts w:ascii="Arial" w:cs="Arial" w:eastAsia="Arial" w:hAnsi="Arial"/>
          <w:color w:val="1A1A2E"/>
          <w:sz w:val="22"/>
          <w:szCs w:val="22"/>
        </w:rPr>
        <w:t xml:space="preserve">where </w:t>
      </w:r>
      <w:r>
        <w:rPr>
          <w:rFonts w:ascii="Cambria Math" w:cs="Cambria Math" w:eastAsia="Cambria Math" w:hAnsi="Cambria Math"/>
          <w:i/>
          <w:iCs/>
          <w:color w:val="1F3864"/>
          <w:sz w:val="22"/>
          <w:szCs w:val="22"/>
        </w:rPr>
        <w:t xml:space="preserve">k = ln(K/F)</w:t>
      </w:r>
      <w:r>
        <w:rPr>
          <w:rFonts w:ascii="Arial" w:cs="Arial" w:eastAsia="Arial" w:hAnsi="Arial"/>
          <w:color w:val="1A1A2E"/>
          <w:sz w:val="22"/>
          <w:szCs w:val="22"/>
        </w:rPr>
        <w:t xml:space="preserve"> is log-moneyness. This choice is fundamental:</w:t>
      </w:r>
    </w:p>
    <w:p>
      <w:pPr>
        <w:pStyle w:val="ListParagraph"/>
        <w:numPr>
          <w:ilvl w:val="0"/>
          <w:numId w:val="2"/>
        </w:numPr>
        <w:spacing w:before="40" w:after="40"/>
      </w:pPr>
      <w:r>
        <w:rPr>
          <w:rFonts w:ascii="Arial" w:cs="Arial" w:eastAsia="Arial" w:hAnsi="Arial"/>
          <w:b/>
          <w:bCs/>
          <w:color w:val="1A1A2E"/>
          <w:sz w:val="22"/>
          <w:szCs w:val="22"/>
        </w:rPr>
        <w:t xml:space="preserve">Calendar arb condition simplifies: </w:t>
      </w:r>
      <w:r>
        <w:rPr>
          <w:rFonts w:ascii="Arial" w:cs="Arial" w:eastAsia="Arial" w:hAnsi="Arial"/>
          <w:color w:val="1A1A2E"/>
          <w:sz w:val="22"/>
          <w:szCs w:val="22"/>
        </w:rPr>
        <w:t xml:space="preserve">w must be non-decreasing in T (not σ²_BS, which can decrease if the term structure inverts).</w:t>
      </w:r>
    </w:p>
    <w:p>
      <w:pPr>
        <w:pStyle w:val="ListParagraph"/>
        <w:numPr>
          <w:ilvl w:val="0"/>
          <w:numId w:val="2"/>
        </w:numPr>
        <w:spacing w:before="40" w:after="40"/>
      </w:pPr>
      <w:r>
        <w:rPr>
          <w:rFonts w:ascii="Arial" w:cs="Arial" w:eastAsia="Arial" w:hAnsi="Arial"/>
          <w:b/>
          <w:bCs/>
          <w:color w:val="1A1A2E"/>
          <w:sz w:val="22"/>
          <w:szCs w:val="22"/>
        </w:rPr>
        <w:t xml:space="preserve">SVI/SSVI are formulated in w: </w:t>
      </w:r>
      <w:r>
        <w:rPr>
          <w:rFonts w:ascii="Arial" w:cs="Arial" w:eastAsia="Arial" w:hAnsi="Arial"/>
          <w:color w:val="1A1A2E"/>
          <w:sz w:val="22"/>
          <w:szCs w:val="22"/>
        </w:rPr>
        <w:t xml:space="preserve">The parameterizations are cleaner and the arbitrage conditions are exact in w-space.</w:t>
      </w:r>
    </w:p>
    <w:p>
      <w:pPr>
        <w:pStyle w:val="ListParagraph"/>
        <w:numPr>
          <w:ilvl w:val="0"/>
          <w:numId w:val="2"/>
        </w:numPr>
        <w:spacing w:before="40" w:after="40"/>
      </w:pPr>
      <w:r>
        <w:rPr>
          <w:rFonts w:ascii="Arial" w:cs="Arial" w:eastAsia="Arial" w:hAnsi="Arial"/>
          <w:b/>
          <w:bCs/>
          <w:color w:val="1A1A2E"/>
          <w:sz w:val="22"/>
          <w:szCs w:val="22"/>
        </w:rPr>
        <w:t xml:space="preserve">Interpolation is cleaner: </w:t>
      </w:r>
      <w:r>
        <w:rPr>
          <w:rFonts w:ascii="Arial" w:cs="Arial" w:eastAsia="Arial" w:hAnsi="Arial"/>
          <w:color w:val="1A1A2E"/>
          <w:sz w:val="22"/>
          <w:szCs w:val="22"/>
        </w:rPr>
        <w:t xml:space="preserve">Linear interpolation in √θ (where θ = w(0,T)) is the arbitrage-free interpolation of Lemma 5.1 from Gatheral-Jacquier.</w:t>
      </w:r>
    </w:p>
    <w:p>
      <w:pPr>
        <w:pStyle w:val="Heading2"/>
        <w:spacing w:before="280" w:after="80"/>
      </w:pPr>
      <w:r>
        <w:rPr>
          <w:rFonts w:ascii="Arial" w:cs="Arial" w:eastAsia="Arial" w:hAnsi="Arial"/>
          <w:b/>
          <w:bCs/>
          <w:color w:val="2E75B6"/>
          <w:sz w:val="28"/>
          <w:szCs w:val="28"/>
        </w:rPr>
        <w:t xml:space="preserve">2.3 Raw SVI Parameterization</w:t>
      </w:r>
    </w:p>
    <w:p>
      <w:pPr>
        <w:spacing w:before="60" w:after="60"/>
      </w:pPr>
      <w:r>
        <w:rPr>
          <w:rFonts w:ascii="Arial" w:cs="Arial" w:eastAsia="Arial" w:hAnsi="Arial"/>
          <w:color w:val="1A1A2E"/>
          <w:sz w:val="22"/>
          <w:szCs w:val="22"/>
        </w:rPr>
        <w:t xml:space="preserve">For a single expiry slice, the raw SVI (Gatheral 2004) parameterizes total implied variance as:</w:t>
      </w:r>
    </w:p>
    <w:p>
      <w:pPr>
        <w:shd w:fill="F2F4F7" w:val="clear"/>
        <w:spacing w:before="100" w:after="100"/>
        <w:jc w:val="center"/>
      </w:pPr>
      <w:r>
        <w:rPr>
          <w:rFonts w:ascii="Cambria Math" w:cs="Cambria Math" w:eastAsia="Cambria Math" w:hAnsi="Cambria Math"/>
          <w:i/>
          <w:iCs/>
          <w:color w:val="1F3864"/>
          <w:sz w:val="24"/>
          <w:szCs w:val="24"/>
        </w:rPr>
        <w:t xml:space="preserve">w(k; χ_R) = a + b { ρ(k - m) + √[(k - m)² + σ²] }</w:t>
      </w:r>
    </w:p>
    <w:p>
      <w:pPr>
        <w:spacing w:before="60" w:after="60"/>
      </w:pPr>
      <w:r>
        <w:rPr>
          <w:rFonts w:ascii="Arial" w:cs="Arial" w:eastAsia="Arial" w:hAnsi="Arial"/>
          <w:color w:val="1A1A2E"/>
          <w:sz w:val="22"/>
          <w:szCs w:val="22"/>
        </w:rPr>
        <w:t xml:space="preserve">with parameter set </w:t>
      </w:r>
      <w:r>
        <w:rPr>
          <w:rFonts w:ascii="Cambria Math" w:cs="Cambria Math" w:eastAsia="Cambria Math" w:hAnsi="Cambria Math"/>
          <w:i/>
          <w:iCs/>
          <w:color w:val="1F3864"/>
          <w:sz w:val="22"/>
          <w:szCs w:val="22"/>
        </w:rPr>
        <w:t xml:space="preserve">χ_R = {a, b, ρ, m, σ}</w:t>
      </w:r>
      <w:r>
        <w:rPr>
          <w:rFonts w:ascii="Arial" w:cs="Arial" w:eastAsia="Arial" w:hAnsi="Arial"/>
          <w:color w:val="1A1A2E"/>
          <w:sz w:val="22"/>
          <w:szCs w:val="22"/>
        </w:rPr>
        <w:t xml:space="preserve">. Each parameter has a clear geometric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a ∈ ℝ</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Vertical translation — overall level of total variance.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22"/>
                <w:szCs w:val="22"/>
              </w:rPr>
              <w:t xml:space="preserve">b ≥ 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2E"/>
                <w:sz w:val="22"/>
                <w:szCs w:val="22"/>
              </w:rPr>
              <w:t xml:space="preserve">Angle — increases slopes of both put and call wings, tightening the smile.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ρ ∈ (-1,1)</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Rotation — negative ρ steepens the put wing (equity skew). Controls correlation between spot and vol.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22"/>
                <w:szCs w:val="22"/>
              </w:rPr>
              <w:t xml:space="preserve">m ∈ ℝ</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2E"/>
                <w:sz w:val="22"/>
                <w:szCs w:val="22"/>
              </w:rPr>
              <w:t xml:space="preserve">Horizontal shift — translates the smile right/left.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σ &gt; 0</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ATM curvature — larger σ gives a flatter, more parabolic smile near ATM.</w:t>
            </w:r>
          </w:p>
        </w:tc>
      </w:tr>
    </w:tbl>
    <w:p>
      <w:pPr>
        <w:spacing w:before="60" w:after="60"/>
      </w:pPr>
      <w:r>
        <w:rPr>
          <w:rFonts w:ascii="Arial" w:cs="Arial" w:eastAsia="Arial" w:hAnsi="Arial"/>
          <w:color w:val="1A1A2E"/>
          <w:sz w:val="22"/>
          <w:szCs w:val="22"/>
        </w:rPr>
        <w:t xml:space="preserve">The non-negativity constraint </w:t>
      </w:r>
      <w:r>
        <w:rPr>
          <w:rFonts w:ascii="Cambria Math" w:cs="Cambria Math" w:eastAsia="Cambria Math" w:hAnsi="Cambria Math"/>
          <w:i/>
          <w:iCs/>
          <w:color w:val="1F3864"/>
          <w:sz w:val="22"/>
          <w:szCs w:val="22"/>
        </w:rPr>
        <w:t xml:space="preserve">a + bσ√(1-ρ²) ≥ 0</w:t>
      </w:r>
      <w:r>
        <w:rPr>
          <w:rFonts w:ascii="Arial" w:cs="Arial" w:eastAsia="Arial" w:hAnsi="Arial"/>
          <w:color w:val="1A1A2E"/>
          <w:sz w:val="22"/>
          <w:szCs w:val="22"/>
        </w:rPr>
        <w:t xml:space="preserve"> ensures w ≥ 0 everywhere. The smile is strictly convex everywhere.</w:t>
      </w:r>
    </w:p>
    <w:p>
      <w:pPr>
        <w:pStyle w:val="Heading2"/>
        <w:spacing w:before="280" w:after="80"/>
      </w:pPr>
      <w:r>
        <w:rPr>
          <w:rFonts w:ascii="Arial" w:cs="Arial" w:eastAsia="Arial" w:hAnsi="Arial"/>
          <w:b/>
          <w:bCs/>
          <w:color w:val="2E75B6"/>
          <w:sz w:val="28"/>
          <w:szCs w:val="28"/>
        </w:rPr>
        <w:t xml:space="preserve">2.4 SVI Jump-Wings (SVI-JW) Parameterization</w:t>
      </w:r>
    </w:p>
    <w:p>
      <w:pPr>
        <w:spacing w:before="60" w:after="60"/>
      </w:pPr>
      <w:r>
        <w:rPr>
          <w:rFonts w:ascii="Arial" w:cs="Arial" w:eastAsia="Arial" w:hAnsi="Arial"/>
          <w:color w:val="1A1A2E"/>
          <w:sz w:val="22"/>
          <w:szCs w:val="22"/>
        </w:rPr>
        <w:t xml:space="preserve">The raw SVI parameters are not intuitive to traders. The Jump-Wings form uses trader-observable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v_t (ATM variance)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w(0)/T — the ATM implied variance. Traders quote ATM vol as √(v_t).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22"/>
                <w:szCs w:val="22"/>
              </w:rPr>
              <w:t xml:space="preserve">ψ_t (ATM skew)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2E"/>
                <w:sz w:val="22"/>
                <w:szCs w:val="22"/>
              </w:rPr>
              <w:t xml:space="preserve">∂σ_BS/∂k|_{k=0} — the slope of the smile at ATM. Negative for equity.</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p_t (put wing slope)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Asymptotic slope of the left wing as k → -∞ (normalized by √w_t).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22"/>
                <w:szCs w:val="22"/>
              </w:rPr>
              <w:t xml:space="preserve">c_t (call wing slope)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2E"/>
                <w:sz w:val="22"/>
                <w:szCs w:val="22"/>
              </w:rPr>
              <w:t xml:space="preserve">Asymptotic slope of the right wing as k → +∞.</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ṽ_t (min variance)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The minimum total variance across all strikes.</w:t>
            </w:r>
          </w:p>
        </w:tc>
      </w:tr>
    </w:tbl>
    <w:p>
      <w:pPr>
        <w:spacing w:before="60" w:after="60"/>
      </w:pPr>
      <w:r>
        <w:rPr>
          <w:rFonts w:ascii="Arial" w:cs="Arial" w:eastAsia="Arial" w:hAnsi="Arial"/>
          <w:color w:val="1A1A2E"/>
          <w:sz w:val="22"/>
          <w:szCs w:val="22"/>
        </w:rPr>
        <w:t xml:space="preserve">If smiles scale perfectly as 1/√w_t with maturity (approximately true empirically), these JW parameters are </w:t>
      </w:r>
      <w:r>
        <w:rPr>
          <w:rFonts w:ascii="Arial" w:cs="Arial" w:eastAsia="Arial" w:hAnsi="Arial"/>
          <w:b/>
          <w:bCs/>
          <w:color w:val="1A1A2E"/>
          <w:sz w:val="22"/>
          <w:szCs w:val="22"/>
        </w:rPr>
        <w:t xml:space="preserve">constant across tenors</w:t>
      </w:r>
      <w:r>
        <w:rPr>
          <w:rFonts w:ascii="Arial" w:cs="Arial" w:eastAsia="Arial" w:hAnsi="Arial"/>
          <w:color w:val="1A1A2E"/>
          <w:sz w:val="22"/>
          <w:szCs w:val="22"/>
        </w:rPr>
        <w:t xml:space="preserve">, enabling stable extrapolation. The JW form is what traders use mentally — "our 1-month skew is -0.3 vols per 10-delta" maps directly to ψ_t.</w:t>
      </w:r>
    </w:p>
    <w:p>
      <w:pPr>
        <w:pStyle w:val="Heading2"/>
        <w:spacing w:before="280" w:after="80"/>
      </w:pPr>
      <w:r>
        <w:rPr>
          <w:rFonts w:ascii="Arial" w:cs="Arial" w:eastAsia="Arial" w:hAnsi="Arial"/>
          <w:b/>
          <w:bCs/>
          <w:color w:val="2E75B6"/>
          <w:sz w:val="28"/>
          <w:szCs w:val="28"/>
        </w:rPr>
        <w:t xml:space="preserve">2.5 SSVI — Surface SVI (Gatheral-Jacquier 2013)</w:t>
      </w:r>
    </w:p>
    <w:p>
      <w:pPr>
        <w:spacing w:before="60" w:after="60"/>
      </w:pPr>
      <w:r>
        <w:rPr>
          <w:rFonts w:ascii="Arial" w:cs="Arial" w:eastAsia="Arial" w:hAnsi="Arial"/>
          <w:color w:val="1A1A2E"/>
          <w:sz w:val="22"/>
          <w:szCs w:val="22"/>
        </w:rPr>
        <w:t xml:space="preserve">The central innovation in the project. SSVI extends the natural SVI form to the entire surface by parameterizing the surface in terms of ATM variance θ_t = σ²_ATM · T:</w:t>
      </w:r>
    </w:p>
    <w:p>
      <w:pPr>
        <w:shd w:fill="F2F4F7" w:val="clear"/>
        <w:spacing w:before="100" w:after="100"/>
        <w:jc w:val="center"/>
      </w:pPr>
      <w:r>
        <w:rPr>
          <w:rFonts w:ascii="Cambria Math" w:cs="Cambria Math" w:eastAsia="Cambria Math" w:hAnsi="Cambria Math"/>
          <w:i/>
          <w:iCs/>
          <w:color w:val="1F3864"/>
          <w:sz w:val="24"/>
          <w:szCs w:val="24"/>
        </w:rPr>
        <w:t xml:space="preserve">w(k, θ_t) = (θ_t/2) · { 1 + ρφ(θ_t)k + √[(φ(θ_t)k + ρ)² + (1 - ρ²)] }</w:t>
      </w:r>
    </w:p>
    <w:p>
      <w:pPr>
        <w:spacing w:before="60" w:after="60"/>
      </w:pPr>
      <w:r>
        <w:rPr>
          <w:rFonts w:ascii="Arial" w:cs="Arial" w:eastAsia="Arial" w:hAnsi="Arial"/>
          <w:color w:val="1A1A2E"/>
          <w:sz w:val="22"/>
          <w:szCs w:val="22"/>
        </w:rPr>
        <w:t xml:space="preserve">The mixing function φ links the smile curvature to the ATM level. The project uses the power-law form:</w:t>
      </w:r>
    </w:p>
    <w:p>
      <w:pPr>
        <w:shd w:fill="F2F4F7" w:val="clear"/>
        <w:spacing w:before="100" w:after="100"/>
        <w:jc w:val="center"/>
      </w:pPr>
      <w:r>
        <w:rPr>
          <w:rFonts w:ascii="Cambria Math" w:cs="Cambria Math" w:eastAsia="Cambria Math" w:hAnsi="Cambria Math"/>
          <w:i/>
          <w:iCs/>
          <w:color w:val="1F3864"/>
          <w:sz w:val="24"/>
          <w:szCs w:val="24"/>
        </w:rPr>
        <w:t xml:space="preserve">φ(θ) = η / θ^(1/2)        (with η &gt; 0, γ = 1/2)</w:t>
      </w:r>
    </w:p>
    <w:p>
      <w:pPr>
        <w:spacing w:before="60" w:after="60"/>
      </w:pPr>
      <w:r>
        <w:rPr>
          <w:rFonts w:ascii="Arial" w:cs="Arial" w:eastAsia="Arial" w:hAnsi="Arial"/>
          <w:color w:val="1A1A2E"/>
          <w:sz w:val="22"/>
          <w:szCs w:val="22"/>
        </w:rPr>
        <w:t xml:space="preserve">This specific choice (γ = 1/2) is special: the SVI-JW parameters ψ_t, p_t, c_t become </w:t>
      </w:r>
      <w:r>
        <w:rPr>
          <w:rFonts w:ascii="Arial" w:cs="Arial" w:eastAsia="Arial" w:hAnsi="Arial"/>
          <w:b/>
          <w:bCs/>
          <w:color w:val="1A1A2E"/>
          <w:sz w:val="22"/>
          <w:szCs w:val="22"/>
        </w:rPr>
        <w:t xml:space="preserve">constant and independent of tenor</w:t>
      </w:r>
      <w:r>
        <w:rPr>
          <w:rFonts w:ascii="Arial" w:cs="Arial" w:eastAsia="Arial" w:hAnsi="Arial"/>
          <w:color w:val="1A1A2E"/>
          <w:sz w:val="22"/>
          <w:szCs w:val="22"/>
        </w:rPr>
        <w:t xml:space="preserve">, a key simplification.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6064" w:sz="1"/>
              <w:left w:val="single" w:color="006064" w:sz="1"/>
              <w:bottom w:val="single" w:color="006064" w:sz="1"/>
              <w:right w:val="single" w:color="006064" w:sz="1"/>
            </w:tcBorders>
            <w:shd w:fill="0060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INSIGHT</w:t>
            </w:r>
          </w:p>
        </w:tc>
        <w:tc>
          <w:tcPr>
            <w:tcW w:type="dxa" w:w="8160"/>
            <w:tcBorders>
              <w:top w:val="single" w:color="006064" w:sz="1"/>
              <w:left w:val="single" w:color="006064" w:sz="1"/>
              <w:bottom w:val="single" w:color="006064" w:sz="1"/>
              <w:right w:val="single" w:color="006064" w:sz="1"/>
            </w:tcBorders>
            <w:shd w:fill="F8FAFF" w:val="clear"/>
            <w:tcMar>
              <w:top w:type="dxa" w:w="100"/>
              <w:left w:type="dxa" w:w="160"/>
              <w:bottom w:type="dxa" w:w="100"/>
              <w:right w:type="dxa" w:w="120"/>
            </w:tcMar>
          </w:tcPr>
          <w:p>
            <w:r>
              <w:rPr>
                <w:rFonts w:ascii="Arial" w:cs="Arial" w:eastAsia="Arial" w:hAnsi="Arial"/>
                <w:color w:val="1A1A2E"/>
                <w:sz w:val="22"/>
                <w:szCs w:val="22"/>
              </w:rPr>
              <w:t xml:space="preserve">SSVI has only 3 parameters (ρ, η, and the ATM variance curve θ_t) but produces a fully arbitrage-free surface. Raw SVI has 5 parameters per tenor — SSVI is more parsimonious AND arbitrage-free. The ATM curve θ_t is directly observable from market prices.</w:t>
            </w:r>
          </w:p>
        </w:tc>
      </w:tr>
    </w:tbl>
    <w:p>
      <w:r>
        <w:t xml:space="preserve"> </w:t>
      </w:r>
    </w:p>
    <w:p>
      <w:pPr>
        <w:pStyle w:val="Heading3"/>
        <w:spacing w:before="200" w:after="60"/>
      </w:pPr>
      <w:r>
        <w:rPr>
          <w:rFonts w:ascii="Arial" w:cs="Arial" w:eastAsia="Arial" w:hAnsi="Arial"/>
          <w:b/>
          <w:bCs/>
          <w:color w:val="006064"/>
          <w:sz w:val="24"/>
          <w:szCs w:val="24"/>
        </w:rPr>
        <w:t xml:space="preserve">Symbol Reference for SSVI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k = ln(K/F)</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Log-moneyness relative to forward. k=0 is ATM, k&lt;0 is OTM put, k&gt;0 is OTM call.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22"/>
                <w:szCs w:val="22"/>
              </w:rPr>
              <w:t xml:space="preserve">θ_t = σ²_ATM · 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2E"/>
                <w:sz w:val="22"/>
                <w:szCs w:val="22"/>
              </w:rPr>
              <w:t xml:space="preserve">ATM total implied variance. Observable directly from ATM option prices. Grows with 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ρ ∈ (-1,1)</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Surface-wide correlation / skew. Negative for equities (≈ -0.7 for SPX).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22"/>
                <w:szCs w:val="22"/>
              </w:rPr>
              <w:t xml:space="preserve">η &gt; 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2E"/>
                <w:sz w:val="22"/>
                <w:szCs w:val="22"/>
              </w:rPr>
              <w:t xml:space="preserve">Vol-of-vol / curvature scaling. Higher η → steeper smile wings.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φ(θ) = η/√θ</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Mixing function. Ensures smile flattens at long maturities (consistent with empirics).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22"/>
                <w:szCs w:val="22"/>
              </w:rPr>
              <w:t xml:space="preserve">w(k,θ)</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2E"/>
                <w:sz w:val="22"/>
                <w:szCs w:val="22"/>
              </w:rPr>
              <w:t xml:space="preserve">Total implied variance at log-moneyness k, ATM variance θ.</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σ_BS(k,T)</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Implied Black-Scholes volatility. σ_BS = √(w/T).</w:t>
            </w:r>
          </w:p>
        </w:tc>
      </w:tr>
    </w:tbl>
    <w:p>
      <w:pPr>
        <w:pStyle w:val="Heading2"/>
        <w:spacing w:before="280" w:after="80"/>
      </w:pPr>
      <w:r>
        <w:rPr>
          <w:rFonts w:ascii="Arial" w:cs="Arial" w:eastAsia="Arial" w:hAnsi="Arial"/>
          <w:b/>
          <w:bCs/>
          <w:color w:val="2E75B6"/>
          <w:sz w:val="28"/>
          <w:szCs w:val="28"/>
        </w:rPr>
        <w:t xml:space="preserve">2.6 Calibration Procedure</w:t>
      </w:r>
    </w:p>
    <w:p>
      <w:pPr>
        <w:spacing w:before="60" w:after="60"/>
      </w:pPr>
      <w:r>
        <w:rPr>
          <w:rFonts w:ascii="Arial" w:cs="Arial" w:eastAsia="Arial" w:hAnsi="Arial"/>
          <w:color w:val="1A1A2E"/>
          <w:sz w:val="22"/>
          <w:szCs w:val="22"/>
        </w:rPr>
        <w:t xml:space="preserve">The project's calibration of SSVI is a two-stage optimization:</w:t>
      </w:r>
    </w:p>
    <w:p>
      <w:pPr>
        <w:pStyle w:val="ListParagraph"/>
        <w:numPr>
          <w:ilvl w:val="0"/>
          <w:numId w:val="3"/>
        </w:numPr>
        <w:spacing w:before="40" w:after="40"/>
      </w:pPr>
      <w:r>
        <w:rPr>
          <w:rFonts w:ascii="Arial" w:cs="Arial" w:eastAsia="Arial" w:hAnsi="Arial"/>
          <w:b/>
          <w:bCs/>
          <w:color w:val="1A1A2E"/>
          <w:sz w:val="22"/>
          <w:szCs w:val="22"/>
        </w:rPr>
        <w:t xml:space="preserve">Per-slice fit: </w:t>
      </w:r>
      <w:r>
        <w:rPr>
          <w:rFonts w:ascii="Arial" w:cs="Arial" w:eastAsia="Arial" w:hAnsi="Arial"/>
          <w:color w:val="1A1A2E"/>
          <w:sz w:val="22"/>
          <w:szCs w:val="22"/>
        </w:rPr>
        <w:t xml:space="preserve">For each expiry T_i, fix (ρ, η) and minimize weighted squared distance in w-space between SSVI model and market-implied total variances. Uses L-BFGS-B (bounded quasi-Newton).</w:t>
      </w:r>
    </w:p>
    <w:p>
      <w:pPr>
        <w:pStyle w:val="ListParagraph"/>
        <w:numPr>
          <w:ilvl w:val="0"/>
          <w:numId w:val="3"/>
        </w:numPr>
        <w:spacing w:before="40" w:after="40"/>
      </w:pPr>
      <w:r>
        <w:rPr>
          <w:rFonts w:ascii="Arial" w:cs="Arial" w:eastAsia="Arial" w:hAnsi="Arial"/>
          <w:b/>
          <w:bCs/>
          <w:color w:val="1A1A2E"/>
          <w:sz w:val="22"/>
          <w:szCs w:val="22"/>
        </w:rPr>
        <w:t xml:space="preserve">Global consensus: </w:t>
      </w:r>
      <w:r>
        <w:rPr>
          <w:rFonts w:ascii="Arial" w:cs="Arial" w:eastAsia="Arial" w:hAnsi="Arial"/>
          <w:color w:val="1A1A2E"/>
          <w:sz w:val="22"/>
          <w:szCs w:val="22"/>
        </w:rPr>
        <w:t xml:space="preserve">Compute median (ρ, η) across all slices. This enforces surface consistency — the smile shape should not change erratically across tenors.</w:t>
      </w:r>
    </w:p>
    <w:p>
      <w:pPr>
        <w:pStyle w:val="ListParagraph"/>
        <w:numPr>
          <w:ilvl w:val="0"/>
          <w:numId w:val="3"/>
        </w:numPr>
        <w:spacing w:before="40" w:after="40"/>
      </w:pPr>
      <w:r>
        <w:rPr>
          <w:rFonts w:ascii="Arial" w:cs="Arial" w:eastAsia="Arial" w:hAnsi="Arial"/>
          <w:b/>
          <w:bCs/>
          <w:color w:val="1A1A2E"/>
          <w:sz w:val="22"/>
          <w:szCs w:val="22"/>
        </w:rPr>
        <w:t xml:space="preserve">Arb correction: </w:t>
      </w:r>
      <w:r>
        <w:rPr>
          <w:rFonts w:ascii="Arial" w:cs="Arial" w:eastAsia="Arial" w:hAnsi="Arial"/>
          <w:color w:val="1A1A2E"/>
          <w:sz w:val="22"/>
          <w:szCs w:val="22"/>
        </w:rPr>
        <w:t xml:space="preserve">Check the calibrated surface for calendar and butterfly arbitrage. If violations found, re-fit with the global (ρ, η) locked and only optimize θ_t per slice.</w:t>
      </w:r>
    </w:p>
    <w:p>
      <w:pPr>
        <w:spacing w:before="60" w:after="60"/>
      </w:pPr>
      <w:r>
        <w:rPr>
          <w:rFonts w:ascii="Arial" w:cs="Arial" w:eastAsia="Arial" w:hAnsi="Arial"/>
          <w:color w:val="1A1A2E"/>
          <w:sz w:val="22"/>
          <w:szCs w:val="22"/>
        </w:rPr>
        <w:t xml:space="preserve">The objective function per slice is:</w:t>
      </w:r>
    </w:p>
    <w:p>
      <w:pPr>
        <w:shd w:fill="F2F4F7" w:val="clear"/>
        <w:spacing w:before="100" w:after="100"/>
        <w:jc w:val="center"/>
      </w:pPr>
      <w:r>
        <w:rPr>
          <w:rFonts w:ascii="Cambria Math" w:cs="Cambria Math" w:eastAsia="Cambria Math" w:hAnsi="Cambria Math"/>
          <w:i/>
          <w:iCs/>
          <w:color w:val="1F3864"/>
          <w:sz w:val="24"/>
          <w:szCs w:val="24"/>
        </w:rPr>
        <w:t xml:space="preserve">min_{θ,ρ,η}  Σ_i  w_i · (w_SSVI(k_i; θ,ρ,η) - w_market,i)²</w:t>
      </w:r>
    </w:p>
    <w:p>
      <w:pPr>
        <w:spacing w:before="60" w:after="60"/>
      </w:pPr>
      <w:r>
        <w:rPr>
          <w:rFonts w:ascii="Arial" w:cs="Arial" w:eastAsia="Arial" w:hAnsi="Arial"/>
          <w:color w:val="1A1A2E"/>
          <w:sz w:val="22"/>
          <w:szCs w:val="22"/>
        </w:rPr>
        <w:t xml:space="preserve">where </w:t>
      </w:r>
      <w:r>
        <w:rPr>
          <w:rFonts w:ascii="Cambria Math" w:cs="Cambria Math" w:eastAsia="Cambria Math" w:hAnsi="Cambria Math"/>
          <w:i/>
          <w:iCs/>
          <w:color w:val="1F3864"/>
          <w:sz w:val="22"/>
          <w:szCs w:val="22"/>
        </w:rPr>
        <w:t xml:space="preserve">w_i = vega_proxy_i · log(1 + volume_i)</w:t>
      </w:r>
      <w:r>
        <w:rPr>
          <w:rFonts w:ascii="Arial" w:cs="Arial" w:eastAsia="Arial" w:hAnsi="Arial"/>
          <w:color w:val="1A1A2E"/>
          <w:sz w:val="22"/>
          <w:szCs w:val="22"/>
        </w:rPr>
        <w:t xml:space="preserve"> focuses the fit on liquid ATM options.</w:t>
      </w:r>
    </w:p>
    <w:p>
      <w:pPr>
        <w:pStyle w:val="Heading2"/>
        <w:spacing w:before="280" w:after="80"/>
      </w:pPr>
      <w:r>
        <w:rPr>
          <w:rFonts w:ascii="Arial" w:cs="Arial" w:eastAsia="Arial" w:hAnsi="Arial"/>
          <w:b/>
          <w:bCs/>
          <w:color w:val="2E75B6"/>
          <w:sz w:val="28"/>
          <w:szCs w:val="28"/>
        </w:rPr>
        <w:t xml:space="preserve">2.7 Vega × log(Volume) Weighting — Deep Dive</w:t>
      </w:r>
    </w:p>
    <w:p>
      <w:pPr>
        <w:spacing w:before="60" w:after="60"/>
      </w:pPr>
      <w:r>
        <w:rPr>
          <w:rFonts w:ascii="Arial" w:cs="Arial" w:eastAsia="Arial" w:hAnsi="Arial"/>
          <w:color w:val="1A1A2E"/>
          <w:sz w:val="22"/>
          <w:szCs w:val="22"/>
        </w:rPr>
        <w:t xml:space="preserve">This weighting scheme concentrates calibration power where it matters most. Two components:</w:t>
      </w:r>
    </w:p>
    <w:p>
      <w:pPr>
        <w:pStyle w:val="ListParagraph"/>
        <w:numPr>
          <w:ilvl w:val="0"/>
          <w:numId w:val="2"/>
        </w:numPr>
        <w:spacing w:before="40" w:after="40"/>
      </w:pPr>
      <w:r>
        <w:rPr>
          <w:rFonts w:ascii="Arial" w:cs="Arial" w:eastAsia="Arial" w:hAnsi="Arial"/>
          <w:b/>
          <w:bCs/>
          <w:color w:val="1A1A2E"/>
          <w:sz w:val="22"/>
          <w:szCs w:val="22"/>
        </w:rPr>
        <w:t xml:space="preserve">Vega proxy (IV · √T): </w:t>
      </w:r>
      <w:r>
        <w:rPr>
          <w:rFonts w:ascii="Arial" w:cs="Arial" w:eastAsia="Arial" w:hAnsi="Arial"/>
          <w:color w:val="1A1A2E"/>
          <w:sz w:val="22"/>
          <w:szCs w:val="22"/>
        </w:rPr>
        <w:t xml:space="preserve">Options with higher vega are more sensitive to implied vol — a 1bp IV error causes a larger dollar error for high-vega options. Weighting by vega ensures the surface is most accurate for options that matter most for hedging.</w:t>
      </w:r>
    </w:p>
    <w:p>
      <w:pPr>
        <w:pStyle w:val="ListParagraph"/>
        <w:numPr>
          <w:ilvl w:val="0"/>
          <w:numId w:val="2"/>
        </w:numPr>
        <w:spacing w:before="40" w:after="40"/>
      </w:pPr>
      <w:r>
        <w:rPr>
          <w:rFonts w:ascii="Arial" w:cs="Arial" w:eastAsia="Arial" w:hAnsi="Arial"/>
          <w:b/>
          <w:bCs/>
          <w:color w:val="1A1A2E"/>
          <w:sz w:val="22"/>
          <w:szCs w:val="22"/>
        </w:rPr>
        <w:t xml:space="preserve">log(1 + volume): </w:t>
      </w:r>
      <w:r>
        <w:rPr>
          <w:rFonts w:ascii="Arial" w:cs="Arial" w:eastAsia="Arial" w:hAnsi="Arial"/>
          <w:color w:val="1A1A2E"/>
          <w:sz w:val="22"/>
          <w:szCs w:val="22"/>
        </w:rPr>
        <w:t xml:space="preserve">Linear volume weighting over-emphasizes outlier high-volume days. The logarithm is a concave transformation that adds weight for traded options but prevents any single liquid strike from dominating completely.</w:t>
      </w:r>
    </w:p>
    <w:p>
      <w:pPr>
        <w:spacing w:before="60" w:after="60"/>
      </w:pPr>
      <w:r>
        <w:rPr>
          <w:rFonts w:ascii="Arial" w:cs="Arial" w:eastAsia="Arial" w:hAnsi="Arial"/>
          <w:color w:val="1A1A2E"/>
          <w:sz w:val="22"/>
          <w:szCs w:val="22"/>
        </w:rPr>
        <w:t xml:space="preserve">Example: A 1-month SPY 585 ATM call with IV=18%, T=1/12, volume=5000 gets weight ∝ 0.18·√(1/12)·ln(5001) ≈ 0.154. A 6-month 500 put with IV=40%, volume=10 gets 0.40·√(1/2)·ln(11) ≈ 0.660. Despite much lower volume, the 500 put's high IV and longer tenor give it significant weight — sensible since long-dated skew is hard to fit.</w:t>
      </w:r>
    </w:p>
    <w:p>
      <w:r>
        <w:br w:type="page"/>
      </w:r>
    </w:p>
    <w:p>
      <w:pPr>
        <w:pStyle w:val="Heading1"/>
        <w:pBdr>
          <w:bottom w:val="single" w:color="2E75B6" w:sz="8" w:space="4"/>
        </w:pBdr>
        <w:spacing w:before="360" w:after="120"/>
      </w:pPr>
      <w:r>
        <w:rPr>
          <w:rFonts w:ascii="Arial" w:cs="Arial" w:eastAsia="Arial" w:hAnsi="Arial"/>
          <w:b/>
          <w:bCs/>
          <w:color w:val="1F3864"/>
          <w:sz w:val="36"/>
          <w:szCs w:val="36"/>
        </w:rPr>
        <w:t xml:space="preserve">3. Arbitrage Detection and Correction</w:t>
      </w:r>
    </w:p>
    <w:p>
      <w:pPr>
        <w:pStyle w:val="Heading2"/>
        <w:spacing w:before="280" w:after="80"/>
      </w:pPr>
      <w:r>
        <w:rPr>
          <w:rFonts w:ascii="Arial" w:cs="Arial" w:eastAsia="Arial" w:hAnsi="Arial"/>
          <w:b/>
          <w:bCs/>
          <w:color w:val="2E75B6"/>
          <w:sz w:val="28"/>
          <w:szCs w:val="28"/>
        </w:rPr>
        <w:t xml:space="preserve">3.1 What is Static Arbitrage?</w:t>
      </w:r>
    </w:p>
    <w:p>
      <w:pPr>
        <w:spacing w:before="60" w:after="60"/>
      </w:pPr>
      <w:r>
        <w:rPr>
          <w:rFonts w:ascii="Arial" w:cs="Arial" w:eastAsia="Arial" w:hAnsi="Arial"/>
          <w:color w:val="1A1A2E"/>
          <w:sz w:val="22"/>
          <w:szCs w:val="22"/>
        </w:rPr>
        <w:t xml:space="preserve">A volatility surface is </w:t>
      </w:r>
      <w:r>
        <w:rPr>
          <w:rFonts w:ascii="Arial" w:cs="Arial" w:eastAsia="Arial" w:hAnsi="Arial"/>
          <w:b/>
          <w:bCs/>
          <w:color w:val="1A1A2E"/>
          <w:sz w:val="22"/>
          <w:szCs w:val="22"/>
        </w:rPr>
        <w:t xml:space="preserve">free of static arbitrage</w:t>
      </w:r>
      <w:r>
        <w:rPr>
          <w:rFonts w:ascii="Arial" w:cs="Arial" w:eastAsia="Arial" w:hAnsi="Arial"/>
          <w:color w:val="1A1A2E"/>
          <w:sz w:val="22"/>
          <w:szCs w:val="22"/>
        </w:rPr>
        <w:t xml:space="preserve"> if and only if European call option prices computed from it can be written as expectations under a risk-neutral martingale measure. This has two equivalent characterizations (Cox-Hobson):</w:t>
      </w:r>
    </w:p>
    <w:p>
      <w:pPr>
        <w:pStyle w:val="ListParagraph"/>
        <w:numPr>
          <w:ilvl w:val="0"/>
          <w:numId w:val="2"/>
        </w:numPr>
        <w:spacing w:before="40" w:after="40"/>
      </w:pPr>
      <w:r>
        <w:rPr>
          <w:rFonts w:ascii="Arial" w:cs="Arial" w:eastAsia="Arial" w:hAnsi="Arial"/>
          <w:b/>
          <w:bCs/>
          <w:color w:val="1A1A2E"/>
          <w:sz w:val="22"/>
          <w:szCs w:val="22"/>
        </w:rPr>
        <w:t xml:space="preserve">(i) No calendar spread arbitrage: </w:t>
      </w:r>
      <w:r>
        <w:rPr>
          <w:rFonts w:ascii="Arial" w:cs="Arial" w:eastAsia="Arial" w:hAnsi="Arial"/>
          <w:color w:val="1A1A2E"/>
          <w:sz w:val="22"/>
          <w:szCs w:val="22"/>
        </w:rPr>
        <w:t xml:space="preserve">Call prices are non-decreasing in maturity at fixed moneyness. Equivalently, ∂_T w(k, T) ≥ 0 for all k.</w:t>
      </w:r>
    </w:p>
    <w:p>
      <w:pPr>
        <w:pStyle w:val="ListParagraph"/>
        <w:numPr>
          <w:ilvl w:val="0"/>
          <w:numId w:val="2"/>
        </w:numPr>
        <w:spacing w:before="40" w:after="40"/>
      </w:pPr>
      <w:r>
        <w:rPr>
          <w:rFonts w:ascii="Arial" w:cs="Arial" w:eastAsia="Arial" w:hAnsi="Arial"/>
          <w:b/>
          <w:bCs/>
          <w:color w:val="1A1A2E"/>
          <w:sz w:val="22"/>
          <w:szCs w:val="22"/>
        </w:rPr>
        <w:t xml:space="preserve">(ii) No butterfly arbitrage: </w:t>
      </w:r>
      <w:r>
        <w:rPr>
          <w:rFonts w:ascii="Arial" w:cs="Arial" w:eastAsia="Arial" w:hAnsi="Arial"/>
          <w:color w:val="1A1A2E"/>
          <w:sz w:val="22"/>
          <w:szCs w:val="22"/>
        </w:rPr>
        <w:t xml:space="preserve">Call prices are convex and decreasing in strike at fixed maturity. Equivalently, the implied risk-neutral density is non-negative everywhere.</w:t>
      </w:r>
    </w:p>
    <w:p>
      <w:pPr>
        <w:spacing w:before="60" w:after="60"/>
      </w:pPr>
      <w:r>
        <w:rPr>
          <w:rFonts w:ascii="Arial" w:cs="Arial" w:eastAsia="Arial" w:hAnsi="Arial"/>
          <w:color w:val="1A1A2E"/>
          <w:sz w:val="22"/>
          <w:szCs w:val="22"/>
        </w:rPr>
        <w:t xml:space="preserve">If either condition is violated, a simple portfolio can be constructed that generates riskless profit — which is economically impossible in any equilibrium. The Gatheral-Jacquier (2013) paper provides the definitive characterization for SVI surfaces.</w:t>
      </w:r>
    </w:p>
    <w:p>
      <w:pPr>
        <w:pStyle w:val="Heading2"/>
        <w:spacing w:before="280" w:after="80"/>
      </w:pPr>
      <w:r>
        <w:rPr>
          <w:rFonts w:ascii="Arial" w:cs="Arial" w:eastAsia="Arial" w:hAnsi="Arial"/>
          <w:b/>
          <w:bCs/>
          <w:color w:val="2E75B6"/>
          <w:sz w:val="28"/>
          <w:szCs w:val="28"/>
        </w:rPr>
        <w:t xml:space="preserve">3.2 Calendar Spread Arbitrage</w:t>
      </w:r>
    </w:p>
    <w:p>
      <w:pPr>
        <w:spacing w:before="60" w:after="60"/>
      </w:pPr>
      <w:r>
        <w:rPr>
          <w:rFonts w:ascii="Arial" w:cs="Arial" w:eastAsia="Arial" w:hAnsi="Arial"/>
          <w:color w:val="1A1A2E"/>
          <w:sz w:val="22"/>
          <w:szCs w:val="22"/>
        </w:rPr>
        <w:t xml:space="preserve">The condition is stated in terms of total variance w(k, T) = σ²_BS(k,T)·T:</w:t>
      </w:r>
    </w:p>
    <w:p>
      <w:pPr>
        <w:shd w:fill="F2F4F7" w:val="clear"/>
        <w:spacing w:before="100" w:after="100"/>
        <w:jc w:val="center"/>
      </w:pPr>
      <w:r>
        <w:rPr>
          <w:rFonts w:ascii="Cambria Math" w:cs="Cambria Math" w:eastAsia="Cambria Math" w:hAnsi="Cambria Math"/>
          <w:i/>
          <w:iCs/>
          <w:color w:val="1F3864"/>
          <w:sz w:val="24"/>
          <w:szCs w:val="24"/>
        </w:rPr>
        <w:t xml:space="preserve">Calendar-arb-free ⟺ ∂_T w(k, T) ≥ 0  for all k ∈ ℝ, T &gt; 0</w:t>
      </w:r>
    </w:p>
    <w:p>
      <w:pPr>
        <w:spacing w:before="60" w:after="60"/>
      </w:pPr>
      <w:r>
        <w:rPr>
          <w:rFonts w:ascii="Arial" w:cs="Arial" w:eastAsia="Arial" w:hAnsi="Arial"/>
          <w:color w:val="1A1A2E"/>
          <w:sz w:val="22"/>
          <w:szCs w:val="22"/>
        </w:rPr>
        <w:t xml:space="preserve">Intuition: A longer-dated option gives the underlying </w:t>
      </w:r>
      <w:r>
        <w:rPr>
          <w:rFonts w:ascii="Arial" w:cs="Arial" w:eastAsia="Arial" w:hAnsi="Arial"/>
          <w:i/>
          <w:iCs/>
          <w:color w:val="1A1A2E"/>
          <w:sz w:val="22"/>
          <w:szCs w:val="22"/>
        </w:rPr>
        <w:t xml:space="preserve">more time to move</w:t>
      </w:r>
      <w:r>
        <w:rPr>
          <w:rFonts w:ascii="Arial" w:cs="Arial" w:eastAsia="Arial" w:hAnsi="Arial"/>
          <w:color w:val="1A1A2E"/>
          <w:sz w:val="22"/>
          <w:szCs w:val="22"/>
        </w:rPr>
        <w:t xml:space="preserve"> to any given strike. So its value must be at least as large as the shorter-dated option at the same moneyness. The Black-Scholes formula is strictly increasing in w, so w must grow with T.</w:t>
      </w:r>
    </w:p>
    <w:p>
      <w:pPr>
        <w:spacing w:before="60" w:after="60"/>
      </w:pPr>
      <w:r>
        <w:rPr>
          <w:rFonts w:ascii="Arial" w:cs="Arial" w:eastAsia="Arial" w:hAnsi="Arial"/>
          <w:color w:val="1A1A2E"/>
          <w:sz w:val="22"/>
          <w:szCs w:val="22"/>
        </w:rPr>
        <w:t xml:space="preserve">For SSVI: Calendar arbitrage is absent if (i) ∂_T θ_t ≥ 0 (ATM total variance is non-decreasing in maturity) and (ii) the derivative of (θ·φ(θ)) with respect to θ stays within bounds determined by ρ. For the power-law φ(θ) = η/√θ with γ = 1/2, condition (ii) is automatically satisfied whenever γ ∈ (0,1).</w:t>
      </w:r>
    </w:p>
    <w:p>
      <w:pPr>
        <w:spacing w:before="60" w:after="60"/>
      </w:pPr>
      <w:r>
        <w:rPr>
          <w:rFonts w:ascii="Arial" w:cs="Arial" w:eastAsia="Arial" w:hAnsi="Arial"/>
          <w:color w:val="1A1A2E"/>
          <w:sz w:val="22"/>
          <w:szCs w:val="22"/>
        </w:rPr>
        <w:t xml:space="preserve">The project checks this numerically at k = {0.0, ±0.2, ±0.4} between all adjacent tenor pairs. An analytic approach would check the quartic polynomial of Lemma 3.3 in the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65100" w:sz="1"/>
              <w:left w:val="single" w:color="E65100" w:sz="1"/>
              <w:bottom w:val="single" w:color="E65100" w:sz="1"/>
              <w:right w:val="single" w:color="E65100" w:sz="1"/>
            </w:tcBorders>
            <w:shd w:fill="E651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PRACTICAL CHECK</w:t>
            </w:r>
          </w:p>
        </w:tc>
        <w:tc>
          <w:tcPr>
            <w:tcW w:type="dxa" w:w="8160"/>
            <w:tcBorders>
              <w:top w:val="single" w:color="E65100" w:sz="1"/>
              <w:left w:val="single" w:color="E65100" w:sz="1"/>
              <w:bottom w:val="single" w:color="E65100" w:sz="1"/>
              <w:right w:val="single" w:color="E65100" w:sz="1"/>
            </w:tcBorders>
            <w:shd w:fill="F8FAFF" w:val="clear"/>
            <w:tcMar>
              <w:top w:type="dxa" w:w="100"/>
              <w:left w:type="dxa" w:w="160"/>
              <w:bottom w:type="dxa" w:w="100"/>
              <w:right w:type="dxa" w:w="120"/>
            </w:tcMar>
          </w:tcPr>
          <w:p>
            <w:r>
              <w:rPr>
                <w:rFonts w:ascii="Arial" w:cs="Arial" w:eastAsia="Arial" w:hAnsi="Arial"/>
                <w:color w:val="1A1A2E"/>
                <w:sz w:val="22"/>
                <w:szCs w:val="22"/>
              </w:rPr>
              <w:t xml:space="preserve">In code: for each pair of adjacent expiries (T₁ &lt; T₂), compute w_SSVI(k, T₁) and w_SSVI(k, T₂) at several k values. If w(k,T₂) &lt; w(k,T₁) for any k, calendar arbitrage is present. This is a fast O(1) check per (T₁,T₂,k) triple.</w:t>
            </w:r>
          </w:p>
        </w:tc>
      </w:tr>
    </w:tbl>
    <w:p>
      <w:r>
        <w:t xml:space="preserve"> </w:t>
      </w:r>
    </w:p>
    <w:p>
      <w:pPr>
        <w:pStyle w:val="Heading2"/>
        <w:spacing w:before="280" w:after="80"/>
      </w:pPr>
      <w:r>
        <w:rPr>
          <w:rFonts w:ascii="Arial" w:cs="Arial" w:eastAsia="Arial" w:hAnsi="Arial"/>
          <w:b/>
          <w:bCs/>
          <w:color w:val="2E75B6"/>
          <w:sz w:val="28"/>
          <w:szCs w:val="28"/>
        </w:rPr>
        <w:t xml:space="preserve">3.3 Butterfly Arbitrage — The Density Condition</w:t>
      </w:r>
    </w:p>
    <w:p>
      <w:pPr>
        <w:spacing w:before="60" w:after="60"/>
      </w:pPr>
      <w:r>
        <w:rPr>
          <w:rFonts w:ascii="Arial" w:cs="Arial" w:eastAsia="Arial" w:hAnsi="Arial"/>
          <w:color w:val="1A1A2E"/>
          <w:sz w:val="22"/>
          <w:szCs w:val="22"/>
        </w:rPr>
        <w:t xml:space="preserve">A volatility slice (fixed T) is free of butterfly arbitrage if and only if the implied risk-neutral density is non-negative. The Breeden-Litzenberger formula gives:</w:t>
      </w:r>
    </w:p>
    <w:p>
      <w:pPr>
        <w:shd w:fill="F2F4F7" w:val="clear"/>
        <w:spacing w:before="100" w:after="100"/>
        <w:jc w:val="center"/>
      </w:pPr>
      <w:r>
        <w:rPr>
          <w:rFonts w:ascii="Cambria Math" w:cs="Cambria Math" w:eastAsia="Cambria Math" w:hAnsi="Cambria Math"/>
          <w:i/>
          <w:iCs/>
          <w:color w:val="1F3864"/>
          <w:sz w:val="24"/>
          <w:szCs w:val="24"/>
        </w:rPr>
        <w:t xml:space="preserve">p(K) = e^(rT) · ∂²C/∂K²</w:t>
      </w:r>
    </w:p>
    <w:p>
      <w:pPr>
        <w:spacing w:before="60" w:after="60"/>
      </w:pPr>
      <w:r>
        <w:rPr>
          <w:rFonts w:ascii="Arial" w:cs="Arial" w:eastAsia="Arial" w:hAnsi="Arial"/>
          <w:color w:val="1A1A2E"/>
          <w:sz w:val="22"/>
          <w:szCs w:val="22"/>
        </w:rPr>
        <w:t xml:space="preserve">For a slice parameterized by w(k), Gatheral-Jacquier derive the density in terms of w and its derivatives. Defining:</w:t>
      </w:r>
    </w:p>
    <w:p>
      <w:pPr>
        <w:shd w:fill="F2F4F7" w:val="clear"/>
        <w:spacing w:before="100" w:after="100"/>
        <w:jc w:val="center"/>
      </w:pPr>
      <w:r>
        <w:rPr>
          <w:rFonts w:ascii="Cambria Math" w:cs="Cambria Math" w:eastAsia="Cambria Math" w:hAnsi="Cambria Math"/>
          <w:i/>
          <w:iCs/>
          <w:color w:val="1F3864"/>
          <w:sz w:val="24"/>
          <w:szCs w:val="24"/>
        </w:rPr>
        <w:t xml:space="preserve">g(k) = (1 - k·w'/(2w))²  -  (w')²/4·(1/w + 1/4)  +  w''/ 2</w:t>
      </w:r>
    </w:p>
    <w:p>
      <w:pPr>
        <w:spacing w:before="60" w:after="60"/>
      </w:pPr>
      <w:r>
        <w:rPr>
          <w:rFonts w:ascii="Arial" w:cs="Arial" w:eastAsia="Arial" w:hAnsi="Arial"/>
          <w:color w:val="1A1A2E"/>
          <w:sz w:val="22"/>
          <w:szCs w:val="22"/>
        </w:rPr>
        <w:t xml:space="preserve">the slice is butterfly-arb-free if and only if </w:t>
      </w:r>
      <w:r>
        <w:rPr>
          <w:rFonts w:ascii="Arial" w:cs="Arial" w:eastAsia="Arial" w:hAnsi="Arial"/>
          <w:b/>
          <w:bCs/>
          <w:color w:val="1A1A2E"/>
          <w:sz w:val="22"/>
          <w:szCs w:val="22"/>
        </w:rPr>
        <w:t xml:space="preserve">g(k) ≥ 0 for all k</w:t>
      </w:r>
      <w:r>
        <w:rPr>
          <w:rFonts w:ascii="Arial" w:cs="Arial" w:eastAsia="Arial" w:hAnsi="Arial"/>
          <w:color w:val="1A1A2E"/>
          <w:sz w:val="22"/>
          <w:szCs w:val="22"/>
        </w:rPr>
        <w:t xml:space="preserve"> (plus the boundary condition that call prices → 0 as k → ∞).</w:t>
      </w:r>
    </w:p>
    <w:p>
      <w:pPr>
        <w:spacing w:before="60" w:after="60"/>
      </w:pPr>
      <w:r>
        <w:rPr>
          <w:rFonts w:ascii="Arial" w:cs="Arial" w:eastAsia="Arial" w:hAnsi="Arial"/>
          <w:color w:val="1A1A2E"/>
          <w:sz w:val="22"/>
          <w:szCs w:val="22"/>
        </w:rPr>
        <w:t xml:space="preserve">Note: w' and w'' are the first and second derivatives of w with respect to k. For SSVI, these are computed analytically (see Section 4.1), making the butterfly check exact to machine precision.</w:t>
      </w:r>
    </w:p>
    <w:p>
      <w:pPr>
        <w:pStyle w:val="Heading2"/>
        <w:spacing w:before="280" w:after="80"/>
      </w:pPr>
      <w:r>
        <w:rPr>
          <w:rFonts w:ascii="Arial" w:cs="Arial" w:eastAsia="Arial" w:hAnsi="Arial"/>
          <w:b/>
          <w:bCs/>
          <w:color w:val="2E75B6"/>
          <w:sz w:val="28"/>
          <w:szCs w:val="28"/>
        </w:rPr>
        <w:t xml:space="preserve">3.4 SSVI Butterfly-Free Conditions (Theorems 4.1 and 4.2)</w:t>
      </w:r>
    </w:p>
    <w:p>
      <w:pPr>
        <w:spacing w:before="60" w:after="60"/>
      </w:pPr>
      <w:r>
        <w:rPr>
          <w:rFonts w:ascii="Arial" w:cs="Arial" w:eastAsia="Arial" w:hAnsi="Arial"/>
          <w:color w:val="1A1A2E"/>
          <w:sz w:val="22"/>
          <w:szCs w:val="22"/>
        </w:rPr>
        <w:t xml:space="preserve">For the SSVI surface, Gatheral-Jacquier provide sufficient conditions for freedom from butterfly arbitrage:</w:t>
      </w:r>
    </w:p>
    <w:p>
      <w:pPr>
        <w:shd w:fill="F2F4F7" w:val="clear"/>
        <w:spacing w:before="100" w:after="100"/>
        <w:jc w:val="center"/>
      </w:pPr>
      <w:r>
        <w:rPr>
          <w:rFonts w:ascii="Cambria Math" w:cs="Cambria Math" w:eastAsia="Cambria Math" w:hAnsi="Cambria Math"/>
          <w:i/>
          <w:iCs/>
          <w:color w:val="1F3864"/>
          <w:sz w:val="24"/>
          <w:szCs w:val="24"/>
        </w:rPr>
        <w:t xml:space="preserve">Condition 1: θ·φ(θ)·(1 + |ρ|) &lt; 4  for all θ &gt; 0</w:t>
      </w:r>
    </w:p>
    <w:p>
      <w:pPr>
        <w:shd w:fill="F2F4F7" w:val="clear"/>
        <w:spacing w:before="100" w:after="100"/>
        <w:jc w:val="center"/>
      </w:pPr>
      <w:r>
        <w:rPr>
          <w:rFonts w:ascii="Cambria Math" w:cs="Cambria Math" w:eastAsia="Cambria Math" w:hAnsi="Cambria Math"/>
          <w:i/>
          <w:iCs/>
          <w:color w:val="1F3864"/>
          <w:sz w:val="24"/>
          <w:szCs w:val="24"/>
        </w:rPr>
        <w:t xml:space="preserve">Condition 2: θ·φ(θ)²·(1 + |ρ|) ≤ 4  for all θ &gt; 0</w:t>
      </w:r>
    </w:p>
    <w:p>
      <w:pPr>
        <w:spacing w:before="60" w:after="60"/>
      </w:pPr>
      <w:r>
        <w:rPr>
          <w:rFonts w:ascii="Arial" w:cs="Arial" w:eastAsia="Arial" w:hAnsi="Arial"/>
          <w:color w:val="1A1A2E"/>
          <w:sz w:val="22"/>
          <w:szCs w:val="22"/>
        </w:rPr>
        <w:t xml:space="preserve">For the power-law φ(θ) = η/√θ, these become:</w:t>
      </w:r>
    </w:p>
    <w:p>
      <w:pPr>
        <w:shd w:fill="F2F4F7" w:val="clear"/>
        <w:spacing w:before="100" w:after="100"/>
        <w:jc w:val="center"/>
      </w:pPr>
      <w:r>
        <w:rPr>
          <w:rFonts w:ascii="Cambria Math" w:cs="Cambria Math" w:eastAsia="Cambria Math" w:hAnsi="Cambria Math"/>
          <w:i/>
          <w:iCs/>
          <w:color w:val="1F3864"/>
          <w:sz w:val="24"/>
          <w:szCs w:val="24"/>
        </w:rPr>
        <w:t xml:space="preserve">Condition 1: η·√θ·(1 + |ρ|) &lt; 4     ⟺    η &lt; 4/[(1+|ρ|)·√θ_max]</w:t>
      </w:r>
    </w:p>
    <w:p>
      <w:pPr>
        <w:shd w:fill="F2F4F7" w:val="clear"/>
        <w:spacing w:before="100" w:after="100"/>
        <w:jc w:val="center"/>
      </w:pPr>
      <w:r>
        <w:rPr>
          <w:rFonts w:ascii="Cambria Math" w:cs="Cambria Math" w:eastAsia="Cambria Math" w:hAnsi="Cambria Math"/>
          <w:i/>
          <w:iCs/>
          <w:color w:val="1F3864"/>
          <w:sz w:val="24"/>
          <w:szCs w:val="24"/>
        </w:rPr>
        <w:t xml:space="preserve">Condition 2: η²·(1 + |ρ|) ≤ 4       ⟺    η ≤ 2/√(1+|ρ|)</w:t>
      </w:r>
    </w:p>
    <w:p>
      <w:pPr>
        <w:spacing w:before="60" w:after="60"/>
      </w:pPr>
      <w:r>
        <w:rPr>
          <w:rFonts w:ascii="Arial" w:cs="Arial" w:eastAsia="Arial" w:hAnsi="Arial"/>
          <w:color w:val="1A1A2E"/>
          <w:sz w:val="22"/>
          <w:szCs w:val="22"/>
        </w:rPr>
        <w:t xml:space="preserve">Condition 2 is the binding constraint in practice. For ρ = -0.7 (typical for SPX), Condition 2 gives η ≤ 2/√1.7 ≈ 1.53. This is the parameter bound enforced in the optimizer.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COROLLARY 4.1 (Gatheral-Jacquier)</w:t>
            </w:r>
          </w:p>
        </w:tc>
        <w:tc>
          <w:tcPr>
            <w:tcW w:type="dxa" w:w="8160"/>
            <w:tcBorders>
              <w:top w:val="single" w:color="1B5E20" w:sz="1"/>
              <w:left w:val="single" w:color="1B5E20" w:sz="1"/>
              <w:bottom w:val="single" w:color="1B5E20" w:sz="1"/>
              <w:right w:val="single" w:color="1B5E20" w:sz="1"/>
            </w:tcBorders>
            <w:shd w:fill="F8FAFF" w:val="clear"/>
            <w:tcMar>
              <w:top w:type="dxa" w:w="100"/>
              <w:left w:type="dxa" w:w="160"/>
              <w:bottom w:type="dxa" w:w="100"/>
              <w:right w:type="dxa" w:w="120"/>
            </w:tcMar>
          </w:tcPr>
          <w:p>
            <w:r>
              <w:rPr>
                <w:rFonts w:ascii="Arial" w:cs="Arial" w:eastAsia="Arial" w:hAnsi="Arial"/>
                <w:color w:val="1A1A2E"/>
                <w:sz w:val="22"/>
                <w:szCs w:val="22"/>
              </w:rPr>
              <w:t xml:space="preserve">The SSVI surface is completely free of static arbitrage if: (1) ATM variance is non-decreasing in tenor, (2) the skew function constraint on ∂_θ(θφ) holds, (3) θφ(1+|ρ|) &lt; 4, and (4) θφ²(1+|ρ|) ≤ 4. All four conditions are automatically satisfied by the optimizer's bounds when ρ ∈ (-1,1) and η ≤ 2/√(1+|ρ|).</w:t>
            </w:r>
          </w:p>
        </w:tc>
      </w:tr>
    </w:tbl>
    <w:p>
      <w:r>
        <w:t xml:space="preserve"> </w:t>
      </w:r>
    </w:p>
    <w:p>
      <w:pPr>
        <w:pStyle w:val="Heading2"/>
        <w:spacing w:before="280" w:after="80"/>
      </w:pPr>
      <w:r>
        <w:rPr>
          <w:rFonts w:ascii="Arial" w:cs="Arial" w:eastAsia="Arial" w:hAnsi="Arial"/>
          <w:b/>
          <w:bCs/>
          <w:color w:val="2E75B6"/>
          <w:sz w:val="28"/>
          <w:szCs w:val="28"/>
        </w:rPr>
        <w:t xml:space="preserve">3.5 Auto-Correction Algorithm</w:t>
      </w:r>
    </w:p>
    <w:p>
      <w:pPr>
        <w:spacing w:before="60" w:after="60"/>
      </w:pPr>
      <w:r>
        <w:rPr>
          <w:rFonts w:ascii="Arial" w:cs="Arial" w:eastAsia="Arial" w:hAnsi="Arial"/>
          <w:color w:val="1A1A2E"/>
          <w:sz w:val="22"/>
          <w:szCs w:val="22"/>
        </w:rPr>
        <w:t xml:space="preserve">When the per-slice calibration produces arb violations (which can happen when slices are fit independently), the project runs an auto-correction:</w:t>
      </w:r>
    </w:p>
    <w:p>
      <w:pPr>
        <w:pStyle w:val="ListParagraph"/>
        <w:numPr>
          <w:ilvl w:val="0"/>
          <w:numId w:val="3"/>
        </w:numPr>
        <w:spacing w:before="40" w:after="40"/>
      </w:pPr>
      <w:r>
        <w:rPr>
          <w:rFonts w:ascii="Arial" w:cs="Arial" w:eastAsia="Arial" w:hAnsi="Arial"/>
          <w:b/>
          <w:bCs/>
          <w:color w:val="1A1A2E"/>
          <w:sz w:val="22"/>
          <w:szCs w:val="22"/>
        </w:rPr>
        <w:t xml:space="preserve">Detect: </w:t>
      </w:r>
      <w:r>
        <w:rPr>
          <w:rFonts w:ascii="Arial" w:cs="Arial" w:eastAsia="Arial" w:hAnsi="Arial"/>
          <w:color w:val="1A1A2E"/>
          <w:sz w:val="22"/>
          <w:szCs w:val="22"/>
        </w:rPr>
        <w:t xml:space="preserve">Flag all slices violating calendar or butterfly conditions.</w:t>
      </w:r>
    </w:p>
    <w:p>
      <w:pPr>
        <w:pStyle w:val="ListParagraph"/>
        <w:numPr>
          <w:ilvl w:val="0"/>
          <w:numId w:val="3"/>
        </w:numPr>
        <w:spacing w:before="40" w:after="40"/>
      </w:pPr>
      <w:r>
        <w:rPr>
          <w:rFonts w:ascii="Arial" w:cs="Arial" w:eastAsia="Arial" w:hAnsi="Arial"/>
          <w:b/>
          <w:bCs/>
          <w:color w:val="1A1A2E"/>
          <w:sz w:val="22"/>
          <w:szCs w:val="22"/>
        </w:rPr>
        <w:t xml:space="preserve">Lock surface shape: </w:t>
      </w:r>
      <w:r>
        <w:rPr>
          <w:rFonts w:ascii="Arial" w:cs="Arial" w:eastAsia="Arial" w:hAnsi="Arial"/>
          <w:color w:val="1A1A2E"/>
          <w:sz w:val="22"/>
          <w:szCs w:val="22"/>
        </w:rPr>
        <w:t xml:space="preserve">Fix (ρ, η) at the global consensus values.</w:t>
      </w:r>
    </w:p>
    <w:p>
      <w:pPr>
        <w:pStyle w:val="ListParagraph"/>
        <w:numPr>
          <w:ilvl w:val="0"/>
          <w:numId w:val="3"/>
        </w:numPr>
        <w:spacing w:before="40" w:after="40"/>
      </w:pPr>
      <w:r>
        <w:rPr>
          <w:rFonts w:ascii="Arial" w:cs="Arial" w:eastAsia="Arial" w:hAnsi="Arial"/>
          <w:b/>
          <w:bCs/>
          <w:color w:val="1A1A2E"/>
          <w:sz w:val="22"/>
          <w:szCs w:val="22"/>
        </w:rPr>
        <w:t xml:space="preserve">Re-optimize only θ_t: </w:t>
      </w:r>
      <w:r>
        <w:rPr>
          <w:rFonts w:ascii="Arial" w:cs="Arial" w:eastAsia="Arial" w:hAnsi="Arial"/>
          <w:color w:val="1A1A2E"/>
          <w:sz w:val="22"/>
          <w:szCs w:val="22"/>
        </w:rPr>
        <w:t xml:space="preserve">Per-slice θ is re-optimized with global (ρ,η) fixed. This dramatically reduces the feasible set and typically eliminates violations.</w:t>
      </w:r>
    </w:p>
    <w:p>
      <w:pPr>
        <w:pStyle w:val="ListParagraph"/>
        <w:numPr>
          <w:ilvl w:val="0"/>
          <w:numId w:val="3"/>
        </w:numPr>
        <w:spacing w:before="40" w:after="40"/>
      </w:pPr>
      <w:r>
        <w:rPr>
          <w:rFonts w:ascii="Arial" w:cs="Arial" w:eastAsia="Arial" w:hAnsi="Arial"/>
          <w:b/>
          <w:bCs/>
          <w:color w:val="1A1A2E"/>
          <w:sz w:val="22"/>
          <w:szCs w:val="22"/>
        </w:rPr>
        <w:t xml:space="preserve">Re-check: </w:t>
      </w:r>
      <w:r>
        <w:rPr>
          <w:rFonts w:ascii="Arial" w:cs="Arial" w:eastAsia="Arial" w:hAnsi="Arial"/>
          <w:color w:val="1A1A2E"/>
          <w:sz w:val="22"/>
          <w:szCs w:val="22"/>
        </w:rPr>
        <w:t xml:space="preserve">Verify all conditions post-correction. If violations persist, apply the jump-wings correction: set c'_t = p_t + 2ψ_t to guarantee no butterfly arb.</w:t>
      </w:r>
    </w:p>
    <w:p>
      <w:pPr>
        <w:spacing w:before="60" w:after="60"/>
      </w:pPr>
      <w:r>
        <w:rPr>
          <w:rFonts w:ascii="Arial" w:cs="Arial" w:eastAsia="Arial" w:hAnsi="Arial"/>
          <w:color w:val="1A1A2E"/>
          <w:sz w:val="22"/>
          <w:szCs w:val="22"/>
        </w:rPr>
        <w:t xml:space="preserve">The jump-wings correction (from Section 5.1 of the paper) guarantees butterfly-free calibration by adjusting only the call wing parameter c_t, which is the least liquid calibration target in equity markets.</w:t>
      </w:r>
    </w:p>
    <w:p>
      <w:r>
        <w:br w:type="page"/>
      </w:r>
    </w:p>
    <w:p>
      <w:pPr>
        <w:pStyle w:val="Heading1"/>
        <w:pBdr>
          <w:bottom w:val="single" w:color="2E75B6" w:sz="8" w:space="4"/>
        </w:pBdr>
        <w:spacing w:before="360" w:after="120"/>
      </w:pPr>
      <w:r>
        <w:rPr>
          <w:rFonts w:ascii="Arial" w:cs="Arial" w:eastAsia="Arial" w:hAnsi="Arial"/>
          <w:b/>
          <w:bCs/>
          <w:color w:val="1F3864"/>
          <w:sz w:val="36"/>
          <w:szCs w:val="36"/>
        </w:rPr>
        <w:t xml:space="preserve">4. Analytical SSVI Derivatives for Arb Detection</w:t>
      </w:r>
    </w:p>
    <w:p>
      <w:pPr>
        <w:pStyle w:val="Heading2"/>
        <w:spacing w:before="280" w:after="80"/>
      </w:pPr>
      <w:r>
        <w:rPr>
          <w:rFonts w:ascii="Arial" w:cs="Arial" w:eastAsia="Arial" w:hAnsi="Arial"/>
          <w:b/>
          <w:bCs/>
          <w:color w:val="2E75B6"/>
          <w:sz w:val="28"/>
          <w:szCs w:val="28"/>
        </w:rPr>
        <w:t xml:space="preserve">4.1 Why Derive Analytically?</w:t>
      </w:r>
    </w:p>
    <w:p>
      <w:pPr>
        <w:spacing w:before="60" w:after="60"/>
      </w:pPr>
      <w:r>
        <w:rPr>
          <w:rFonts w:ascii="Arial" w:cs="Arial" w:eastAsia="Arial" w:hAnsi="Arial"/>
          <w:color w:val="1A1A2E"/>
          <w:sz w:val="22"/>
          <w:szCs w:val="22"/>
        </w:rPr>
        <w:t xml:space="preserve">The butterfly condition g(k) ≥ 0 requires w'(k) and w''(k). The project derives these analytically from the SSVI formula rather than computing them numerically. The reasons are decisive:</w:t>
      </w:r>
    </w:p>
    <w:p>
      <w:pPr>
        <w:pStyle w:val="ListParagraph"/>
        <w:numPr>
          <w:ilvl w:val="0"/>
          <w:numId w:val="2"/>
        </w:numPr>
        <w:spacing w:before="40" w:after="40"/>
      </w:pPr>
      <w:r>
        <w:rPr>
          <w:rFonts w:ascii="Arial" w:cs="Arial" w:eastAsia="Arial" w:hAnsi="Arial"/>
          <w:b/>
          <w:bCs/>
          <w:color w:val="1A1A2E"/>
          <w:sz w:val="22"/>
          <w:szCs w:val="22"/>
        </w:rPr>
        <w:t xml:space="preserve">Machine precision: </w:t>
      </w:r>
      <w:r>
        <w:rPr>
          <w:rFonts w:ascii="Arial" w:cs="Arial" w:eastAsia="Arial" w:hAnsi="Arial"/>
          <w:color w:val="1A1A2E"/>
          <w:sz w:val="22"/>
          <w:szCs w:val="22"/>
        </w:rPr>
        <w:t xml:space="preserve">Numerical second derivatives require bump sizes h where error is O(h²) for first derivatives and O(h) for second derivatives (cancellation error). For w'', numerical noise can spuriously declare arb-free surfaces as arbitrageable.</w:t>
      </w:r>
    </w:p>
    <w:p>
      <w:pPr>
        <w:pStyle w:val="ListParagraph"/>
        <w:numPr>
          <w:ilvl w:val="0"/>
          <w:numId w:val="2"/>
        </w:numPr>
        <w:spacing w:before="40" w:after="40"/>
      </w:pPr>
      <w:r>
        <w:rPr>
          <w:rFonts w:ascii="Arial" w:cs="Arial" w:eastAsia="Arial" w:hAnsi="Arial"/>
          <w:b/>
          <w:bCs/>
          <w:color w:val="1A1A2E"/>
          <w:sz w:val="22"/>
          <w:szCs w:val="22"/>
        </w:rPr>
        <w:t xml:space="preserve">Speed: </w:t>
      </w:r>
      <w:r>
        <w:rPr>
          <w:rFonts w:ascii="Arial" w:cs="Arial" w:eastAsia="Arial" w:hAnsi="Arial"/>
          <w:color w:val="1A1A2E"/>
          <w:sz w:val="22"/>
          <w:szCs w:val="22"/>
        </w:rPr>
        <w:t xml:space="preserve">During calibration, g(k) is checked at 100 points per slice per iteration. Analytical derivatives are ~10x faster than numerical.</w:t>
      </w:r>
    </w:p>
    <w:p>
      <w:pPr>
        <w:pStyle w:val="ListParagraph"/>
        <w:numPr>
          <w:ilvl w:val="0"/>
          <w:numId w:val="2"/>
        </w:numPr>
        <w:spacing w:before="40" w:after="40"/>
      </w:pPr>
      <w:r>
        <w:rPr>
          <w:rFonts w:ascii="Arial" w:cs="Arial" w:eastAsia="Arial" w:hAnsi="Arial"/>
          <w:b/>
          <w:bCs/>
          <w:color w:val="1A1A2E"/>
          <w:sz w:val="22"/>
          <w:szCs w:val="22"/>
        </w:rPr>
        <w:t xml:space="preserve">No tuning: </w:t>
      </w:r>
      <w:r>
        <w:rPr>
          <w:rFonts w:ascii="Arial" w:cs="Arial" w:eastAsia="Arial" w:hAnsi="Arial"/>
          <w:color w:val="1A1A2E"/>
          <w:sz w:val="22"/>
          <w:szCs w:val="22"/>
        </w:rPr>
        <w:t xml:space="preserve">Analytical derivatives have no bump-size parameter to tune. Numerical derivatives require careful choice of h (too small → cancellation; too large → truncation error).</w:t>
      </w:r>
    </w:p>
    <w:p>
      <w:pPr>
        <w:pStyle w:val="Heading2"/>
        <w:spacing w:before="280" w:after="80"/>
      </w:pPr>
      <w:r>
        <w:rPr>
          <w:rFonts w:ascii="Arial" w:cs="Arial" w:eastAsia="Arial" w:hAnsi="Arial"/>
          <w:b/>
          <w:bCs/>
          <w:color w:val="2E75B6"/>
          <w:sz w:val="28"/>
          <w:szCs w:val="28"/>
        </w:rPr>
        <w:t xml:space="preserve">4.2 SSVI First Derivative ∂w/∂k</w:t>
      </w:r>
    </w:p>
    <w:p>
      <w:pPr>
        <w:spacing w:before="60" w:after="60"/>
      </w:pPr>
      <w:r>
        <w:rPr>
          <w:rFonts w:ascii="Arial" w:cs="Arial" w:eastAsia="Arial" w:hAnsi="Arial"/>
          <w:color w:val="1A1A2E"/>
          <w:sz w:val="22"/>
          <w:szCs w:val="22"/>
        </w:rPr>
        <w:t xml:space="preserve">Let D(k) = √[(φk + ρ)² + (1-ρ²)] = √[φ²k² + 2φρk + 1]. Then:</w:t>
      </w:r>
    </w:p>
    <w:p>
      <w:pPr>
        <w:shd w:fill="F2F4F7" w:val="clear"/>
        <w:spacing w:before="100" w:after="100"/>
        <w:jc w:val="center"/>
      </w:pPr>
      <w:r>
        <w:rPr>
          <w:rFonts w:ascii="Cambria Math" w:cs="Cambria Math" w:eastAsia="Cambria Math" w:hAnsi="Cambria Math"/>
          <w:i/>
          <w:iCs/>
          <w:color w:val="1F3864"/>
          <w:sz w:val="24"/>
          <w:szCs w:val="24"/>
        </w:rPr>
        <w:t xml:space="preserve">w(k) = (θ/2)·[1 + ρφk + D(k)]</w:t>
      </w:r>
    </w:p>
    <w:p>
      <w:pPr>
        <w:shd w:fill="F2F4F7" w:val="clear"/>
        <w:spacing w:before="100" w:after="100"/>
        <w:jc w:val="center"/>
      </w:pPr>
      <w:r>
        <w:rPr>
          <w:rFonts w:ascii="Cambria Math" w:cs="Cambria Math" w:eastAsia="Cambria Math" w:hAnsi="Cambria Math"/>
          <w:i/>
          <w:iCs/>
          <w:color w:val="1F3864"/>
          <w:sz w:val="24"/>
          <w:szCs w:val="24"/>
        </w:rPr>
        <w:t xml:space="preserve">∂w/∂k = (θ/2)·[ρφ + (φ²k + φρ)/D(k)]</w:t>
      </w:r>
    </w:p>
    <w:p>
      <w:pPr>
        <w:shd w:fill="F2F4F7" w:val="clear"/>
        <w:spacing w:before="100" w:after="100"/>
        <w:jc w:val="center"/>
      </w:pPr>
      <w:r>
        <w:rPr>
          <w:rFonts w:ascii="Cambria Math" w:cs="Cambria Math" w:eastAsia="Cambria Math" w:hAnsi="Cambria Math"/>
          <w:i/>
          <w:iCs/>
          <w:color w:val="1F3864"/>
          <w:sz w:val="24"/>
          <w:szCs w:val="24"/>
        </w:rPr>
        <w:t xml:space="preserve">       = (θφ/2)·[ρ + (φk + ρ)/D(k)]</w:t>
      </w:r>
    </w:p>
    <w:p>
      <w:pPr>
        <w:pStyle w:val="Heading2"/>
        <w:spacing w:before="280" w:after="80"/>
      </w:pPr>
      <w:r>
        <w:rPr>
          <w:rFonts w:ascii="Arial" w:cs="Arial" w:eastAsia="Arial" w:hAnsi="Arial"/>
          <w:b/>
          <w:bCs/>
          <w:color w:val="2E75B6"/>
          <w:sz w:val="28"/>
          <w:szCs w:val="28"/>
        </w:rPr>
        <w:t xml:space="preserve">4.3 SSVI Second Derivative ∂²w/∂k²</w:t>
      </w:r>
    </w:p>
    <w:p>
      <w:pPr>
        <w:spacing w:before="60" w:after="60"/>
      </w:pPr>
      <w:r>
        <w:rPr>
          <w:rFonts w:ascii="Arial" w:cs="Arial" w:eastAsia="Arial" w:hAnsi="Arial"/>
          <w:color w:val="1A1A2E"/>
          <w:sz w:val="22"/>
          <w:szCs w:val="22"/>
        </w:rPr>
        <w:t xml:space="preserve">Differentiating again:</w:t>
      </w:r>
    </w:p>
    <w:p>
      <w:pPr>
        <w:shd w:fill="F2F4F7" w:val="clear"/>
        <w:spacing w:before="100" w:after="100"/>
        <w:jc w:val="center"/>
      </w:pPr>
      <w:r>
        <w:rPr>
          <w:rFonts w:ascii="Cambria Math" w:cs="Cambria Math" w:eastAsia="Cambria Math" w:hAnsi="Cambria Math"/>
          <w:i/>
          <w:iCs/>
          <w:color w:val="1F3864"/>
          <w:sz w:val="24"/>
          <w:szCs w:val="24"/>
        </w:rPr>
        <w:t xml:space="preserve">∂²w/∂k² = (θ/2)·φ²·[(D² - (φk+ρ)²)/D³]</w:t>
      </w:r>
    </w:p>
    <w:p>
      <w:pPr>
        <w:shd w:fill="F2F4F7" w:val="clear"/>
        <w:spacing w:before="100" w:after="100"/>
        <w:jc w:val="center"/>
      </w:pPr>
      <w:r>
        <w:rPr>
          <w:rFonts w:ascii="Cambria Math" w:cs="Cambria Math" w:eastAsia="Cambria Math" w:hAnsi="Cambria Math"/>
          <w:i/>
          <w:iCs/>
          <w:color w:val="1F3864"/>
          <w:sz w:val="24"/>
          <w:szCs w:val="24"/>
        </w:rPr>
        <w:t xml:space="preserve">         = (θ/2)·φ²·(1-ρ²)/D(k)³</w:t>
      </w:r>
    </w:p>
    <w:p>
      <w:pPr>
        <w:spacing w:before="60" w:after="60"/>
      </w:pPr>
      <w:r>
        <w:rPr>
          <w:rFonts w:ascii="Arial" w:cs="Arial" w:eastAsia="Arial" w:hAnsi="Arial"/>
          <w:color w:val="1A1A2E"/>
          <w:sz w:val="22"/>
          <w:szCs w:val="22"/>
        </w:rPr>
        <w:t xml:space="preserve">This is always </w:t>
      </w:r>
      <w:r>
        <w:rPr>
          <w:rFonts w:ascii="Arial" w:cs="Arial" w:eastAsia="Arial" w:hAnsi="Arial"/>
          <w:b/>
          <w:bCs/>
          <w:color w:val="1A1A2E"/>
          <w:sz w:val="22"/>
          <w:szCs w:val="22"/>
        </w:rPr>
        <w:t xml:space="preserve">strictly positive</w:t>
      </w:r>
      <w:r>
        <w:rPr>
          <w:rFonts w:ascii="Arial" w:cs="Arial" w:eastAsia="Arial" w:hAnsi="Arial"/>
          <w:color w:val="1A1A2E"/>
          <w:sz w:val="22"/>
          <w:szCs w:val="22"/>
        </w:rPr>
        <w:t xml:space="preserve"> (since ρ² &lt; 1 and D &gt; 0) — confirming that SSVI slices are always convex, a necessary condition for arb-freedom. The convexity being guaranteed analytically is one of the key advantages of SSVI.</w:t>
      </w:r>
    </w:p>
    <w:p>
      <w:pPr>
        <w:pStyle w:val="Heading2"/>
        <w:spacing w:before="280" w:after="80"/>
      </w:pPr>
      <w:r>
        <w:rPr>
          <w:rFonts w:ascii="Arial" w:cs="Arial" w:eastAsia="Arial" w:hAnsi="Arial"/>
          <w:b/>
          <w:bCs/>
          <w:color w:val="2E75B6"/>
          <w:sz w:val="28"/>
          <w:szCs w:val="28"/>
        </w:rPr>
        <w:t xml:space="preserve">4.4 Calendar Derivative ∂w/∂θ</w:t>
      </w:r>
    </w:p>
    <w:p>
      <w:pPr>
        <w:spacing w:before="60" w:after="60"/>
      </w:pPr>
      <w:r>
        <w:rPr>
          <w:rFonts w:ascii="Arial" w:cs="Arial" w:eastAsia="Arial" w:hAnsi="Arial"/>
          <w:color w:val="1A1A2E"/>
          <w:sz w:val="22"/>
          <w:szCs w:val="22"/>
        </w:rPr>
        <w:t xml:space="preserve">For the power-law φ(θ) = η/√θ, differentiating w with respect to θ:</w:t>
      </w:r>
    </w:p>
    <w:p>
      <w:pPr>
        <w:shd w:fill="F2F4F7" w:val="clear"/>
        <w:spacing w:before="100" w:after="100"/>
        <w:jc w:val="center"/>
      </w:pPr>
      <w:r>
        <w:rPr>
          <w:rFonts w:ascii="Cambria Math" w:cs="Cambria Math" w:eastAsia="Cambria Math" w:hAnsi="Cambria Math"/>
          <w:i/>
          <w:iCs/>
          <w:color w:val="1F3864"/>
          <w:sz w:val="24"/>
          <w:szCs w:val="24"/>
        </w:rPr>
        <w:t xml:space="preserve">∂w/∂θ = (1/2)·{1 + ρφk + D}  +  (θ/2)·(∂φ/∂θ)·[ρk + (φk+ρ)k/D]</w:t>
      </w:r>
    </w:p>
    <w:p>
      <w:pPr>
        <w:spacing w:before="60" w:after="60"/>
      </w:pPr>
      <w:r>
        <w:rPr>
          <w:rFonts w:ascii="Arial" w:cs="Arial" w:eastAsia="Arial" w:hAnsi="Arial"/>
          <w:color w:val="1A1A2E"/>
          <w:sz w:val="22"/>
          <w:szCs w:val="22"/>
        </w:rPr>
        <w:t xml:space="preserve">where ∂φ/∂θ = -η/(2θ^(3/2)) = -φ/(2θ). The sign of ∂w/∂θ determines calendar arbitrage. Theorem 4.1 of the paper characterizes when this is non-negative for all k.</w:t>
      </w:r>
    </w:p>
    <w:p>
      <w:r>
        <w:br w:type="page"/>
      </w:r>
    </w:p>
    <w:p>
      <w:pPr>
        <w:pStyle w:val="Heading1"/>
        <w:pBdr>
          <w:bottom w:val="single" w:color="2E75B6" w:sz="8" w:space="4"/>
        </w:pBdr>
        <w:spacing w:before="360" w:after="120"/>
      </w:pPr>
      <w:r>
        <w:rPr>
          <w:rFonts w:ascii="Arial" w:cs="Arial" w:eastAsia="Arial" w:hAnsi="Arial"/>
          <w:b/>
          <w:bCs/>
          <w:color w:val="1F3864"/>
          <w:sz w:val="36"/>
          <w:szCs w:val="36"/>
        </w:rPr>
        <w:t xml:space="preserve">5. Dividend Modeling</w:t>
      </w:r>
    </w:p>
    <w:p>
      <w:pPr>
        <w:pStyle w:val="Heading2"/>
        <w:spacing w:before="280" w:after="80"/>
      </w:pPr>
      <w:r>
        <w:rPr>
          <w:rFonts w:ascii="Arial" w:cs="Arial" w:eastAsia="Arial" w:hAnsi="Arial"/>
          <w:b/>
          <w:bCs/>
          <w:color w:val="2E75B6"/>
          <w:sz w:val="28"/>
          <w:szCs w:val="28"/>
        </w:rPr>
        <w:t xml:space="preserve">5.1 Why Dividends Matter for Options</w:t>
      </w:r>
    </w:p>
    <w:p>
      <w:pPr>
        <w:spacing w:before="60" w:after="60"/>
      </w:pPr>
      <w:r>
        <w:rPr>
          <w:rFonts w:ascii="Arial" w:cs="Arial" w:eastAsia="Arial" w:hAnsi="Arial"/>
          <w:color w:val="1A1A2E"/>
          <w:sz w:val="22"/>
          <w:szCs w:val="22"/>
        </w:rPr>
        <w:t xml:space="preserve">Discrete dividends reduce the forward price below the carry-cost model. Since options are priced on the forward, ignoring dividends causes systematic mispricing:</w:t>
      </w:r>
    </w:p>
    <w:p>
      <w:pPr>
        <w:pStyle w:val="ListParagraph"/>
        <w:numPr>
          <w:ilvl w:val="0"/>
          <w:numId w:val="2"/>
        </w:numPr>
        <w:spacing w:before="40" w:after="40"/>
      </w:pPr>
      <w:r>
        <w:rPr>
          <w:rFonts w:ascii="Arial" w:cs="Arial" w:eastAsia="Arial" w:hAnsi="Arial"/>
          <w:b/>
          <w:bCs/>
          <w:color w:val="1A1A2E"/>
          <w:sz w:val="22"/>
          <w:szCs w:val="22"/>
        </w:rPr>
        <w:t xml:space="preserve">Call undervaluation: </w:t>
      </w:r>
      <w:r>
        <w:rPr>
          <w:rFonts w:ascii="Arial" w:cs="Arial" w:eastAsia="Arial" w:hAnsi="Arial"/>
          <w:color w:val="1A1A2E"/>
          <w:sz w:val="22"/>
          <w:szCs w:val="22"/>
        </w:rPr>
        <w:t xml:space="preserve">Lower forward → lower call price. Ignoring dividends makes calls look cheap.</w:t>
      </w:r>
    </w:p>
    <w:p>
      <w:pPr>
        <w:pStyle w:val="ListParagraph"/>
        <w:numPr>
          <w:ilvl w:val="0"/>
          <w:numId w:val="2"/>
        </w:numPr>
        <w:spacing w:before="40" w:after="40"/>
      </w:pPr>
      <w:r>
        <w:rPr>
          <w:rFonts w:ascii="Arial" w:cs="Arial" w:eastAsia="Arial" w:hAnsi="Arial"/>
          <w:b/>
          <w:bCs/>
          <w:color w:val="1A1A2E"/>
          <w:sz w:val="22"/>
          <w:szCs w:val="22"/>
        </w:rPr>
        <w:t xml:space="preserve">Put overvaluation: </w:t>
      </w:r>
      <w:r>
        <w:rPr>
          <w:rFonts w:ascii="Arial" w:cs="Arial" w:eastAsia="Arial" w:hAnsi="Arial"/>
          <w:color w:val="1A1A2E"/>
          <w:sz w:val="22"/>
          <w:szCs w:val="22"/>
        </w:rPr>
        <w:t xml:space="preserve">Lower forward → higher put intrinsic value. Puts look expensive.</w:t>
      </w:r>
    </w:p>
    <w:p>
      <w:pPr>
        <w:pStyle w:val="ListParagraph"/>
        <w:numPr>
          <w:ilvl w:val="0"/>
          <w:numId w:val="2"/>
        </w:numPr>
        <w:spacing w:before="40" w:after="40"/>
      </w:pPr>
      <w:r>
        <w:rPr>
          <w:rFonts w:ascii="Arial" w:cs="Arial" w:eastAsia="Arial" w:hAnsi="Arial"/>
          <w:b/>
          <w:bCs/>
          <w:color w:val="1A1A2E"/>
          <w:sz w:val="22"/>
          <w:szCs w:val="22"/>
        </w:rPr>
        <w:t xml:space="preserve">Skew distortion: </w:t>
      </w:r>
      <w:r>
        <w:rPr>
          <w:rFonts w:ascii="Arial" w:cs="Arial" w:eastAsia="Arial" w:hAnsi="Arial"/>
          <w:color w:val="1A1A2E"/>
          <w:sz w:val="22"/>
          <w:szCs w:val="22"/>
        </w:rPr>
        <w:t xml:space="preserve">The vol surface is defined relative to the forward. Using spot instead of the dividend-adjusted forward shifts the smile and introduces spurious skew.</w:t>
      </w:r>
    </w:p>
    <w:p>
      <w:pPr>
        <w:spacing w:before="60" w:after="60"/>
      </w:pPr>
      <w:r>
        <w:rPr>
          <w:rFonts w:ascii="Arial" w:cs="Arial" w:eastAsia="Arial" w:hAnsi="Arial"/>
          <w:color w:val="1A1A2E"/>
          <w:sz w:val="22"/>
          <w:szCs w:val="22"/>
        </w:rPr>
        <w:t xml:space="preserve">For ETFs like SPY paying ~$7/quarter (~4.5% yield), this is not negligible. A 1-month option with 1.5% dividend drag shifts the ATM strike by ~1.5%. Getting this wrong by even a few cents produces incorrect greeks and hedging ratios.</w:t>
      </w:r>
    </w:p>
    <w:p>
      <w:pPr>
        <w:pStyle w:val="Heading2"/>
        <w:spacing w:before="280" w:after="80"/>
      </w:pPr>
      <w:r>
        <w:rPr>
          <w:rFonts w:ascii="Arial" w:cs="Arial" w:eastAsia="Arial" w:hAnsi="Arial"/>
          <w:b/>
          <w:bCs/>
          <w:color w:val="2E75B6"/>
          <w:sz w:val="28"/>
          <w:szCs w:val="28"/>
        </w:rPr>
        <w:t xml:space="preserve">5.2 Three Approaches to Dividends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Proportional dividends</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D = q·S·dt. Models dividends as a continuous yield q. Simple: F = S·e^((r-q)T). Loses accuracy for discrete ex-dates.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22"/>
                <w:szCs w:val="22"/>
              </w:rPr>
              <w:t xml:space="preserve">Discrete cash dividends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2E"/>
                <w:sz w:val="22"/>
                <w:szCs w:val="22"/>
              </w:rPr>
              <w:t xml:space="preserve">D_i = fixed $amount at ex-date t_i. F(T) = S·e^(rT) - Σ_{t_i&lt;T} D_i·e^(r(T-t_i)). More accurate for stocks/ETFs with known dividends.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Implied extraction</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Back out PV(divs) from put-call parity. F = (C-P)·e^(rT) + K → PV(divs) = S - F·e^(-rT). Model-free, directly market-observed.</w:t>
            </w:r>
          </w:p>
        </w:tc>
      </w:tr>
    </w:tbl>
    <w:p>
      <w:pPr>
        <w:spacing w:before="60" w:after="60"/>
      </w:pPr>
      <w:r>
        <w:rPr>
          <w:rFonts w:ascii="Arial" w:cs="Arial" w:eastAsia="Arial" w:hAnsi="Arial"/>
          <w:color w:val="1A1A2E"/>
          <w:sz w:val="22"/>
          <w:szCs w:val="22"/>
        </w:rPr>
        <w:t xml:space="preserve">The project uses a two-layer approach: project forward dividends from history (median gap + average amount), then validate against market-implied extraction via put-call parity. The implied extraction is used as ground truth when market quotes are available.</w:t>
      </w:r>
    </w:p>
    <w:p>
      <w:pPr>
        <w:pStyle w:val="Heading2"/>
        <w:spacing w:before="280" w:after="80"/>
      </w:pPr>
      <w:r>
        <w:rPr>
          <w:rFonts w:ascii="Arial" w:cs="Arial" w:eastAsia="Arial" w:hAnsi="Arial"/>
          <w:b/>
          <w:bCs/>
          <w:color w:val="2E75B6"/>
          <w:sz w:val="28"/>
          <w:szCs w:val="28"/>
        </w:rPr>
        <w:t xml:space="preserve">5.3 Put-Call Parity for Dividend Extraction</w:t>
      </w:r>
    </w:p>
    <w:p>
      <w:pPr>
        <w:spacing w:before="60" w:after="60"/>
      </w:pPr>
      <w:r>
        <w:rPr>
          <w:rFonts w:ascii="Arial" w:cs="Arial" w:eastAsia="Arial" w:hAnsi="Arial"/>
          <w:color w:val="1A1A2E"/>
          <w:sz w:val="22"/>
          <w:szCs w:val="22"/>
        </w:rPr>
        <w:t xml:space="preserve">For European options, put-call parity holds exactly regardless of the model:</w:t>
      </w:r>
    </w:p>
    <w:p>
      <w:pPr>
        <w:shd w:fill="F2F4F7" w:val="clear"/>
        <w:spacing w:before="100" w:after="100"/>
        <w:jc w:val="center"/>
      </w:pPr>
      <w:r>
        <w:rPr>
          <w:rFonts w:ascii="Cambria Math" w:cs="Cambria Math" w:eastAsia="Cambria Math" w:hAnsi="Cambria Math"/>
          <w:i/>
          <w:iCs/>
          <w:color w:val="1F3864"/>
          <w:sz w:val="24"/>
          <w:szCs w:val="24"/>
        </w:rPr>
        <w:t xml:space="preserve">C_mkt - P_mkt = e^(-rT)·(F - K)</w:t>
      </w:r>
    </w:p>
    <w:p>
      <w:pPr>
        <w:spacing w:before="60" w:after="60"/>
      </w:pPr>
      <w:r>
        <w:rPr>
          <w:rFonts w:ascii="Arial" w:cs="Arial" w:eastAsia="Arial" w:hAnsi="Arial"/>
          <w:color w:val="1A1A2E"/>
          <w:sz w:val="22"/>
          <w:szCs w:val="22"/>
        </w:rPr>
        <w:t xml:space="preserve">Rearranging to extract the forward:</w:t>
      </w:r>
    </w:p>
    <w:p>
      <w:pPr>
        <w:shd w:fill="F2F4F7" w:val="clear"/>
        <w:spacing w:before="100" w:after="100"/>
        <w:jc w:val="center"/>
      </w:pPr>
      <w:r>
        <w:rPr>
          <w:rFonts w:ascii="Cambria Math" w:cs="Cambria Math" w:eastAsia="Cambria Math" w:hAnsi="Cambria Math"/>
          <w:i/>
          <w:iCs/>
          <w:color w:val="1F3864"/>
          <w:sz w:val="24"/>
          <w:szCs w:val="24"/>
        </w:rPr>
        <w:t xml:space="preserve">F_implied = e^(rT)·(C_mkt - P_mkt) + K</w:t>
      </w:r>
    </w:p>
    <w:p>
      <w:pPr>
        <w:spacing w:before="60" w:after="60"/>
      </w:pPr>
      <w:r>
        <w:rPr>
          <w:rFonts w:ascii="Arial" w:cs="Arial" w:eastAsia="Arial" w:hAnsi="Arial"/>
          <w:color w:val="1A1A2E"/>
          <w:sz w:val="22"/>
          <w:szCs w:val="22"/>
        </w:rPr>
        <w:t xml:space="preserve">Then: PV(divs to T) = S - F_implied·e^(-rT). Averaging over the 3 nearest-ATM strikes reduces bid-ask noise (near-ATM options have tightest spreads and best price discovery).</w:t>
      </w:r>
    </w:p>
    <w:p>
      <w:pPr>
        <w:spacing w:before="60" w:after="60"/>
      </w:pPr>
      <w:r>
        <w:rPr>
          <w:rFonts w:ascii="Arial" w:cs="Arial" w:eastAsia="Arial" w:hAnsi="Arial"/>
          <w:color w:val="1A1A2E"/>
          <w:sz w:val="22"/>
          <w:szCs w:val="22"/>
        </w:rPr>
        <w:t xml:space="preserve">Practical filter: only use strikes where both a call and put are quoted with non-zero bid. For SPY, this is typically 10-15 strike pairs per expiry.</w:t>
      </w:r>
    </w:p>
    <w:p>
      <w:pPr>
        <w:pStyle w:val="Heading2"/>
        <w:spacing w:before="280" w:after="80"/>
      </w:pPr>
      <w:r>
        <w:rPr>
          <w:rFonts w:ascii="Arial" w:cs="Arial" w:eastAsia="Arial" w:hAnsi="Arial"/>
          <w:b/>
          <w:bCs/>
          <w:color w:val="2E75B6"/>
          <w:sz w:val="28"/>
          <w:szCs w:val="28"/>
        </w:rPr>
        <w:t xml:space="preserve">5.4 Forward Curve Construction</w:t>
      </w:r>
    </w:p>
    <w:p>
      <w:pPr>
        <w:spacing w:before="60" w:after="60"/>
      </w:pPr>
      <w:r>
        <w:rPr>
          <w:rFonts w:ascii="Arial" w:cs="Arial" w:eastAsia="Arial" w:hAnsi="Arial"/>
          <w:color w:val="1A1A2E"/>
          <w:sz w:val="22"/>
          <w:szCs w:val="22"/>
        </w:rPr>
        <w:t xml:space="preserve">With the dividend schedule {(D_i, t_i)} projected, the forward is:</w:t>
      </w:r>
    </w:p>
    <w:p>
      <w:pPr>
        <w:shd w:fill="F2F4F7" w:val="clear"/>
        <w:spacing w:before="100" w:after="100"/>
        <w:jc w:val="center"/>
      </w:pPr>
      <w:r>
        <w:rPr>
          <w:rFonts w:ascii="Cambria Math" w:cs="Cambria Math" w:eastAsia="Cambria Math" w:hAnsi="Cambria Math"/>
          <w:i/>
          <w:iCs/>
          <w:color w:val="1F3864"/>
          <w:sz w:val="24"/>
          <w:szCs w:val="24"/>
        </w:rPr>
        <w:t xml:space="preserve">F(T) = (S - PV_div(T)) · e^(rT)     where PV_div(T) = Σ_{t_i &lt; T} D_i · e^(-r·t_i)</w:t>
      </w:r>
    </w:p>
    <w:p>
      <w:pPr>
        <w:spacing w:before="60" w:after="60"/>
      </w:pPr>
      <w:r>
        <w:rPr>
          <w:rFonts w:ascii="Arial" w:cs="Arial" w:eastAsia="Arial" w:hAnsi="Arial"/>
          <w:color w:val="1A1A2E"/>
          <w:sz w:val="22"/>
          <w:szCs w:val="22"/>
        </w:rPr>
        <w:t xml:space="preserve">This is the correct discrete-dividend forward. It is piecewise smooth in T with jumps (downward) at each ex-date. The option surface is defined relative to this forward — i.e., moneyness k = ln(K/F(T)) uses this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65100" w:sz="1"/>
              <w:left w:val="single" w:color="E65100" w:sz="1"/>
              <w:bottom w:val="single" w:color="E65100" w:sz="1"/>
              <w:right w:val="single" w:color="E65100" w:sz="1"/>
            </w:tcBorders>
            <w:shd w:fill="E651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INTERVIEW TIP</w:t>
            </w:r>
          </w:p>
        </w:tc>
        <w:tc>
          <w:tcPr>
            <w:tcW w:type="dxa" w:w="8160"/>
            <w:tcBorders>
              <w:top w:val="single" w:color="E65100" w:sz="1"/>
              <w:left w:val="single" w:color="E65100" w:sz="1"/>
              <w:bottom w:val="single" w:color="E65100" w:sz="1"/>
              <w:right w:val="single" w:color="E65100" w:sz="1"/>
            </w:tcBorders>
            <w:shd w:fill="F8FAFF" w:val="clear"/>
            <w:tcMar>
              <w:top w:type="dxa" w:w="100"/>
              <w:left w:type="dxa" w:w="160"/>
              <w:bottom w:type="dxa" w:w="100"/>
              <w:right w:type="dxa" w:w="120"/>
            </w:tcMar>
          </w:tcPr>
          <w:p>
            <w:r>
              <w:rPr>
                <w:rFonts w:ascii="Arial" w:cs="Arial" w:eastAsia="Arial" w:hAnsi="Arial"/>
                <w:color w:val="1A1A2E"/>
                <w:sz w:val="22"/>
                <w:szCs w:val="22"/>
              </w:rPr>
              <w:t xml:space="preserve">A common interview question: "If a stock goes ex-dividend, what happens to option prices?" Answer: The stock price drops by ≈D on ex-date. Calls lose value, puts gain value by approximately delta × D. But if you properly adjusted the forward, your option model automatically accounts for this — the vol surface doesn't move, only the forward changes.</w:t>
            </w:r>
          </w:p>
        </w:tc>
      </w:tr>
    </w:tbl>
    <w:p>
      <w:r>
        <w:t xml:space="preserve"> </w:t>
      </w:r>
    </w:p>
    <w:p>
      <w:r>
        <w:br w:type="page"/>
      </w:r>
    </w:p>
    <w:p>
      <w:pPr>
        <w:pStyle w:val="Heading1"/>
        <w:pBdr>
          <w:bottom w:val="single" w:color="2E75B6" w:sz="8" w:space="4"/>
        </w:pBdr>
        <w:spacing w:before="360" w:after="120"/>
      </w:pPr>
      <w:r>
        <w:rPr>
          <w:rFonts w:ascii="Arial" w:cs="Arial" w:eastAsia="Arial" w:hAnsi="Arial"/>
          <w:b/>
          <w:bCs/>
          <w:color w:val="1F3864"/>
          <w:sz w:val="36"/>
          <w:szCs w:val="36"/>
        </w:rPr>
        <w:t xml:space="preserve">6. Yield Curve Construction</w:t>
      </w:r>
    </w:p>
    <w:p>
      <w:pPr>
        <w:pStyle w:val="Heading2"/>
        <w:spacing w:before="280" w:after="80"/>
      </w:pPr>
      <w:r>
        <w:rPr>
          <w:rFonts w:ascii="Arial" w:cs="Arial" w:eastAsia="Arial" w:hAnsi="Arial"/>
          <w:b/>
          <w:bCs/>
          <w:color w:val="2E75B6"/>
          <w:sz w:val="28"/>
          <w:szCs w:val="28"/>
        </w:rPr>
        <w:t xml:space="preserve">6.1 From Par Yields to Zero Rates</w:t>
      </w:r>
    </w:p>
    <w:p>
      <w:pPr>
        <w:spacing w:before="60" w:after="60"/>
      </w:pPr>
      <w:r>
        <w:rPr>
          <w:rFonts w:ascii="Arial" w:cs="Arial" w:eastAsia="Arial" w:hAnsi="Arial"/>
          <w:color w:val="1A1A2E"/>
          <w:sz w:val="22"/>
          <w:szCs w:val="22"/>
        </w:rPr>
        <w:t xml:space="preserve">FRED provides Treasury par yield rates (DGS1MO through DGS30) — these are not zero rates. A par yield Y_n is the coupon rate that makes a bond worth par:</w:t>
      </w:r>
    </w:p>
    <w:p>
      <w:pPr>
        <w:shd w:fill="F2F4F7" w:val="clear"/>
        <w:spacing w:before="100" w:after="100"/>
        <w:jc w:val="center"/>
      </w:pPr>
      <w:r>
        <w:rPr>
          <w:rFonts w:ascii="Cambria Math" w:cs="Cambria Math" w:eastAsia="Cambria Math" w:hAnsi="Cambria Math"/>
          <w:i/>
          <w:iCs/>
          <w:color w:val="1F3864"/>
          <w:sz w:val="24"/>
          <w:szCs w:val="24"/>
        </w:rPr>
        <w:t xml:space="preserve">Σ_{i=1}^{n} (Y_n/2)·d(t_i) + d(t_n) = 1</w:t>
      </w:r>
    </w:p>
    <w:p>
      <w:pPr>
        <w:spacing w:before="60" w:after="60"/>
      </w:pPr>
      <w:r>
        <w:rPr>
          <w:rFonts w:ascii="Arial" w:cs="Arial" w:eastAsia="Arial" w:hAnsi="Arial"/>
          <w:color w:val="1A1A2E"/>
          <w:sz w:val="22"/>
          <w:szCs w:val="22"/>
        </w:rPr>
        <w:t xml:space="preserve">The project uses the quick approximation for continuous zero rates from semi-annual par yields:</w:t>
      </w:r>
    </w:p>
    <w:p>
      <w:pPr>
        <w:shd w:fill="F2F4F7" w:val="clear"/>
        <w:spacing w:before="100" w:after="100"/>
        <w:jc w:val="center"/>
      </w:pPr>
      <w:r>
        <w:rPr>
          <w:rFonts w:ascii="Cambria Math" w:cs="Cambria Math" w:eastAsia="Cambria Math" w:hAnsi="Cambria Math"/>
          <w:i/>
          <w:iCs/>
          <w:color w:val="1F3864"/>
          <w:sz w:val="24"/>
          <w:szCs w:val="24"/>
        </w:rPr>
        <w:t xml:space="preserve">r_zero(T) = 2 · ln(1 + y_par(T)/2)</w:t>
      </w:r>
    </w:p>
    <w:p>
      <w:pPr>
        <w:spacing w:before="60" w:after="60"/>
      </w:pPr>
      <w:r>
        <w:rPr>
          <w:rFonts w:ascii="Arial" w:cs="Arial" w:eastAsia="Arial" w:hAnsi="Arial"/>
          <w:color w:val="1A1A2E"/>
          <w:sz w:val="22"/>
          <w:szCs w:val="22"/>
        </w:rPr>
        <w:t xml:space="preserve">For a more rigorous bootstrap, one would solve recursively: extract short-end zeros from bills (no coupons), then bootstrap the coupon bond equation. The approximation is accurate to within a few basis points for standard yield levels.</w:t>
      </w:r>
    </w:p>
    <w:p>
      <w:pPr>
        <w:pStyle w:val="Heading2"/>
        <w:spacing w:before="280" w:after="80"/>
      </w:pPr>
      <w:r>
        <w:rPr>
          <w:rFonts w:ascii="Arial" w:cs="Arial" w:eastAsia="Arial" w:hAnsi="Arial"/>
          <w:b/>
          <w:bCs/>
          <w:color w:val="2E75B6"/>
          <w:sz w:val="28"/>
          <w:szCs w:val="28"/>
        </w:rPr>
        <w:t xml:space="preserve">6.2 Cubic Spline Interpolation</w:t>
      </w:r>
    </w:p>
    <w:p>
      <w:pPr>
        <w:spacing w:before="60" w:after="60"/>
      </w:pPr>
      <w:r>
        <w:rPr>
          <w:rFonts w:ascii="Arial" w:cs="Arial" w:eastAsia="Arial" w:hAnsi="Arial"/>
          <w:color w:val="1A1A2E"/>
          <w:sz w:val="22"/>
          <w:szCs w:val="22"/>
        </w:rPr>
        <w:t xml:space="preserve">With 11 par yields (1M, 3M, 6M, 1Y, 2Y, 3Y, 5Y, 7Y, 10Y, 20Y, 30Y), the project fits a cubic spline to interpolate at arbitrary tenors. Properties:</w:t>
      </w:r>
    </w:p>
    <w:p>
      <w:pPr>
        <w:pStyle w:val="ListParagraph"/>
        <w:numPr>
          <w:ilvl w:val="0"/>
          <w:numId w:val="2"/>
        </w:numPr>
        <w:spacing w:before="40" w:after="40"/>
      </w:pPr>
      <w:r>
        <w:rPr>
          <w:rFonts w:ascii="Arial" w:cs="Arial" w:eastAsia="Arial" w:hAnsi="Arial"/>
          <w:b/>
          <w:bCs/>
          <w:color w:val="1A1A2E"/>
          <w:sz w:val="22"/>
          <w:szCs w:val="22"/>
        </w:rPr>
        <w:t xml:space="preserve">C² continuity: </w:t>
      </w:r>
      <w:r>
        <w:rPr>
          <w:rFonts w:ascii="Arial" w:cs="Arial" w:eastAsia="Arial" w:hAnsi="Arial"/>
          <w:color w:val="1A1A2E"/>
          <w:sz w:val="22"/>
          <w:szCs w:val="22"/>
        </w:rPr>
        <w:t xml:space="preserve">First and second derivatives are continuous — no kinks in the rate curve, which would produce arbitrage in discount factors.</w:t>
      </w:r>
    </w:p>
    <w:p>
      <w:pPr>
        <w:pStyle w:val="ListParagraph"/>
        <w:numPr>
          <w:ilvl w:val="0"/>
          <w:numId w:val="2"/>
        </w:numPr>
        <w:spacing w:before="40" w:after="40"/>
      </w:pPr>
      <w:r>
        <w:rPr>
          <w:rFonts w:ascii="Arial" w:cs="Arial" w:eastAsia="Arial" w:hAnsi="Arial"/>
          <w:b/>
          <w:bCs/>
          <w:color w:val="1A1A2E"/>
          <w:sz w:val="22"/>
          <w:szCs w:val="22"/>
        </w:rPr>
        <w:t xml:space="preserve">Natural boundary conditions: </w:t>
      </w:r>
      <w:r>
        <w:rPr>
          <w:rFonts w:ascii="Arial" w:cs="Arial" w:eastAsia="Arial" w:hAnsi="Arial"/>
          <w:color w:val="1A1A2E"/>
          <w:sz w:val="22"/>
          <w:szCs w:val="22"/>
        </w:rPr>
        <w:t xml:space="preserve">Second derivative = 0 at endpoints — the curve is linear beyond the observed range.</w:t>
      </w:r>
    </w:p>
    <w:p>
      <w:pPr>
        <w:pStyle w:val="ListParagraph"/>
        <w:numPr>
          <w:ilvl w:val="0"/>
          <w:numId w:val="2"/>
        </w:numPr>
        <w:spacing w:before="40" w:after="40"/>
      </w:pPr>
      <w:r>
        <w:rPr>
          <w:rFonts w:ascii="Arial" w:cs="Arial" w:eastAsia="Arial" w:hAnsi="Arial"/>
          <w:b/>
          <w:bCs/>
          <w:color w:val="1A1A2E"/>
          <w:sz w:val="22"/>
          <w:szCs w:val="22"/>
        </w:rPr>
        <w:t xml:space="preserve">Local support: </w:t>
      </w:r>
      <w:r>
        <w:rPr>
          <w:rFonts w:ascii="Arial" w:cs="Arial" w:eastAsia="Arial" w:hAnsi="Arial"/>
          <w:color w:val="1A1A2E"/>
          <w:sz w:val="22"/>
          <w:szCs w:val="22"/>
        </w:rPr>
        <w:t xml:space="preserve">A change in one yield affects only the neighboring spline segments — more stable than global polynomial fitting.</w:t>
      </w:r>
    </w:p>
    <w:p>
      <w:pPr>
        <w:spacing w:before="60" w:after="60"/>
      </w:pPr>
      <w:r>
        <w:rPr>
          <w:rFonts w:ascii="Arial" w:cs="Arial" w:eastAsia="Arial" w:hAnsi="Arial"/>
          <w:color w:val="1A1A2E"/>
          <w:sz w:val="22"/>
          <w:szCs w:val="22"/>
        </w:rPr>
        <w:t xml:space="preserve">The discount factor is then D(T) = e^(-r_zero(T)·T), computed smoothly at any tenor.</w:t>
      </w:r>
    </w:p>
    <w:p>
      <w:r>
        <w:br w:type="page"/>
      </w:r>
    </w:p>
    <w:p>
      <w:pPr>
        <w:pStyle w:val="Heading1"/>
        <w:pBdr>
          <w:bottom w:val="single" w:color="2E75B6" w:sz="8" w:space="4"/>
        </w:pBdr>
        <w:spacing w:before="360" w:after="120"/>
      </w:pPr>
      <w:r>
        <w:rPr>
          <w:rFonts w:ascii="Arial" w:cs="Arial" w:eastAsia="Arial" w:hAnsi="Arial"/>
          <w:b/>
          <w:bCs/>
          <w:color w:val="1F3864"/>
          <w:sz w:val="36"/>
          <w:szCs w:val="36"/>
        </w:rPr>
        <w:t xml:space="preserve">7. Machine Learning Warm-Start: Gradient Boosted Trees</w:t>
      </w:r>
    </w:p>
    <w:p>
      <w:pPr>
        <w:pStyle w:val="Heading2"/>
        <w:spacing w:before="280" w:after="80"/>
      </w:pPr>
      <w:r>
        <w:rPr>
          <w:rFonts w:ascii="Arial" w:cs="Arial" w:eastAsia="Arial" w:hAnsi="Arial"/>
          <w:b/>
          <w:bCs/>
          <w:color w:val="2E75B6"/>
          <w:sz w:val="28"/>
          <w:szCs w:val="28"/>
        </w:rPr>
        <w:t xml:space="preserve">7.1 The Problem Being Solved</w:t>
      </w:r>
    </w:p>
    <w:p>
      <w:pPr>
        <w:spacing w:before="60" w:after="60"/>
      </w:pPr>
      <w:r>
        <w:rPr>
          <w:rFonts w:ascii="Arial" w:cs="Arial" w:eastAsia="Arial" w:hAnsi="Arial"/>
          <w:color w:val="1A1A2E"/>
          <w:sz w:val="22"/>
          <w:szCs w:val="22"/>
        </w:rPr>
        <w:t xml:space="preserve">SSVI calibration requires solving an optimization problem at each market update. When volatility regimes shift rapidly (e.g., VIX spikes from 18 to 25 overnight), starting from yesterday's parameters leads to slow convergence — up to 50+ optimizer iterations. With a live trading desk needing surface updates within milliseconds of market open, this latency is unacceptable.</w:t>
      </w:r>
    </w:p>
    <w:p>
      <w:pPr>
        <w:spacing w:before="60" w:after="60"/>
      </w:pPr>
      <w:r>
        <w:rPr>
          <w:rFonts w:ascii="Arial" w:cs="Arial" w:eastAsia="Arial" w:hAnsi="Arial"/>
          <w:color w:val="1A1A2E"/>
          <w:sz w:val="22"/>
          <w:szCs w:val="22"/>
        </w:rPr>
        <w:t xml:space="preserve">The ML warm-start solves this by predicting </w:t>
      </w:r>
      <w:r>
        <w:rPr>
          <w:rFonts w:ascii="Arial" w:cs="Arial" w:eastAsia="Arial" w:hAnsi="Arial"/>
          <w:b/>
          <w:bCs/>
          <w:color w:val="1A1A2E"/>
          <w:sz w:val="22"/>
          <w:szCs w:val="22"/>
        </w:rPr>
        <w:t xml:space="preserve">where the parameters will land</w:t>
      </w:r>
      <w:r>
        <w:rPr>
          <w:rFonts w:ascii="Arial" w:cs="Arial" w:eastAsia="Arial" w:hAnsi="Arial"/>
          <w:color w:val="1A1A2E"/>
          <w:sz w:val="22"/>
          <w:szCs w:val="22"/>
        </w:rPr>
        <w:t xml:space="preserve"> before the optimizer runs, cutting convergence to ~5 iterations. Crucially, the ML layer never bypasses the optimizer — it only provides a better starting point.</w:t>
      </w:r>
    </w:p>
    <w:p>
      <w:pPr>
        <w:pStyle w:val="Heading2"/>
        <w:spacing w:before="280" w:after="80"/>
      </w:pPr>
      <w:r>
        <w:rPr>
          <w:rFonts w:ascii="Arial" w:cs="Arial" w:eastAsia="Arial" w:hAnsi="Arial"/>
          <w:b/>
          <w:bCs/>
          <w:color w:val="2E75B6"/>
          <w:sz w:val="28"/>
          <w:szCs w:val="28"/>
        </w:rPr>
        <w:t xml:space="preserve">7.2 Gradient Boosted Trees — Mathematical Foundation</w:t>
      </w:r>
    </w:p>
    <w:p>
      <w:pPr>
        <w:spacing w:before="60" w:after="60"/>
      </w:pPr>
      <w:r>
        <w:rPr>
          <w:rFonts w:ascii="Arial" w:cs="Arial" w:eastAsia="Arial" w:hAnsi="Arial"/>
          <w:color w:val="1A1A2E"/>
          <w:sz w:val="22"/>
          <w:szCs w:val="22"/>
        </w:rPr>
        <w:t xml:space="preserve">GBT builds an ensemble of shallow decision trees sequentially. Define the model after M rounds:</w:t>
      </w:r>
    </w:p>
    <w:p>
      <w:pPr>
        <w:shd w:fill="F2F4F7" w:val="clear"/>
        <w:spacing w:before="100" w:after="100"/>
        <w:jc w:val="center"/>
      </w:pPr>
      <w:r>
        <w:rPr>
          <w:rFonts w:ascii="Cambria Math" w:cs="Cambria Math" w:eastAsia="Cambria Math" w:hAnsi="Cambria Math"/>
          <w:i/>
          <w:iCs/>
          <w:color w:val="1F3864"/>
          <w:sz w:val="24"/>
          <w:szCs w:val="24"/>
        </w:rPr>
        <w:t xml:space="preserve">F_M(x) = F_0  +  ν · Σ_{m=1}^{M}  h_m(x)</w:t>
      </w:r>
    </w:p>
    <w:p>
      <w:pPr>
        <w:spacing w:before="60" w:after="60"/>
      </w:pPr>
      <w:r>
        <w:rPr>
          <w:rFonts w:ascii="Arial" w:cs="Arial" w:eastAsia="Arial" w:hAnsi="Arial"/>
          <w:color w:val="1A1A2E"/>
          <w:sz w:val="22"/>
          <w:szCs w:val="22"/>
        </w:rPr>
        <w:t xml:space="preserve">where </w:t>
      </w:r>
      <w:r>
        <w:rPr>
          <w:rFonts w:ascii="Cambria Math" w:cs="Cambria Math" w:eastAsia="Cambria Math" w:hAnsi="Cambria Math"/>
          <w:i/>
          <w:iCs/>
          <w:color w:val="1F3864"/>
          <w:sz w:val="22"/>
          <w:szCs w:val="22"/>
        </w:rPr>
        <w:t xml:space="preserve">F_0</w:t>
      </w:r>
      <w:r>
        <w:rPr>
          <w:rFonts w:ascii="Arial" w:cs="Arial" w:eastAsia="Arial" w:hAnsi="Arial"/>
          <w:color w:val="1A1A2E"/>
          <w:sz w:val="22"/>
          <w:szCs w:val="22"/>
        </w:rPr>
        <w:t xml:space="preserve"> is the initial prediction (mean of targets), </w:t>
      </w:r>
      <w:r>
        <w:rPr>
          <w:rFonts w:ascii="Cambria Math" w:cs="Cambria Math" w:eastAsia="Cambria Math" w:hAnsi="Cambria Math"/>
          <w:i/>
          <w:iCs/>
          <w:color w:val="1F3864"/>
          <w:sz w:val="22"/>
          <w:szCs w:val="22"/>
        </w:rPr>
        <w:t xml:space="preserve">ν</w:t>
      </w:r>
      <w:r>
        <w:rPr>
          <w:rFonts w:ascii="Arial" w:cs="Arial" w:eastAsia="Arial" w:hAnsi="Arial"/>
          <w:color w:val="1A1A2E"/>
          <w:sz w:val="22"/>
          <w:szCs w:val="22"/>
        </w:rPr>
        <w:t xml:space="preserve"> is the learning rate (shrinkage), and </w:t>
      </w:r>
      <w:r>
        <w:rPr>
          <w:rFonts w:ascii="Cambria Math" w:cs="Cambria Math" w:eastAsia="Cambria Math" w:hAnsi="Cambria Math"/>
          <w:i/>
          <w:iCs/>
          <w:color w:val="1F3864"/>
          <w:sz w:val="22"/>
          <w:szCs w:val="22"/>
        </w:rPr>
        <w:t xml:space="preserve">h_m</w:t>
      </w:r>
      <w:r>
        <w:rPr>
          <w:rFonts w:ascii="Arial" w:cs="Arial" w:eastAsia="Arial" w:hAnsi="Arial"/>
          <w:color w:val="1A1A2E"/>
          <w:sz w:val="22"/>
          <w:szCs w:val="22"/>
        </w:rPr>
        <w:t xml:space="preserve"> is the m-th regression tree fit to minimize the loss gradient. For MSE loss L = (y - F)², the negative gradient is simply the residual </w:t>
      </w:r>
      <w:r>
        <w:rPr>
          <w:rFonts w:ascii="Cambria Math" w:cs="Cambria Math" w:eastAsia="Cambria Math" w:hAnsi="Cambria Math"/>
          <w:i/>
          <w:iCs/>
          <w:color w:val="1F3864"/>
          <w:sz w:val="22"/>
          <w:szCs w:val="22"/>
        </w:rPr>
        <w:t xml:space="preserve">r_i^m = y_i - F_{m-1}(x_i)</w:t>
      </w:r>
      <w:r>
        <w:rPr>
          <w:rFonts w:ascii="Arial" w:cs="Arial" w:eastAsia="Arial" w:hAnsi="Arial"/>
          <w:color w:val="1A1A2E"/>
          <w:sz w:val="22"/>
          <w:szCs w:val="22"/>
        </w:rPr>
        <w:t xml:space="preserve">. So each tree fits the previous model's errors — this is gradient descent in function space.</w:t>
      </w:r>
    </w:p>
    <w:p>
      <w:pPr>
        <w:spacing w:before="60" w:after="60"/>
      </w:pPr>
      <w:r>
        <w:rPr>
          <w:rFonts w:ascii="Arial" w:cs="Arial" w:eastAsia="Arial" w:hAnsi="Arial"/>
          <w:color w:val="1A1A2E"/>
          <w:sz w:val="22"/>
          <w:szCs w:val="22"/>
        </w:rPr>
        <w:t xml:space="preserve">After M trees, prediction is a sum of piecewise constant functions, which together can approximate any smooth mapping. The depth-4 trees allow capturing up to 4-way feature interactions.</w:t>
      </w:r>
    </w:p>
    <w:p>
      <w:pPr>
        <w:pStyle w:val="Heading2"/>
        <w:spacing w:before="280" w:after="80"/>
      </w:pPr>
      <w:r>
        <w:rPr>
          <w:rFonts w:ascii="Arial" w:cs="Arial" w:eastAsia="Arial" w:hAnsi="Arial"/>
          <w:b/>
          <w:bCs/>
          <w:color w:val="2E75B6"/>
          <w:sz w:val="28"/>
          <w:szCs w:val="28"/>
        </w:rPr>
        <w:t xml:space="preserve">7.3 Why GBT Over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Model</w:t>
            </w:r>
          </w:p>
        </w:tc>
        <w:tc>
          <w:tcPr>
            <w:tcW w:type="dxa" w:w="3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Why Not?</w:t>
            </w:r>
          </w:p>
        </w:tc>
        <w:tc>
          <w:tcPr>
            <w:tcW w:type="dxa" w:w="3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GBT Advantage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Linear Regression</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Vol dynamics are nonlinear. VIX×yield slope interactions can't be captured.</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GBT captures arbitrary nonlinear interactions up to tree depth.</w:t>
            </w:r>
          </w:p>
        </w:tc>
      </w:tr>
      <w:tr>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Random Forest</w:t>
            </w:r>
          </w:p>
        </w:tc>
        <w:tc>
          <w:tcPr>
            <w:tcW w:type="dxa" w:w="368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Trees fit independently — doesn't correct systematic errors.</w:t>
            </w:r>
          </w:p>
        </w:tc>
        <w:tc>
          <w:tcPr>
            <w:tcW w:type="dxa" w:w="368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GBT trees correct prior trees' residuals sequentially.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Neural Network</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Needs 10k+ samples to generalize. Only hundreds of calibration days available.</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GBT generalizes well with 500-1000 samples using depth and subsampling.</w:t>
            </w:r>
          </w:p>
        </w:tc>
      </w:tr>
      <w:tr>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Yesterday's Params</w:t>
            </w:r>
          </w:p>
        </w:tc>
        <w:tc>
          <w:tcPr>
            <w:tcW w:type="dxa" w:w="368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Poor on regime-change days — exactly when fast calibration matters most.</w:t>
            </w:r>
          </w:p>
        </w:tc>
        <w:tc>
          <w:tcPr>
            <w:tcW w:type="dxa" w:w="368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GBT learns regime-conditional dynamics: "VIX+5pts → Δθ+0.015."</w:t>
            </w:r>
          </w:p>
        </w:tc>
      </w:tr>
    </w:tbl>
    <w:p>
      <w:r>
        <w:t xml:space="preserve"> </w:t>
      </w:r>
    </w:p>
    <w:p>
      <w:pPr>
        <w:pStyle w:val="Heading2"/>
        <w:spacing w:before="280" w:after="80"/>
      </w:pPr>
      <w:r>
        <w:rPr>
          <w:rFonts w:ascii="Arial" w:cs="Arial" w:eastAsia="Arial" w:hAnsi="Arial"/>
          <w:b/>
          <w:bCs/>
          <w:color w:val="2E75B6"/>
          <w:sz w:val="28"/>
          <w:szCs w:val="28"/>
        </w:rPr>
        <w:t xml:space="preserve">7.4 Feature Engineering</w:t>
      </w:r>
    </w:p>
    <w:p>
      <w:pPr>
        <w:spacing w:before="60" w:after="60"/>
      </w:pPr>
      <w:r>
        <w:rPr>
          <w:rFonts w:ascii="Arial" w:cs="Arial" w:eastAsia="Arial" w:hAnsi="Arial"/>
          <w:color w:val="1A1A2E"/>
          <w:sz w:val="22"/>
          <w:szCs w:val="22"/>
        </w:rPr>
        <w:t xml:space="preserve">The model uses 9 features, all computable from data already available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Source</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Economic Rationale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VIX (or ATM IV proxy)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FRED VIXCLS or ATM call</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Primary driver of θ level. High VIX → high θ.</w:t>
            </w:r>
          </w:p>
        </w:tc>
      </w:tr>
      <w:tr>
        <w:tc>
          <w:tcPr>
            <w:tcW w:type="dxa" w:w="2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Yield slope (10Y-2Y)</w:t>
            </w:r>
          </w:p>
        </w:tc>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YieldCurve already fetched</w:t>
            </w:r>
          </w:p>
        </w:tc>
        <w:tc>
          <w:tcPr>
            <w:tcW w:type="dxa" w:w="3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Affects term structure of vol. Inversion → flatter vol term structure.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Realized vol (1d, 5d, 20d)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ATM IV or spot history</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Vol-of-vol proxy. High rvol → large Δθ. Three horizons for mean reversion.</w:t>
            </w:r>
          </w:p>
        </w:tc>
      </w:tr>
      <w:tr>
        <w:tc>
          <w:tcPr>
            <w:tcW w:type="dxa" w:w="2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Put-call volume ratio</w:t>
            </w:r>
          </w:p>
        </w:tc>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OptionChain already loaded</w:t>
            </w:r>
          </w:p>
        </w:tc>
        <w:tc>
          <w:tcPr>
            <w:tcW w:type="dxa" w:w="3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Demand pressure proxy. High P/C → demand for downside protection → steeper skew → more negative Δρ.</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prev_theta, prev_rho, prev_eta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Previous calibration output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Anchors prediction. Predicting delta from a known base is easier than predicting the level.</w:t>
            </w:r>
          </w:p>
        </w:tc>
      </w:tr>
    </w:tbl>
    <w:p>
      <w:r>
        <w:t xml:space="preserve"> </w:t>
      </w:r>
    </w:p>
    <w:p>
      <w:pPr>
        <w:pStyle w:val="Heading2"/>
        <w:spacing w:before="280" w:after="80"/>
      </w:pPr>
      <w:r>
        <w:rPr>
          <w:rFonts w:ascii="Arial" w:cs="Arial" w:eastAsia="Arial" w:hAnsi="Arial"/>
          <w:b/>
          <w:bCs/>
          <w:color w:val="2E75B6"/>
          <w:sz w:val="28"/>
          <w:szCs w:val="28"/>
        </w:rPr>
        <w:t xml:space="preserve">7.5 Predicting Deltas, Not Levels — The Key Design Choice</w:t>
      </w:r>
    </w:p>
    <w:p>
      <w:pPr>
        <w:spacing w:before="60" w:after="60"/>
      </w:pPr>
      <w:r>
        <w:rPr>
          <w:rFonts w:ascii="Arial" w:cs="Arial" w:eastAsia="Arial" w:hAnsi="Arial"/>
          <w:color w:val="1A1A2E"/>
          <w:sz w:val="22"/>
          <w:szCs w:val="22"/>
        </w:rPr>
        <w:t xml:space="preserve">The model predicts </w:t>
      </w:r>
      <w:r>
        <w:rPr>
          <w:rFonts w:ascii="Arial" w:cs="Arial" w:eastAsia="Arial" w:hAnsi="Arial"/>
          <w:b/>
          <w:bCs/>
          <w:color w:val="1A1A2E"/>
          <w:sz w:val="22"/>
          <w:szCs w:val="22"/>
        </w:rPr>
        <w:t xml:space="preserve">changes</w:t>
      </w:r>
      <w:r>
        <w:rPr>
          <w:rFonts w:ascii="Arial" w:cs="Arial" w:eastAsia="Arial" w:hAnsi="Arial"/>
          <w:color w:val="1A1A2E"/>
          <w:sz w:val="22"/>
          <w:szCs w:val="22"/>
        </w:rPr>
        <w:t xml:space="preserve"> in SSVI parameters:</w:t>
      </w:r>
    </w:p>
    <w:p>
      <w:pPr>
        <w:shd w:fill="F2F4F7" w:val="clear"/>
        <w:spacing w:before="100" w:after="100"/>
        <w:jc w:val="center"/>
      </w:pPr>
      <w:r>
        <w:rPr>
          <w:rFonts w:ascii="Cambria Math" w:cs="Cambria Math" w:eastAsia="Cambria Math" w:hAnsi="Cambria Math"/>
          <w:i/>
          <w:iCs/>
          <w:color w:val="1F3864"/>
          <w:sz w:val="24"/>
          <w:szCs w:val="24"/>
        </w:rPr>
        <w:t xml:space="preserve">Targets: [Δθ_t, Δρ_t, Δη_t]  where  Δx_t = x_t - x_{t-1}</w:t>
      </w:r>
    </w:p>
    <w:p>
      <w:pPr>
        <w:spacing w:before="60" w:after="60"/>
      </w:pPr>
      <w:r>
        <w:rPr>
          <w:rFonts w:ascii="Arial" w:cs="Arial" w:eastAsia="Arial" w:hAnsi="Arial"/>
          <w:color w:val="1A1A2E"/>
          <w:sz w:val="22"/>
          <w:szCs w:val="22"/>
        </w:rPr>
        <w:t xml:space="preserve">This is a critical design decision. In calm markets, θ ≈ 0.03; in a crash, θ ≈ 0.10. A model predicting levels must learn the regime-dependent baseline, which requires much more data and still generalizes poorly. Daily changes in θ, however, are more stationary — a +2pt VIX move causes a similar Δθ whether VIX starts at 15 or 30.</w:t>
      </w:r>
    </w:p>
    <w:p>
      <w:pPr>
        <w:spacing w:before="60" w:after="60"/>
      </w:pPr>
      <w:r>
        <w:rPr>
          <w:rFonts w:ascii="Arial" w:cs="Arial" w:eastAsia="Arial" w:hAnsi="Arial"/>
          <w:color w:val="1A1A2E"/>
          <w:sz w:val="22"/>
          <w:szCs w:val="22"/>
        </w:rPr>
        <w:t xml:space="preserve">Prediction at inference time: θ_init = θ_prev + GBT_predicted(Δθ). Then clamp to valid optimizer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71C1C" w:sz="1"/>
              <w:left w:val="single" w:color="B71C1C" w:sz="1"/>
              <w:bottom w:val="single" w:color="B71C1C" w:sz="1"/>
              <w:right w:val="single" w:color="B71C1C" w:sz="1"/>
            </w:tcBorders>
            <w:shd w:fill="B71C1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FAILURE MODE</w:t>
            </w:r>
          </w:p>
        </w:tc>
        <w:tc>
          <w:tcPr>
            <w:tcW w:type="dxa" w:w="8160"/>
            <w:tcBorders>
              <w:top w:val="single" w:color="B71C1C" w:sz="1"/>
              <w:left w:val="single" w:color="B71C1C" w:sz="1"/>
              <w:bottom w:val="single" w:color="B71C1C" w:sz="1"/>
              <w:right w:val="single" w:color="B71C1C" w:sz="1"/>
            </w:tcBorders>
            <w:shd w:fill="F8FAFF" w:val="clear"/>
            <w:tcMar>
              <w:top w:type="dxa" w:w="100"/>
              <w:left w:type="dxa" w:w="160"/>
              <w:bottom w:type="dxa" w:w="100"/>
              <w:right w:type="dxa" w:w="120"/>
            </w:tcMar>
          </w:tcPr>
          <w:p>
            <w:r>
              <w:rPr>
                <w:rFonts w:ascii="Arial" w:cs="Arial" w:eastAsia="Arial" w:hAnsi="Arial"/>
                <w:color w:val="1A1A2E"/>
                <w:sz w:val="22"/>
                <w:szCs w:val="22"/>
              </w:rPr>
              <w:t xml:space="preserve">If prev_params came from a bad calibration (data outage, corrupted feed), the delta prediction starts from a wrong base. Mitigation: the optimizer runs to full convergence regardless, so convergence to the true optimum is guaranteed. The ML layer only affects speed, not correctness.</w:t>
            </w:r>
          </w:p>
        </w:tc>
      </w:tr>
    </w:tbl>
    <w:p>
      <w:r>
        <w:t xml:space="preserve"> </w:t>
      </w:r>
    </w:p>
    <w:p>
      <w:pPr>
        <w:pStyle w:val="Heading2"/>
        <w:spacing w:before="280" w:after="80"/>
      </w:pPr>
      <w:r>
        <w:rPr>
          <w:rFonts w:ascii="Arial" w:cs="Arial" w:eastAsia="Arial" w:hAnsi="Arial"/>
          <w:b/>
          <w:bCs/>
          <w:color w:val="2E75B6"/>
          <w:sz w:val="28"/>
          <w:szCs w:val="28"/>
        </w:rPr>
        <w:t xml:space="preserve">7.6 Hyperparameter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n_estimators = 200</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Enough trees to capture complex interactions without overfitting. Cross-validated against ~500 training samples.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22"/>
                <w:szCs w:val="22"/>
              </w:rPr>
              <w:t xml:space="preserve">max_depth =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2E"/>
                <w:sz w:val="22"/>
                <w:szCs w:val="22"/>
              </w:rPr>
              <w:t xml:space="preserve">Allows 4-way feature interactions (e.g., VIX × yield slope × prev_theta × rvol_20d). Deeper trees overfit.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learning_rate = 0.05</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Small learning rate (shrinkage) forces the ensemble to generalize by requiring many trees to achieve fit.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22"/>
                <w:szCs w:val="22"/>
              </w:rPr>
              <w:t xml:space="preserve">subsample = 0.8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2E"/>
                <w:sz w:val="22"/>
                <w:szCs w:val="22"/>
              </w:rPr>
              <w:t xml:space="preserve">Stochastic gradient boosting: each tree sees 80% of data. Reduces variance and correlation between trees.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MultiOutputRegressor</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Wraps 3 independent GBTs (one per target). Independent models allow each target to use different feature importances.</w:t>
            </w:r>
          </w:p>
        </w:tc>
      </w:tr>
    </w:tbl>
    <w:p>
      <w:pPr>
        <w:pStyle w:val="Heading2"/>
        <w:spacing w:before="280" w:after="80"/>
      </w:pPr>
      <w:r>
        <w:rPr>
          <w:rFonts w:ascii="Arial" w:cs="Arial" w:eastAsia="Arial" w:hAnsi="Arial"/>
          <w:b/>
          <w:bCs/>
          <w:color w:val="2E75B6"/>
          <w:sz w:val="28"/>
          <w:szCs w:val="28"/>
        </w:rPr>
        <w:t xml:space="preserve">7.7 Training Data Construction</w:t>
      </w:r>
    </w:p>
    <w:p>
      <w:pPr>
        <w:spacing w:before="60" w:after="60"/>
      </w:pPr>
      <w:r>
        <w:rPr>
          <w:rFonts w:ascii="Arial" w:cs="Arial" w:eastAsia="Arial" w:hAnsi="Arial"/>
          <w:color w:val="1A1A2E"/>
          <w:sz w:val="22"/>
          <w:szCs w:val="22"/>
        </w:rPr>
        <w:t xml:space="preserve">The model is </w:t>
      </w:r>
      <w:r>
        <w:rPr>
          <w:rFonts w:ascii="Arial" w:cs="Arial" w:eastAsia="Arial" w:hAnsi="Arial"/>
          <w:b/>
          <w:bCs/>
          <w:color w:val="1A1A2E"/>
          <w:sz w:val="22"/>
          <w:szCs w:val="22"/>
        </w:rPr>
        <w:t xml:space="preserve">self-supervised</w:t>
      </w:r>
      <w:r>
        <w:rPr>
          <w:rFonts w:ascii="Arial" w:cs="Arial" w:eastAsia="Arial" w:hAnsi="Arial"/>
          <w:color w:val="1A1A2E"/>
          <w:sz w:val="22"/>
          <w:szCs w:val="22"/>
        </w:rPr>
        <w:t xml:space="preserve"> — it trains on the calibration system's own historical outputs:</w:t>
      </w:r>
    </w:p>
    <w:p>
      <w:pPr>
        <w:pStyle w:val="ListParagraph"/>
        <w:numPr>
          <w:ilvl w:val="0"/>
          <w:numId w:val="3"/>
        </w:numPr>
        <w:spacing w:before="40" w:after="40"/>
      </w:pPr>
      <w:r>
        <w:rPr>
          <w:rFonts w:ascii="Arial" w:cs="Arial" w:eastAsia="Arial" w:hAnsi="Arial"/>
          <w:color w:val="1A1A2E"/>
          <w:sz w:val="22"/>
          <w:szCs w:val="22"/>
        </w:rPr>
        <w:t xml:space="preserve">Run classical SSVI calibration on N historical CBOE option chain snapshots (e.g., last 6 months of daily data).</w:t>
      </w:r>
    </w:p>
    <w:p>
      <w:pPr>
        <w:pStyle w:val="ListParagraph"/>
        <w:numPr>
          <w:ilvl w:val="0"/>
          <w:numId w:val="3"/>
        </w:numPr>
        <w:spacing w:before="40" w:after="40"/>
      </w:pPr>
      <w:r>
        <w:rPr>
          <w:rFonts w:ascii="Arial" w:cs="Arial" w:eastAsia="Arial" w:hAnsi="Arial"/>
          <w:color w:val="1A1A2E"/>
          <w:sz w:val="22"/>
          <w:szCs w:val="22"/>
        </w:rPr>
        <w:t xml:space="preserve">Record the calibration_log: {date, tenor, θ_t, ρ, η} per calibration.</w:t>
      </w:r>
    </w:p>
    <w:p>
      <w:pPr>
        <w:pStyle w:val="ListParagraph"/>
        <w:numPr>
          <w:ilvl w:val="0"/>
          <w:numId w:val="3"/>
        </w:numPr>
        <w:spacing w:before="40" w:after="40"/>
      </w:pPr>
      <w:r>
        <w:rPr>
          <w:rFonts w:ascii="Arial" w:cs="Arial" w:eastAsia="Arial" w:hAnsi="Arial"/>
          <w:color w:val="1A1A2E"/>
          <w:sz w:val="22"/>
          <w:szCs w:val="22"/>
        </w:rPr>
        <w:t xml:space="preserve">Record market_features_log: {date, VIX, yield_slope, rvol_1d, rvol_5d, rvol_20d, put_call_ratio}.</w:t>
      </w:r>
    </w:p>
    <w:p>
      <w:pPr>
        <w:pStyle w:val="ListParagraph"/>
        <w:numPr>
          <w:ilvl w:val="0"/>
          <w:numId w:val="3"/>
        </w:numPr>
        <w:spacing w:before="40" w:after="40"/>
      </w:pPr>
      <w:r>
        <w:rPr>
          <w:rFonts w:ascii="Arial" w:cs="Arial" w:eastAsia="Arial" w:hAnsi="Arial"/>
          <w:color w:val="1A1A2E"/>
          <w:sz w:val="22"/>
          <w:szCs w:val="22"/>
        </w:rPr>
        <w:t xml:space="preserve">Join on date, group by tenor, compute deltas: Δθ_t = θ_t - θ_{t-1}, etc.</w:t>
      </w:r>
    </w:p>
    <w:p>
      <w:pPr>
        <w:pStyle w:val="ListParagraph"/>
        <w:numPr>
          <w:ilvl w:val="0"/>
          <w:numId w:val="3"/>
        </w:numPr>
        <w:spacing w:before="40" w:after="40"/>
      </w:pPr>
      <w:r>
        <w:rPr>
          <w:rFonts w:ascii="Arial" w:cs="Arial" w:eastAsia="Arial" w:hAnsi="Arial"/>
          <w:color w:val="1A1A2E"/>
          <w:sz w:val="22"/>
          <w:szCs w:val="22"/>
        </w:rPr>
        <w:t xml:space="preserve">The resulting DataFrame has one row per (date, tenor), with 9 features and 3 targets.</w:t>
      </w:r>
    </w:p>
    <w:p>
      <w:pPr>
        <w:spacing w:before="60" w:after="60"/>
      </w:pPr>
      <w:r>
        <w:rPr>
          <w:rFonts w:ascii="Arial" w:cs="Arial" w:eastAsia="Arial" w:hAnsi="Arial"/>
          <w:color w:val="1A1A2E"/>
          <w:sz w:val="22"/>
          <w:szCs w:val="22"/>
        </w:rPr>
        <w:t xml:space="preserve">No external labels needed. The optimizer's outputs are the ground truth. This is a form of self-distillation — the ML model learns to approximate the expensive optimizer.</w:t>
      </w:r>
    </w:p>
    <w:p>
      <w:r>
        <w:br w:type="page"/>
      </w:r>
    </w:p>
    <w:p>
      <w:pPr>
        <w:pStyle w:val="Heading1"/>
        <w:pBdr>
          <w:bottom w:val="single" w:color="2E75B6" w:sz="8" w:space="4"/>
        </w:pBdr>
        <w:spacing w:before="360" w:after="120"/>
      </w:pPr>
      <w:r>
        <w:rPr>
          <w:rFonts w:ascii="Arial" w:cs="Arial" w:eastAsia="Arial" w:hAnsi="Arial"/>
          <w:b/>
          <w:bCs/>
          <w:color w:val="1F3864"/>
          <w:sz w:val="36"/>
          <w:szCs w:val="36"/>
        </w:rPr>
        <w:t xml:space="preserve">8. Greeks, Risk Ladder, and Hedging</w:t>
      </w:r>
    </w:p>
    <w:p>
      <w:pPr>
        <w:pStyle w:val="Heading2"/>
        <w:spacing w:before="280" w:after="80"/>
      </w:pPr>
      <w:r>
        <w:rPr>
          <w:rFonts w:ascii="Arial" w:cs="Arial" w:eastAsia="Arial" w:hAnsi="Arial"/>
          <w:b/>
          <w:bCs/>
          <w:color w:val="2E75B6"/>
          <w:sz w:val="28"/>
          <w:szCs w:val="28"/>
        </w:rPr>
        <w:t xml:space="preserve">8.1 Greeks via Central Finite Differences</w:t>
      </w:r>
    </w:p>
    <w:p>
      <w:pPr>
        <w:spacing w:before="60" w:after="60"/>
      </w:pPr>
      <w:r>
        <w:rPr>
          <w:rFonts w:ascii="Arial" w:cs="Arial" w:eastAsia="Arial" w:hAnsi="Arial"/>
          <w:color w:val="1A1A2E"/>
          <w:sz w:val="22"/>
          <w:szCs w:val="22"/>
        </w:rPr>
        <w:t xml:space="preserve">The project computes all Greeks via central finite differences in C++. The central scheme is used (not forward) because it is O(h²) accurate: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700"/>
        <w:gridCol w:w="2360"/>
      </w:tblGrid>
      <w:t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Greek</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Formula</w:t>
            </w:r>
          </w:p>
        </w:tc>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Bump Size</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Δ Delta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V(F+dF) - V(F-dF)) / 2dF</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dF = 0.5% of F</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2 pricing calls</w:t>
            </w:r>
          </w:p>
        </w:tc>
      </w:tr>
      <w:tr>
        <w:tc>
          <w:tcPr>
            <w:tcW w:type="dxa" w:w="15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Γ Gamma</w:t>
            </w:r>
          </w:p>
        </w:tc>
        <w:tc>
          <w:tcPr>
            <w:tcW w:type="dxa" w:w="2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(V(F+dF)-2V(F)+V(F-dF)) / dF²</w:t>
            </w:r>
          </w:p>
        </w:tc>
        <w:tc>
          <w:tcPr>
            <w:tcW w:type="dxa" w:w="2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dF = 0.5% of F</w:t>
            </w:r>
          </w:p>
        </w:tc>
        <w:tc>
          <w:tcPr>
            <w:tcW w:type="dxa" w:w="2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3 pricing calls (reuse delta bumps)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ν Vega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(V(σ+dσ)-V(σ-dσ)) / 2dσ</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dσ = 50 bps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2 pricing calls</w:t>
            </w:r>
          </w:p>
        </w:tc>
      </w:tr>
      <w:tr>
        <w:tc>
          <w:tcPr>
            <w:tcW w:type="dxa" w:w="15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Θ Theta</w:t>
            </w:r>
          </w:p>
        </w:tc>
        <w:tc>
          <w:tcPr>
            <w:tcW w:type="dxa" w:w="2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(V(T-dt)-V(T)) / dt</w:t>
            </w:r>
          </w:p>
        </w:tc>
        <w:tc>
          <w:tcPr>
            <w:tcW w:type="dxa" w:w="2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dt = 1 calendar day</w:t>
            </w:r>
          </w:p>
        </w:tc>
        <w:tc>
          <w:tcPr>
            <w:tcW w:type="dxa" w:w="2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1 pricing call</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Vanna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4-point cross diff</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dF, dσ combined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Cross-Greek: dΔ/dσ or dν/dS</w:t>
            </w:r>
          </w:p>
        </w:tc>
      </w:tr>
      <w:tr>
        <w:tc>
          <w:tcPr>
            <w:tcW w:type="dxa" w:w="15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Volga</w:t>
            </w:r>
          </w:p>
        </w:tc>
        <w:tc>
          <w:tcPr>
            <w:tcW w:type="dxa" w:w="2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(V(σ+dσ)-2V(σ)+V(σ-dσ)) / dσ²</w:t>
            </w:r>
          </w:p>
        </w:tc>
        <w:tc>
          <w:tcPr>
            <w:tcW w:type="dxa" w:w="2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dσ = 50 bps</w:t>
            </w:r>
          </w:p>
        </w:tc>
        <w:tc>
          <w:tcPr>
            <w:tcW w:type="dxa" w:w="2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3 calls (reuse vega bumps)</w:t>
            </w:r>
          </w:p>
        </w:tc>
      </w:tr>
    </w:tbl>
    <w:p>
      <w:r>
        <w:t xml:space="preserve"> </w:t>
      </w:r>
    </w:p>
    <w:p>
      <w:pPr>
        <w:pStyle w:val="Heading2"/>
        <w:spacing w:before="280" w:after="80"/>
      </w:pPr>
      <w:r>
        <w:rPr>
          <w:rFonts w:ascii="Arial" w:cs="Arial" w:eastAsia="Arial" w:hAnsi="Arial"/>
          <w:b/>
          <w:bCs/>
          <w:color w:val="2E75B6"/>
          <w:sz w:val="28"/>
          <w:szCs w:val="28"/>
        </w:rPr>
        <w:t xml:space="preserve">8.2 The 2D Risk Ladder</w:t>
      </w:r>
    </w:p>
    <w:p>
      <w:pPr>
        <w:spacing w:before="60" w:after="60"/>
      </w:pPr>
      <w:r>
        <w:rPr>
          <w:rFonts w:ascii="Arial" w:cs="Arial" w:eastAsia="Arial" w:hAnsi="Arial"/>
          <w:color w:val="1A1A2E"/>
          <w:sz w:val="22"/>
          <w:szCs w:val="22"/>
        </w:rPr>
        <w:t xml:space="preserve">The risk ladder provides a full-revaluation P&amp;L grid across market scenarios. This is the fundamental risk tool:</w:t>
      </w:r>
    </w:p>
    <w:p>
      <w:pPr>
        <w:pStyle w:val="ListParagraph"/>
        <w:numPr>
          <w:ilvl w:val="0"/>
          <w:numId w:val="2"/>
        </w:numPr>
        <w:spacing w:before="40" w:after="40"/>
      </w:pPr>
      <w:r>
        <w:rPr>
          <w:rFonts w:ascii="Arial" w:cs="Arial" w:eastAsia="Arial" w:hAnsi="Arial"/>
          <w:b/>
          <w:bCs/>
          <w:color w:val="1A1A2E"/>
          <w:sz w:val="22"/>
          <w:szCs w:val="22"/>
        </w:rPr>
        <w:t xml:space="preserve">21 spot shocks: </w:t>
      </w:r>
      <w:r>
        <w:rPr>
          <w:rFonts w:ascii="Arial" w:cs="Arial" w:eastAsia="Arial" w:hAnsi="Arial"/>
          <w:color w:val="1A1A2E"/>
          <w:sz w:val="22"/>
          <w:szCs w:val="22"/>
        </w:rPr>
        <w:t xml:space="preserve">-10% to +10% in 1% steps. Forward shifts proportionally with spot.</w:t>
      </w:r>
    </w:p>
    <w:p>
      <w:pPr>
        <w:pStyle w:val="ListParagraph"/>
        <w:numPr>
          <w:ilvl w:val="0"/>
          <w:numId w:val="2"/>
        </w:numPr>
        <w:spacing w:before="40" w:after="40"/>
      </w:pPr>
      <w:r>
        <w:rPr>
          <w:rFonts w:ascii="Arial" w:cs="Arial" w:eastAsia="Arial" w:hAnsi="Arial"/>
          <w:b/>
          <w:bCs/>
          <w:color w:val="1A1A2E"/>
          <w:sz w:val="22"/>
          <w:szCs w:val="22"/>
        </w:rPr>
        <w:t xml:space="preserve">21 vol shocks: </w:t>
      </w:r>
      <w:r>
        <w:rPr>
          <w:rFonts w:ascii="Arial" w:cs="Arial" w:eastAsia="Arial" w:hAnsi="Arial"/>
          <w:color w:val="1A1A2E"/>
          <w:sz w:val="22"/>
          <w:szCs w:val="22"/>
        </w:rPr>
        <w:t xml:space="preserve">-5 vol points to +5 vol points in 0.5 vol steps.</w:t>
      </w:r>
    </w:p>
    <w:p>
      <w:pPr>
        <w:pStyle w:val="ListParagraph"/>
        <w:numPr>
          <w:ilvl w:val="0"/>
          <w:numId w:val="2"/>
        </w:numPr>
        <w:spacing w:before="40" w:after="40"/>
      </w:pPr>
      <w:r>
        <w:rPr>
          <w:rFonts w:ascii="Arial" w:cs="Arial" w:eastAsia="Arial" w:hAnsi="Arial"/>
          <w:b/>
          <w:bCs/>
          <w:color w:val="1A1A2E"/>
          <w:sz w:val="22"/>
          <w:szCs w:val="22"/>
        </w:rPr>
        <w:t xml:space="preserve">441 scenarios total: </w:t>
      </w:r>
      <w:r>
        <w:rPr>
          <w:rFonts w:ascii="Arial" w:cs="Arial" w:eastAsia="Arial" w:hAnsi="Arial"/>
          <w:color w:val="1A1A2E"/>
          <w:sz w:val="22"/>
          <w:szCs w:val="22"/>
        </w:rPr>
        <w:t xml:space="preserve">Every combination of spot × vol shift is evaluated.</w:t>
      </w:r>
    </w:p>
    <w:p>
      <w:pPr>
        <w:pStyle w:val="ListParagraph"/>
        <w:numPr>
          <w:ilvl w:val="0"/>
          <w:numId w:val="2"/>
        </w:numPr>
        <w:spacing w:before="40" w:after="40"/>
      </w:pPr>
      <w:r>
        <w:rPr>
          <w:rFonts w:ascii="Arial" w:cs="Arial" w:eastAsia="Arial" w:hAnsi="Arial"/>
          <w:b/>
          <w:bCs/>
          <w:color w:val="1A1A2E"/>
          <w:sz w:val="22"/>
          <w:szCs w:val="22"/>
        </w:rPr>
        <w:t xml:space="preserve">Sticky-strike convention: </w:t>
      </w:r>
      <w:r>
        <w:rPr>
          <w:rFonts w:ascii="Arial" w:cs="Arial" w:eastAsia="Arial" w:hAnsi="Arial"/>
          <w:color w:val="1A1A2E"/>
          <w:sz w:val="22"/>
          <w:szCs w:val="22"/>
        </w:rPr>
        <w:t xml:space="preserve">When spot moves, vol at each strike (K, T) is read from the SSVI surface at the shifted forward. This is the most common convention for equity index options.</w:t>
      </w:r>
    </w:p>
    <w:p>
      <w:pPr>
        <w:spacing w:before="60" w:after="60"/>
      </w:pPr>
      <w:r>
        <w:rPr>
          <w:rFonts w:ascii="Arial" w:cs="Arial" w:eastAsia="Arial" w:hAnsi="Arial"/>
          <w:color w:val="1A1A2E"/>
          <w:sz w:val="22"/>
          <w:szCs w:val="22"/>
        </w:rPr>
        <w:t xml:space="preserve">Each cell in the grid shows the P&amp;L of the portfolio under that scenario. The grid reveals non-linear risk that Greeks miss: for example, a position with zero vega might still have large P&amp;L sensitivity to large vol moves (captured by volga).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6064" w:sz="1"/>
              <w:left w:val="single" w:color="006064" w:sz="1"/>
              <w:bottom w:val="single" w:color="006064" w:sz="1"/>
              <w:right w:val="single" w:color="006064" w:sz="1"/>
            </w:tcBorders>
            <w:shd w:fill="0060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STICKY-STRIKE vs STICKY-DELTA</w:t>
            </w:r>
          </w:p>
        </w:tc>
        <w:tc>
          <w:tcPr>
            <w:tcW w:type="dxa" w:w="8160"/>
            <w:tcBorders>
              <w:top w:val="single" w:color="006064" w:sz="1"/>
              <w:left w:val="single" w:color="006064" w:sz="1"/>
              <w:bottom w:val="single" w:color="006064" w:sz="1"/>
              <w:right w:val="single" w:color="006064" w:sz="1"/>
            </w:tcBorders>
            <w:shd w:fill="F8FAFF" w:val="clear"/>
            <w:tcMar>
              <w:top w:type="dxa" w:w="100"/>
              <w:left w:type="dxa" w:w="160"/>
              <w:bottom w:type="dxa" w:w="100"/>
              <w:right w:type="dxa" w:w="120"/>
            </w:tcMar>
          </w:tcPr>
          <w:p>
            <w:r>
              <w:rPr>
                <w:rFonts w:ascii="Arial" w:cs="Arial" w:eastAsia="Arial" w:hAnsi="Arial"/>
                <w:color w:val="1A1A2E"/>
                <w:sz w:val="22"/>
                <w:szCs w:val="22"/>
              </w:rPr>
              <w:t xml:space="preserve">Sticky-strike: the vol smile moves with the spot (K fixed, IV(K) unchanged). Sticky-delta: the vol at each delta level stays fixed (the smile "floats" with spot). Real markets are somewhere between. For index options, sticky-strike is the standard assumption in risk systems.</w:t>
            </w:r>
          </w:p>
        </w:tc>
      </w:tr>
    </w:tbl>
    <w:p>
      <w:r>
        <w:t xml:space="preserve"> </w:t>
      </w:r>
    </w:p>
    <w:p>
      <w:pPr>
        <w:pStyle w:val="Heading2"/>
        <w:spacing w:before="280" w:after="80"/>
      </w:pPr>
      <w:r>
        <w:rPr>
          <w:rFonts w:ascii="Arial" w:cs="Arial" w:eastAsia="Arial" w:hAnsi="Arial"/>
          <w:b/>
          <w:bCs/>
          <w:color w:val="2E75B6"/>
          <w:sz w:val="28"/>
          <w:szCs w:val="28"/>
        </w:rPr>
        <w:t xml:space="preserve">8.3 Hedging Efficient Frontier</w:t>
      </w:r>
    </w:p>
    <w:p>
      <w:pPr>
        <w:spacing w:before="60" w:after="60"/>
      </w:pPr>
      <w:r>
        <w:rPr>
          <w:rFonts w:ascii="Arial" w:cs="Arial" w:eastAsia="Arial" w:hAnsi="Arial"/>
          <w:color w:val="1A1A2E"/>
          <w:sz w:val="22"/>
          <w:szCs w:val="22"/>
        </w:rPr>
        <w:t xml:space="preserve">The hedging optimizer minimizes the variance of the hedged portfolio P&amp;L subject to a transaction cost budget:</w:t>
      </w:r>
    </w:p>
    <w:p>
      <w:pPr>
        <w:shd w:fill="F2F4F7" w:val="clear"/>
        <w:spacing w:before="100" w:after="100"/>
        <w:jc w:val="center"/>
      </w:pPr>
      <w:r>
        <w:rPr>
          <w:rFonts w:ascii="Cambria Math" w:cs="Cambria Math" w:eastAsia="Cambria Math" w:hAnsi="Cambria Math"/>
          <w:i/>
          <w:iCs/>
          <w:color w:val="1F3864"/>
          <w:sz w:val="24"/>
          <w:szCs w:val="24"/>
        </w:rPr>
        <w:t xml:space="preserve">min_h  Var(P + H·h)   s.t.  Σ_j |h_j|·c_j ≤ B</w:t>
      </w:r>
    </w:p>
    <w:p>
      <w:pPr>
        <w:spacing w:before="60" w:after="60"/>
      </w:pPr>
      <w:r>
        <w:rPr>
          <w:rFonts w:ascii="Arial" w:cs="Arial" w:eastAsia="Arial" w:hAnsi="Arial"/>
          <w:color w:val="1A1A2E"/>
          <w:sz w:val="22"/>
          <w:szCs w:val="22"/>
        </w:rPr>
        <w:t xml:space="preserve">where </w:t>
      </w:r>
      <w:r>
        <w:rPr>
          <w:rFonts w:ascii="Cambria Math" w:cs="Cambria Math" w:eastAsia="Cambria Math" w:hAnsi="Cambria Math"/>
          <w:i/>
          <w:iCs/>
          <w:color w:val="1F3864"/>
          <w:sz w:val="22"/>
          <w:szCs w:val="22"/>
        </w:rPr>
        <w:t xml:space="preserve">P</w:t>
      </w:r>
      <w:r>
        <w:rPr>
          <w:rFonts w:ascii="Arial" w:cs="Arial" w:eastAsia="Arial" w:hAnsi="Arial"/>
          <w:color w:val="1A1A2E"/>
          <w:sz w:val="22"/>
          <w:szCs w:val="22"/>
        </w:rPr>
        <w:t xml:space="preserve"> is the unhedged portfolio P&amp;L vector (across scenarios), </w:t>
      </w:r>
      <w:r>
        <w:rPr>
          <w:rFonts w:ascii="Cambria Math" w:cs="Cambria Math" w:eastAsia="Cambria Math" w:hAnsi="Cambria Math"/>
          <w:i/>
          <w:iCs/>
          <w:color w:val="1F3864"/>
          <w:sz w:val="22"/>
          <w:szCs w:val="22"/>
        </w:rPr>
        <w:t xml:space="preserve">H</w:t>
      </w:r>
      <w:r>
        <w:rPr>
          <w:rFonts w:ascii="Arial" w:cs="Arial" w:eastAsia="Arial" w:hAnsi="Arial"/>
          <w:color w:val="1A1A2E"/>
          <w:sz w:val="22"/>
          <w:szCs w:val="22"/>
        </w:rPr>
        <w:t xml:space="preserve"> is the hedging instrument P&amp;L matrix (columns = instruments), </w:t>
      </w:r>
      <w:r>
        <w:rPr>
          <w:rFonts w:ascii="Cambria Math" w:cs="Cambria Math" w:eastAsia="Cambria Math" w:hAnsi="Cambria Math"/>
          <w:i/>
          <w:iCs/>
          <w:color w:val="1F3864"/>
          <w:sz w:val="22"/>
          <w:szCs w:val="22"/>
        </w:rPr>
        <w:t xml:space="preserve">h</w:t>
      </w:r>
      <w:r>
        <w:rPr>
          <w:rFonts w:ascii="Arial" w:cs="Arial" w:eastAsia="Arial" w:hAnsi="Arial"/>
          <w:color w:val="1A1A2E"/>
          <w:sz w:val="22"/>
          <w:szCs w:val="22"/>
        </w:rPr>
        <w:t xml:space="preserve"> is the hedge ratio vector, </w:t>
      </w:r>
      <w:r>
        <w:rPr>
          <w:rFonts w:ascii="Cambria Math" w:cs="Cambria Math" w:eastAsia="Cambria Math" w:hAnsi="Cambria Math"/>
          <w:i/>
          <w:iCs/>
          <w:color w:val="1F3864"/>
          <w:sz w:val="22"/>
          <w:szCs w:val="22"/>
        </w:rPr>
        <w:t xml:space="preserve">c_j</w:t>
      </w:r>
      <w:r>
        <w:rPr>
          <w:rFonts w:ascii="Arial" w:cs="Arial" w:eastAsia="Arial" w:hAnsi="Arial"/>
          <w:color w:val="1A1A2E"/>
          <w:sz w:val="22"/>
          <w:szCs w:val="22"/>
        </w:rPr>
        <w:t xml:space="preserve"> is the cost per unit of instrument j, and </w:t>
      </w:r>
      <w:r>
        <w:rPr>
          <w:rFonts w:ascii="Cambria Math" w:cs="Cambria Math" w:eastAsia="Cambria Math" w:hAnsi="Cambria Math"/>
          <w:i/>
          <w:iCs/>
          <w:color w:val="1F3864"/>
          <w:sz w:val="22"/>
          <w:szCs w:val="22"/>
        </w:rPr>
        <w:t xml:space="preserve">B</w:t>
      </w:r>
      <w:r>
        <w:rPr>
          <w:rFonts w:ascii="Arial" w:cs="Arial" w:eastAsia="Arial" w:hAnsi="Arial"/>
          <w:color w:val="1A1A2E"/>
          <w:sz w:val="22"/>
          <w:szCs w:val="22"/>
        </w:rPr>
        <w:t xml:space="preserve"> is the cost budget.</w:t>
      </w:r>
    </w:p>
    <w:p>
      <w:pPr>
        <w:spacing w:before="60" w:after="60"/>
      </w:pPr>
      <w:r>
        <w:rPr>
          <w:rFonts w:ascii="Arial" w:cs="Arial" w:eastAsia="Arial" w:hAnsi="Arial"/>
          <w:color w:val="1A1A2E"/>
          <w:sz w:val="22"/>
          <w:szCs w:val="22"/>
        </w:rPr>
        <w:t xml:space="preserve">Key properties of this optimization:</w:t>
      </w:r>
    </w:p>
    <w:p>
      <w:pPr>
        <w:pStyle w:val="ListParagraph"/>
        <w:numPr>
          <w:ilvl w:val="0"/>
          <w:numId w:val="2"/>
        </w:numPr>
        <w:spacing w:before="40" w:after="40"/>
      </w:pPr>
      <w:r>
        <w:rPr>
          <w:rFonts w:ascii="Arial" w:cs="Arial" w:eastAsia="Arial" w:hAnsi="Arial"/>
          <w:b/>
          <w:bCs/>
          <w:color w:val="1A1A2E"/>
          <w:sz w:val="22"/>
          <w:szCs w:val="22"/>
        </w:rPr>
        <w:t xml:space="preserve">Quadratic objective: </w:t>
      </w:r>
      <w:r>
        <w:rPr>
          <w:rFonts w:ascii="Arial" w:cs="Arial" w:eastAsia="Arial" w:hAnsi="Arial"/>
          <w:color w:val="1A1A2E"/>
          <w:sz w:val="22"/>
          <w:szCs w:val="22"/>
        </w:rPr>
        <w:t xml:space="preserve">Var(P + Hh) = hᵀ·Σ_H·h + 2·cov(P, Hh) + Var(P). This is quadratic in h — smooth and efficiently solvable.</w:t>
      </w:r>
    </w:p>
    <w:p>
      <w:pPr>
        <w:pStyle w:val="ListParagraph"/>
        <w:numPr>
          <w:ilvl w:val="0"/>
          <w:numId w:val="2"/>
        </w:numPr>
        <w:spacing w:before="40" w:after="40"/>
      </w:pPr>
      <w:r>
        <w:rPr>
          <w:rFonts w:ascii="Arial" w:cs="Arial" w:eastAsia="Arial" w:hAnsi="Arial"/>
          <w:b/>
          <w:bCs/>
          <w:color w:val="1A1A2E"/>
          <w:sz w:val="22"/>
          <w:szCs w:val="22"/>
        </w:rPr>
        <w:t xml:space="preserve">L1 cost constraint: </w:t>
      </w:r>
      <w:r>
        <w:rPr>
          <w:rFonts w:ascii="Arial" w:cs="Arial" w:eastAsia="Arial" w:hAnsi="Arial"/>
          <w:color w:val="1A1A2E"/>
          <w:sz w:val="22"/>
          <w:szCs w:val="22"/>
        </w:rPr>
        <w:t xml:space="preserve">Σ|h_j|·c_j ≤ B. The L1 norm (unlike L2) induces </w:t>
      </w:r>
      <w:r>
        <w:rPr>
          <w:rFonts w:ascii="Arial" w:cs="Arial" w:eastAsia="Arial" w:hAnsi="Arial"/>
          <w:i/>
          <w:iCs/>
          <w:color w:val="1A1A2E"/>
          <w:sz w:val="22"/>
          <w:szCs w:val="22"/>
        </w:rPr>
        <w:t xml:space="preserve">sparsity</w:t>
      </w:r>
      <w:r>
        <w:rPr>
          <w:rFonts w:ascii="Arial" w:cs="Arial" w:eastAsia="Arial" w:hAnsi="Arial"/>
          <w:color w:val="1A1A2E"/>
          <w:sz w:val="22"/>
          <w:szCs w:val="22"/>
        </w:rPr>
        <w:t xml:space="preserve"> — at low budgets, only the most efficient hedge (lowest cost per variance reduction) is used. This mirrors real trading where you hedge with the most liquid instruments first.</w:t>
      </w:r>
    </w:p>
    <w:p>
      <w:pPr>
        <w:pStyle w:val="ListParagraph"/>
        <w:numPr>
          <w:ilvl w:val="0"/>
          <w:numId w:val="2"/>
        </w:numPr>
        <w:spacing w:before="40" w:after="40"/>
      </w:pPr>
      <w:r>
        <w:rPr>
          <w:rFonts w:ascii="Arial" w:cs="Arial" w:eastAsia="Arial" w:hAnsi="Arial"/>
          <w:b/>
          <w:bCs/>
          <w:color w:val="1A1A2E"/>
          <w:sz w:val="22"/>
          <w:szCs w:val="22"/>
        </w:rPr>
        <w:t xml:space="preserve">Efficient frontier: </w:t>
      </w:r>
      <w:r>
        <w:rPr>
          <w:rFonts w:ascii="Arial" w:cs="Arial" w:eastAsia="Arial" w:hAnsi="Arial"/>
          <w:color w:val="1A1A2E"/>
          <w:sz w:val="22"/>
          <w:szCs w:val="22"/>
        </w:rPr>
        <w:t xml:space="preserve">Sweeping B from 0 to max generates the frontier. At B=0: no hedging, maximum variance. At B=max: minimum attainable variance. The "knee" of the curve shows the budget where marginal variance reduction per dollar of cost is highest.</w:t>
      </w:r>
    </w:p>
    <w:p>
      <w:pPr>
        <w:spacing w:before="60" w:after="60"/>
      </w:pPr>
      <w:r>
        <w:rPr>
          <w:rFonts w:ascii="Arial" w:cs="Arial" w:eastAsia="Arial" w:hAnsi="Arial"/>
          <w:color w:val="1A1A2E"/>
          <w:sz w:val="22"/>
          <w:szCs w:val="22"/>
        </w:rPr>
        <w:t xml:space="preserve">The optimizer uses SLSQP (Sequential Least Squares Programming), which handles the smooth nonlinear constraints via augmented Lagrangian methods.</w:t>
      </w:r>
    </w:p>
    <w:p>
      <w:r>
        <w:br w:type="page"/>
      </w:r>
    </w:p>
    <w:p>
      <w:pPr>
        <w:pStyle w:val="Heading1"/>
        <w:pBdr>
          <w:bottom w:val="single" w:color="2E75B6" w:sz="8" w:space="4"/>
        </w:pBdr>
        <w:spacing w:before="360" w:after="120"/>
      </w:pPr>
      <w:r>
        <w:rPr>
          <w:rFonts w:ascii="Arial" w:cs="Arial" w:eastAsia="Arial" w:hAnsi="Arial"/>
          <w:b/>
          <w:bCs/>
          <w:color w:val="1F3864"/>
          <w:sz w:val="36"/>
          <w:szCs w:val="36"/>
        </w:rPr>
        <w:t xml:space="preserve">9. ETF Premium/Discount Dynamics</w:t>
      </w:r>
    </w:p>
    <w:p>
      <w:pPr>
        <w:pStyle w:val="Heading2"/>
        <w:spacing w:before="280" w:after="80"/>
      </w:pPr>
      <w:r>
        <w:rPr>
          <w:rFonts w:ascii="Arial" w:cs="Arial" w:eastAsia="Arial" w:hAnsi="Arial"/>
          <w:b/>
          <w:bCs/>
          <w:color w:val="2E75B6"/>
          <w:sz w:val="28"/>
          <w:szCs w:val="28"/>
        </w:rPr>
        <w:t xml:space="preserve">9.1 The Problem</w:t>
      </w:r>
    </w:p>
    <w:p>
      <w:pPr>
        <w:spacing w:before="60" w:after="60"/>
      </w:pPr>
      <w:r>
        <w:rPr>
          <w:rFonts w:ascii="Arial" w:cs="Arial" w:eastAsia="Arial" w:hAnsi="Arial"/>
          <w:color w:val="1A1A2E"/>
          <w:sz w:val="22"/>
          <w:szCs w:val="22"/>
        </w:rPr>
        <w:t xml:space="preserve">ETFs like SPY track an index via a basket of stocks. The ETF price should equal the Net Asset Value (NAV) of the basket. However, supply/demand for the ETF can cause the price to trade at a </w:t>
      </w:r>
      <w:r>
        <w:rPr>
          <w:rFonts w:ascii="Arial" w:cs="Arial" w:eastAsia="Arial" w:hAnsi="Arial"/>
          <w:b/>
          <w:bCs/>
          <w:color w:val="1A1A2E"/>
          <w:sz w:val="22"/>
          <w:szCs w:val="22"/>
        </w:rPr>
        <w:t xml:space="preserve">premium</w:t>
      </w:r>
      <w:r>
        <w:rPr>
          <w:rFonts w:ascii="Arial" w:cs="Arial" w:eastAsia="Arial" w:hAnsi="Arial"/>
          <w:color w:val="1A1A2E"/>
          <w:sz w:val="22"/>
          <w:szCs w:val="22"/>
        </w:rPr>
        <w:t xml:space="preserve"> (ETF &gt; NAV) or </w:t>
      </w:r>
      <w:r>
        <w:rPr>
          <w:rFonts w:ascii="Arial" w:cs="Arial" w:eastAsia="Arial" w:hAnsi="Arial"/>
          <w:b/>
          <w:bCs/>
          <w:color w:val="1A1A2E"/>
          <w:sz w:val="22"/>
          <w:szCs w:val="22"/>
        </w:rPr>
        <w:t xml:space="preserve">discount</w:t>
      </w:r>
      <w:r>
        <w:rPr>
          <w:rFonts w:ascii="Arial" w:cs="Arial" w:eastAsia="Arial" w:hAnsi="Arial"/>
          <w:color w:val="1A1A2E"/>
          <w:sz w:val="22"/>
          <w:szCs w:val="22"/>
        </w:rPr>
        <w:t xml:space="preserve"> (ETF &lt; NAV).</w:t>
      </w:r>
    </w:p>
    <w:p>
      <w:pPr>
        <w:spacing w:before="60" w:after="60"/>
      </w:pPr>
      <w:r>
        <w:rPr>
          <w:rFonts w:ascii="Arial" w:cs="Arial" w:eastAsia="Arial" w:hAnsi="Arial"/>
          <w:color w:val="1A1A2E"/>
          <w:sz w:val="22"/>
          <w:szCs w:val="22"/>
        </w:rPr>
        <w:t xml:space="preserve">This matters for options because:</w:t>
      </w:r>
    </w:p>
    <w:p>
      <w:pPr>
        <w:pStyle w:val="ListParagraph"/>
        <w:numPr>
          <w:ilvl w:val="0"/>
          <w:numId w:val="2"/>
        </w:numPr>
        <w:spacing w:before="40" w:after="40"/>
      </w:pPr>
      <w:r>
        <w:rPr>
          <w:rFonts w:ascii="Arial" w:cs="Arial" w:eastAsia="Arial" w:hAnsi="Arial"/>
          <w:b/>
          <w:bCs/>
          <w:color w:val="1A1A2E"/>
          <w:sz w:val="22"/>
          <w:szCs w:val="22"/>
        </w:rPr>
        <w:t xml:space="preserve">Vol surface distortion: </w:t>
      </w:r>
      <w:r>
        <w:rPr>
          <w:rFonts w:ascii="Arial" w:cs="Arial" w:eastAsia="Arial" w:hAnsi="Arial"/>
          <w:color w:val="1A1A2E"/>
          <w:sz w:val="22"/>
          <w:szCs w:val="22"/>
        </w:rPr>
        <w:t xml:space="preserve">Options are priced on the ETF price, not the NAV. If the ETF trades at a 0.5% premium, the ATM vol appears lower (since the market pays more for the ETF, implying lower expected vol per dollar).</w:t>
      </w:r>
    </w:p>
    <w:p>
      <w:pPr>
        <w:pStyle w:val="ListParagraph"/>
        <w:numPr>
          <w:ilvl w:val="0"/>
          <w:numId w:val="2"/>
        </w:numPr>
        <w:spacing w:before="40" w:after="40"/>
      </w:pPr>
      <w:r>
        <w:rPr>
          <w:rFonts w:ascii="Arial" w:cs="Arial" w:eastAsia="Arial" w:hAnsi="Arial"/>
          <w:b/>
          <w:bCs/>
          <w:color w:val="1A1A2E"/>
          <w:sz w:val="22"/>
          <w:szCs w:val="22"/>
        </w:rPr>
        <w:t xml:space="preserve">Mean reversion: </w:t>
      </w:r>
      <w:r>
        <w:rPr>
          <w:rFonts w:ascii="Arial" w:cs="Arial" w:eastAsia="Arial" w:hAnsi="Arial"/>
          <w:color w:val="1A1A2E"/>
          <w:sz w:val="22"/>
          <w:szCs w:val="22"/>
        </w:rPr>
        <w:t xml:space="preserve">Premiums/discounts have a known mean-reversion mechanism: authorized participants (APs) can create/redeem ETF shares by exchanging the basket. This creates an arbitrage force pulling the premium toward zero with a half-life typically of 1-5 days for large liquid ETFs.</w:t>
      </w:r>
    </w:p>
    <w:p>
      <w:pPr>
        <w:pStyle w:val="Heading2"/>
        <w:spacing w:before="280" w:after="80"/>
      </w:pPr>
      <w:r>
        <w:rPr>
          <w:rFonts w:ascii="Arial" w:cs="Arial" w:eastAsia="Arial" w:hAnsi="Arial"/>
          <w:b/>
          <w:bCs/>
          <w:color w:val="2E75B6"/>
          <w:sz w:val="28"/>
          <w:szCs w:val="28"/>
        </w:rPr>
        <w:t xml:space="preserve">9.2 The Model</w:t>
      </w:r>
    </w:p>
    <w:p>
      <w:pPr>
        <w:spacing w:before="60" w:after="60"/>
      </w:pPr>
      <w:r>
        <w:rPr>
          <w:rFonts w:ascii="Arial" w:cs="Arial" w:eastAsia="Arial" w:hAnsi="Arial"/>
          <w:color w:val="1A1A2E"/>
          <w:sz w:val="22"/>
          <w:szCs w:val="22"/>
        </w:rPr>
        <w:t xml:space="preserve">The project applies a vol drag adjustment to account for the mean-reverting premium:</w:t>
      </w:r>
    </w:p>
    <w:p>
      <w:pPr>
        <w:shd w:fill="F2F4F7" w:val="clear"/>
        <w:spacing w:before="100" w:after="100"/>
        <w:jc w:val="center"/>
      </w:pPr>
      <w:r>
        <w:rPr>
          <w:rFonts w:ascii="Cambria Math" w:cs="Cambria Math" w:eastAsia="Cambria Math" w:hAnsi="Cambria Math"/>
          <w:i/>
          <w:iCs/>
          <w:color w:val="1F3864"/>
          <w:sz w:val="24"/>
          <w:szCs w:val="24"/>
        </w:rPr>
        <w:t xml:space="preserve">vol_drag = 0.4 · |premium_%|/100 · e^(-ln2 · T / half_life)</w:t>
      </w:r>
    </w:p>
    <w:p>
      <w:pPr>
        <w:shd w:fill="F2F4F7" w:val="clear"/>
        <w:spacing w:before="100" w:after="100"/>
        <w:jc w:val="center"/>
      </w:pPr>
      <w:r>
        <w:rPr>
          <w:rFonts w:ascii="Cambria Math" w:cs="Cambria Math" w:eastAsia="Cambria Math" w:hAnsi="Cambria Math"/>
          <w:i/>
          <w:iCs/>
          <w:color w:val="1F3864"/>
          <w:sz w:val="24"/>
          <w:szCs w:val="24"/>
        </w:rPr>
        <w:t xml:space="preserve">σ_adjusted(k, T) = σ_SSVI(k, T) - vol_drag</w:t>
      </w:r>
    </w:p>
    <w:p>
      <w:pPr>
        <w:spacing w:before="60" w:after="60"/>
      </w:pPr>
      <w:r>
        <w:rPr>
          <w:rFonts w:ascii="Arial" w:cs="Arial" w:eastAsia="Arial" w:hAnsi="Arial"/>
          <w:color w:val="1A1A2E"/>
          <w:sz w:val="22"/>
          <w:szCs w:val="22"/>
        </w:rPr>
        <w:t xml:space="preserve">The 0.4 coefficient is empirical — for a 1% premium, the vol is dragged down by approximately 0.4% × vol. The exponential decay models how quickly the AP arbitrage closes the gap: after one half-life, the drag is halved.</w:t>
      </w:r>
    </w:p>
    <w:p>
      <w:pPr>
        <w:pStyle w:val="Heading2"/>
        <w:spacing w:before="280" w:after="80"/>
      </w:pPr>
      <w:r>
        <w:rPr>
          <w:rFonts w:ascii="Arial" w:cs="Arial" w:eastAsia="Arial" w:hAnsi="Arial"/>
          <w:b/>
          <w:bCs/>
          <w:color w:val="2E75B6"/>
          <w:sz w:val="28"/>
          <w:szCs w:val="28"/>
        </w:rPr>
        <w:t xml:space="preserve">9.3 Practical Implications</w:t>
      </w:r>
    </w:p>
    <w:p>
      <w:pPr>
        <w:spacing w:before="60" w:after="60"/>
      </w:pPr>
      <w:r>
        <w:rPr>
          <w:rFonts w:ascii="Arial" w:cs="Arial" w:eastAsia="Arial" w:hAnsi="Arial"/>
          <w:color w:val="1A1A2E"/>
          <w:sz w:val="22"/>
          <w:szCs w:val="22"/>
        </w:rPr>
        <w:t xml:space="preserve">For a typical SPY premium of 0.1-0.3%, the vol drag is small (&lt;10bps) and often within bid-ask noise. For international ETFs (EFA, EEM) where the basket cannot be arbitraged overnight (trading hours mismatch), premiums can exceed 1% and the vol effect is material.</w:t>
      </w:r>
    </w:p>
    <w:p>
      <w:pPr>
        <w:spacing w:before="60" w:after="60"/>
      </w:pPr>
      <w:r>
        <w:rPr>
          <w:rFonts w:ascii="Arial" w:cs="Arial" w:eastAsia="Arial" w:hAnsi="Arial"/>
          <w:color w:val="1A1A2E"/>
          <w:sz w:val="22"/>
          <w:szCs w:val="22"/>
        </w:rPr>
        <w:t xml:space="preserve">This is the "Model Challenges — Premium/Discount in ETF" section referenced in the job description. The interviewers want to see that you understand ETF mechanics and can model the feedback between NAV tracking and option pricing.</w:t>
      </w:r>
    </w:p>
    <w:p>
      <w:r>
        <w:br w:type="page"/>
      </w:r>
    </w:p>
    <w:p>
      <w:pPr>
        <w:pStyle w:val="Heading1"/>
        <w:pBdr>
          <w:bottom w:val="single" w:color="2E75B6" w:sz="8" w:space="4"/>
        </w:pBdr>
        <w:spacing w:before="360" w:after="120"/>
      </w:pPr>
      <w:r>
        <w:rPr>
          <w:rFonts w:ascii="Arial" w:cs="Arial" w:eastAsia="Arial" w:hAnsi="Arial"/>
          <w:b/>
          <w:bCs/>
          <w:color w:val="1F3864"/>
          <w:sz w:val="36"/>
          <w:szCs w:val="36"/>
        </w:rPr>
        <w:t xml:space="preserve">10. Interview Deep-Dive Q&amp;A</w:t>
      </w:r>
    </w:p>
    <w:p>
      <w:pPr>
        <w:pStyle w:val="Heading2"/>
        <w:spacing w:before="280" w:after="80"/>
      </w:pPr>
      <w:r>
        <w:rPr>
          <w:rFonts w:ascii="Arial" w:cs="Arial" w:eastAsia="Arial" w:hAnsi="Arial"/>
          <w:b/>
          <w:bCs/>
          <w:color w:val="2E75B6"/>
          <w:sz w:val="28"/>
          <w:szCs w:val="28"/>
        </w:rPr>
        <w:t xml:space="preserve">10.1 Vol Surface Questions</w:t>
      </w:r>
    </w:p>
    <w:p>
      <w:pPr>
        <w:pStyle w:val="Heading3"/>
        <w:spacing w:before="200" w:after="60"/>
      </w:pPr>
      <w:r>
        <w:rPr>
          <w:rFonts w:ascii="Arial" w:cs="Arial" w:eastAsia="Arial" w:hAnsi="Arial"/>
          <w:b/>
          <w:bCs/>
          <w:color w:val="006064"/>
          <w:sz w:val="24"/>
          <w:szCs w:val="24"/>
        </w:rPr>
        <w:t xml:space="preserve">Q: Why SSVI over SVI?</w:t>
      </w:r>
    </w:p>
    <w:p>
      <w:pPr>
        <w:spacing w:before="60" w:after="60"/>
      </w:pPr>
      <w:r>
        <w:rPr>
          <w:rFonts w:ascii="Arial" w:cs="Arial" w:eastAsia="Arial" w:hAnsi="Arial"/>
          <w:b/>
          <w:bCs/>
          <w:color w:val="1A1A2E"/>
          <w:sz w:val="22"/>
          <w:szCs w:val="22"/>
        </w:rPr>
        <w:t xml:space="preserve">A: </w:t>
      </w:r>
      <w:r>
        <w:rPr>
          <w:rFonts w:ascii="Arial" w:cs="Arial" w:eastAsia="Arial" w:hAnsi="Arial"/>
          <w:color w:val="1A1A2E"/>
          <w:sz w:val="22"/>
          <w:szCs w:val="22"/>
        </w:rPr>
        <w:t xml:space="preserve">SVI fits each expiry independently — 5 parameters per tenor, no cross-tenor consistency. Two neighboring expiries can have dramatically different (ρ, η), creating calendar arbitrage between them. SSVI enforces a shared (ρ, η) across all tenors, giving a consistent surface with only 3 effective parameters. The arbitrage-free conditions are explicit and checkable analytically. SVI is a collection of smiles; SSVI is a surface.</w:t>
      </w:r>
    </w:p>
    <w:p>
      <w:pPr>
        <w:pStyle w:val="Heading3"/>
        <w:spacing w:before="200" w:after="60"/>
      </w:pPr>
      <w:r>
        <w:rPr>
          <w:rFonts w:ascii="Arial" w:cs="Arial" w:eastAsia="Arial" w:hAnsi="Arial"/>
          <w:b/>
          <w:bCs/>
          <w:color w:val="006064"/>
          <w:sz w:val="24"/>
          <w:szCs w:val="24"/>
        </w:rPr>
        <w:t xml:space="preserve">Q: What does negative ρ mean in practice?</w:t>
      </w:r>
    </w:p>
    <w:p>
      <w:pPr>
        <w:spacing w:before="60" w:after="60"/>
      </w:pPr>
      <w:r>
        <w:rPr>
          <w:rFonts w:ascii="Arial" w:cs="Arial" w:eastAsia="Arial" w:hAnsi="Arial"/>
          <w:b/>
          <w:bCs/>
          <w:color w:val="1A1A2E"/>
          <w:sz w:val="22"/>
          <w:szCs w:val="22"/>
        </w:rPr>
        <w:t xml:space="preserve">A: </w:t>
      </w:r>
      <w:r>
        <w:rPr>
          <w:rFonts w:ascii="Arial" w:cs="Arial" w:eastAsia="Arial" w:hAnsi="Arial"/>
          <w:color w:val="1A1A2E"/>
          <w:sz w:val="22"/>
          <w:szCs w:val="22"/>
        </w:rPr>
        <w:t xml:space="preserve">ρ is the correlation between spot moves and vol moves in the SSVI parameterization. Negative ρ (≈-0.7 for SPX) means the smile tilts left — as spot falls, vol rises, pushing up OTM put implied vols. This is the </w:t>
      </w:r>
      <w:r>
        <w:rPr>
          <w:rFonts w:ascii="Arial" w:cs="Arial" w:eastAsia="Arial" w:hAnsi="Arial"/>
          <w:i/>
          <w:iCs/>
          <w:color w:val="1A1A2E"/>
          <w:sz w:val="22"/>
          <w:szCs w:val="22"/>
        </w:rPr>
        <w:t xml:space="preserve">leverage effect</w:t>
      </w:r>
      <w:r>
        <w:rPr>
          <w:rFonts w:ascii="Arial" w:cs="Arial" w:eastAsia="Arial" w:hAnsi="Arial"/>
          <w:color w:val="1A1A2E"/>
          <w:sz w:val="22"/>
          <w:szCs w:val="22"/>
        </w:rPr>
        <w:t xml:space="preserve">: when equity prices fall, company leverage rises, increasing risk → higher vol. Empirically, implied vol and realized vol are strongly negatively correlated with equity returns. ρ in SSVI directly captures this.</w:t>
      </w:r>
    </w:p>
    <w:p>
      <w:pPr>
        <w:pStyle w:val="Heading3"/>
        <w:spacing w:before="200" w:after="60"/>
      </w:pPr>
      <w:r>
        <w:rPr>
          <w:rFonts w:ascii="Arial" w:cs="Arial" w:eastAsia="Arial" w:hAnsi="Arial"/>
          <w:b/>
          <w:bCs/>
          <w:color w:val="006064"/>
          <w:sz w:val="24"/>
          <w:szCs w:val="24"/>
        </w:rPr>
        <w:t xml:space="preserve">Q: How would you explain calendar spread arbitrage to a trader?</w:t>
      </w:r>
    </w:p>
    <w:p>
      <w:pPr>
        <w:spacing w:before="60" w:after="60"/>
      </w:pPr>
      <w:r>
        <w:rPr>
          <w:rFonts w:ascii="Arial" w:cs="Arial" w:eastAsia="Arial" w:hAnsi="Arial"/>
          <w:b/>
          <w:bCs/>
          <w:color w:val="1A1A2E"/>
          <w:sz w:val="22"/>
          <w:szCs w:val="22"/>
        </w:rPr>
        <w:t xml:space="preserve">A: </w:t>
      </w:r>
      <w:r>
        <w:rPr>
          <w:rFonts w:ascii="Arial" w:cs="Arial" w:eastAsia="Arial" w:hAnsi="Arial"/>
          <w:color w:val="1A1A2E"/>
          <w:sz w:val="22"/>
          <w:szCs w:val="22"/>
        </w:rPr>
        <w:t xml:space="preserve">If a 1-month option is more expensive than a 3-month option at the same moneyness — something's wrong. More time always means more opportunity for the underlying to move, so a longer-dated option should always be worth at least as much. If it's not, you can buy the 3-month, sell the 1-month, and earn a riskless profit as time passes. In total variance terms, the condition is simply that w(k,T) must be non-decreasing in T.</w:t>
      </w:r>
    </w:p>
    <w:p>
      <w:pPr>
        <w:pStyle w:val="Heading3"/>
        <w:spacing w:before="200" w:after="60"/>
      </w:pPr>
      <w:r>
        <w:rPr>
          <w:rFonts w:ascii="Arial" w:cs="Arial" w:eastAsia="Arial" w:hAnsi="Arial"/>
          <w:b/>
          <w:bCs/>
          <w:color w:val="006064"/>
          <w:sz w:val="24"/>
          <w:szCs w:val="24"/>
        </w:rPr>
        <w:t xml:space="preserve">Q: What is the Breeden-Litzenberger result?</w:t>
      </w:r>
    </w:p>
    <w:p>
      <w:pPr>
        <w:spacing w:before="60" w:after="60"/>
      </w:pPr>
      <w:r>
        <w:rPr>
          <w:rFonts w:ascii="Arial" w:cs="Arial" w:eastAsia="Arial" w:hAnsi="Arial"/>
          <w:b/>
          <w:bCs/>
          <w:color w:val="1A1A2E"/>
          <w:sz w:val="22"/>
          <w:szCs w:val="22"/>
        </w:rPr>
        <w:t xml:space="preserve">A: </w:t>
      </w:r>
      <w:r>
        <w:rPr>
          <w:rFonts w:ascii="Arial" w:cs="Arial" w:eastAsia="Arial" w:hAnsi="Arial"/>
          <w:color w:val="1A1A2E"/>
          <w:sz w:val="22"/>
          <w:szCs w:val="22"/>
        </w:rPr>
        <w:t xml:space="preserve">The risk-neutral density of the underlying can be recovered from option prices via p(K) = e^(rT) · ∂²C/∂K². This is a model-free result. Practically: if a vol surface implies negative density at some strike, a butterfly spread at that strike has negative value — a riskless arbitrage. This is the butterfly arb condition. The SSVI density function g(k) ≥ 0 is the translated version of this condition.</w:t>
      </w:r>
    </w:p>
    <w:p>
      <w:pPr>
        <w:pStyle w:val="Heading2"/>
        <w:spacing w:before="280" w:after="80"/>
      </w:pPr>
      <w:r>
        <w:rPr>
          <w:rFonts w:ascii="Arial" w:cs="Arial" w:eastAsia="Arial" w:hAnsi="Arial"/>
          <w:b/>
          <w:bCs/>
          <w:color w:val="2E75B6"/>
          <w:sz w:val="28"/>
          <w:szCs w:val="28"/>
        </w:rPr>
        <w:t xml:space="preserve">10.2 Greeks Questions</w:t>
      </w:r>
    </w:p>
    <w:p>
      <w:pPr>
        <w:pStyle w:val="Heading3"/>
        <w:spacing w:before="200" w:after="60"/>
      </w:pPr>
      <w:r>
        <w:rPr>
          <w:rFonts w:ascii="Arial" w:cs="Arial" w:eastAsia="Arial" w:hAnsi="Arial"/>
          <w:b/>
          <w:bCs/>
          <w:color w:val="006064"/>
          <w:sz w:val="24"/>
          <w:szCs w:val="24"/>
        </w:rPr>
        <w:t xml:space="preserve">Q: Why use finite differences for Greeks instead of analytical formulas?</w:t>
      </w:r>
    </w:p>
    <w:p>
      <w:pPr>
        <w:spacing w:before="60" w:after="60"/>
      </w:pPr>
      <w:r>
        <w:rPr>
          <w:rFonts w:ascii="Arial" w:cs="Arial" w:eastAsia="Arial" w:hAnsi="Arial"/>
          <w:b/>
          <w:bCs/>
          <w:color w:val="1A1A2E"/>
          <w:sz w:val="22"/>
          <w:szCs w:val="22"/>
        </w:rPr>
        <w:t xml:space="preserve">A: </w:t>
      </w:r>
      <w:r>
        <w:rPr>
          <w:rFonts w:ascii="Arial" w:cs="Arial" w:eastAsia="Arial" w:hAnsi="Arial"/>
          <w:color w:val="1A1A2E"/>
          <w:sz w:val="22"/>
          <w:szCs w:val="22"/>
        </w:rPr>
        <w:t xml:space="preserve">Because we're pricing on a volatility surface, not a fixed vol. When I bump spot by dS, the vol at the new moneyness k' = ln(K/F') is read from the SSVI surface — which automatically captures the smile dynamics. Analytical Black-Scholes Greeks assume constant vol; surface-aware Greeks from finite differences capture how the vol changes with spot, which is essential for correct delta hedging. The cost is 6 extra C++ pricing calls per option, which is acceptable.</w:t>
      </w:r>
    </w:p>
    <w:p>
      <w:pPr>
        <w:pStyle w:val="Heading3"/>
        <w:spacing w:before="200" w:after="60"/>
      </w:pPr>
      <w:r>
        <w:rPr>
          <w:rFonts w:ascii="Arial" w:cs="Arial" w:eastAsia="Arial" w:hAnsi="Arial"/>
          <w:b/>
          <w:bCs/>
          <w:color w:val="006064"/>
          <w:sz w:val="24"/>
          <w:szCs w:val="24"/>
        </w:rPr>
        <w:t xml:space="preserve">Q: What is vanna and why does it matter for a flow desk?</w:t>
      </w:r>
    </w:p>
    <w:p>
      <w:pPr>
        <w:spacing w:before="60" w:after="60"/>
      </w:pPr>
      <w:r>
        <w:rPr>
          <w:rFonts w:ascii="Arial" w:cs="Arial" w:eastAsia="Arial" w:hAnsi="Arial"/>
          <w:b/>
          <w:bCs/>
          <w:color w:val="1A1A2E"/>
          <w:sz w:val="22"/>
          <w:szCs w:val="22"/>
        </w:rPr>
        <w:t xml:space="preserve">A: </w:t>
      </w:r>
      <w:r>
        <w:rPr>
          <w:rFonts w:ascii="Arial" w:cs="Arial" w:eastAsia="Arial" w:hAnsi="Arial"/>
          <w:color w:val="1A1A2E"/>
          <w:sz w:val="22"/>
          <w:szCs w:val="22"/>
        </w:rPr>
        <w:t xml:space="preserve">Vanna = d²V/dS·dσ = dΔ/dσ. It measures how much the option's delta changes as vol changes. On a flow desk, you're constantly delta-hedging. When vol spikes (VIX moves), your deltas change across the book — vanna determines how much. If you have a large vanna position, a vol move forces immediate delta rebalancing, incurring transaction costs. Flow desks also look at vanna across the portfolio to see if they're net long or short of this effect.</w:t>
      </w:r>
    </w:p>
    <w:p>
      <w:pPr>
        <w:pStyle w:val="Heading2"/>
        <w:spacing w:before="280" w:after="80"/>
      </w:pPr>
      <w:r>
        <w:rPr>
          <w:rFonts w:ascii="Arial" w:cs="Arial" w:eastAsia="Arial" w:hAnsi="Arial"/>
          <w:b/>
          <w:bCs/>
          <w:color w:val="2E75B6"/>
          <w:sz w:val="28"/>
          <w:szCs w:val="28"/>
        </w:rPr>
        <w:t xml:space="preserve">10.3 ML Questions</w:t>
      </w:r>
    </w:p>
    <w:p>
      <w:pPr>
        <w:pStyle w:val="Heading3"/>
        <w:spacing w:before="200" w:after="60"/>
      </w:pPr>
      <w:r>
        <w:rPr>
          <w:rFonts w:ascii="Arial" w:cs="Arial" w:eastAsia="Arial" w:hAnsi="Arial"/>
          <w:b/>
          <w:bCs/>
          <w:color w:val="006064"/>
          <w:sz w:val="24"/>
          <w:szCs w:val="24"/>
        </w:rPr>
        <w:t xml:space="preserve">Q: Could a bad ML prediction ever cause an arbitrage in the surface?</w:t>
      </w:r>
    </w:p>
    <w:p>
      <w:pPr>
        <w:spacing w:before="60" w:after="60"/>
      </w:pPr>
      <w:r>
        <w:rPr>
          <w:rFonts w:ascii="Arial" w:cs="Arial" w:eastAsia="Arial" w:hAnsi="Arial"/>
          <w:b/>
          <w:bCs/>
          <w:color w:val="1A1A2E"/>
          <w:sz w:val="22"/>
          <w:szCs w:val="22"/>
        </w:rPr>
        <w:t xml:space="preserve">A: </w:t>
      </w:r>
      <w:r>
        <w:rPr>
          <w:rFonts w:ascii="Arial" w:cs="Arial" w:eastAsia="Arial" w:hAnsi="Arial"/>
          <w:color w:val="1A1A2E"/>
          <w:sz w:val="22"/>
          <w:szCs w:val="22"/>
        </w:rPr>
        <w:t xml:space="preserve">No. The ML warm-start provides only an initial guess to L-BFGS-B. The optimizer always runs to full convergence, enforcing the parameter bounds that guarantee arb-free SSVI (η ≤ 2/√(1+|ρ|), etc.). Even if the GBT predicts nonsense, the optimizer discards that starting point and converges from wherever it lands. The worst case is the optimizer takes more iterations — same as a cold start. This is an architectural invariant, not a lucky property.</w:t>
      </w:r>
    </w:p>
    <w:p>
      <w:pPr>
        <w:pStyle w:val="Heading3"/>
        <w:spacing w:before="200" w:after="60"/>
      </w:pPr>
      <w:r>
        <w:rPr>
          <w:rFonts w:ascii="Arial" w:cs="Arial" w:eastAsia="Arial" w:hAnsi="Arial"/>
          <w:b/>
          <w:bCs/>
          <w:color w:val="006064"/>
          <w:sz w:val="24"/>
          <w:szCs w:val="24"/>
        </w:rPr>
        <w:t xml:space="preserve">Q: Why predict deltas in SSVI parameters instead of the parameters themselves?</w:t>
      </w:r>
    </w:p>
    <w:p>
      <w:pPr>
        <w:spacing w:before="60" w:after="60"/>
      </w:pPr>
      <w:r>
        <w:rPr>
          <w:rFonts w:ascii="Arial" w:cs="Arial" w:eastAsia="Arial" w:hAnsi="Arial"/>
          <w:b/>
          <w:bCs/>
          <w:color w:val="1A1A2E"/>
          <w:sz w:val="22"/>
          <w:szCs w:val="22"/>
        </w:rPr>
        <w:t xml:space="preserve">A: </w:t>
      </w:r>
      <w:r>
        <w:rPr>
          <w:rFonts w:ascii="Arial" w:cs="Arial" w:eastAsia="Arial" w:hAnsi="Arial"/>
          <w:color w:val="1A1A2E"/>
          <w:sz w:val="22"/>
          <w:szCs w:val="22"/>
        </w:rPr>
        <w:t xml:space="preserve">Stationarity. θ ranges from 0.02 in calm markets to 0.15 in crises — a 7x range. Daily Δθ ranges from -0.005 to +0.005 regardless of regime — much more stationary. A GBT predicting levels must learn that "given VIX=15, θ≈0.03" and "given VIX=30, θ≈0.10." But predicting deltas: "given ΔVIX=+2, Δθ≈+0.003" works across regimes. Fewer training samples needed, better out-of-sample generalization.</w:t>
      </w:r>
    </w:p>
    <w:p>
      <w:pPr>
        <w:pStyle w:val="Heading3"/>
        <w:spacing w:before="200" w:after="60"/>
      </w:pPr>
      <w:r>
        <w:rPr>
          <w:rFonts w:ascii="Arial" w:cs="Arial" w:eastAsia="Arial" w:hAnsi="Arial"/>
          <w:b/>
          <w:bCs/>
          <w:color w:val="006064"/>
          <w:sz w:val="24"/>
          <w:szCs w:val="24"/>
        </w:rPr>
        <w:t xml:space="preserve">Q: How do you validate the warm-start model?</w:t>
      </w:r>
    </w:p>
    <w:p>
      <w:pPr>
        <w:spacing w:before="60" w:after="60"/>
      </w:pPr>
      <w:r>
        <w:rPr>
          <w:rFonts w:ascii="Arial" w:cs="Arial" w:eastAsia="Arial" w:hAnsi="Arial"/>
          <w:b/>
          <w:bCs/>
          <w:color w:val="1A1A2E"/>
          <w:sz w:val="22"/>
          <w:szCs w:val="22"/>
        </w:rPr>
        <w:t xml:space="preserve">A: </w:t>
      </w:r>
      <w:r>
        <w:rPr>
          <w:rFonts w:ascii="Arial" w:cs="Arial" w:eastAsia="Arial" w:hAnsi="Arial"/>
          <w:color w:val="1A1A2E"/>
          <w:sz w:val="22"/>
          <w:szCs w:val="22"/>
        </w:rPr>
        <w:t xml:space="preserve">Walk-forward validation: train on dates 1-180, predict on dates 181-270, retrain on 1-270, predict on 271-360, etc. Metrics: (1) prediction error on Δθ, Δρ, Δη in absolute terms, (2) optimizer iteration count with vs without warm-start, (3) final calibrated surface quality (fit RMSE vs market). The right metric is not prediction accuracy per se, but optimizer convergence speed. A model that halves iteration count is useful even with moderate prediction error.</w:t>
      </w:r>
    </w:p>
    <w:p>
      <w:pPr>
        <w:pStyle w:val="Heading2"/>
        <w:spacing w:before="280" w:after="80"/>
      </w:pPr>
      <w:r>
        <w:rPr>
          <w:rFonts w:ascii="Arial" w:cs="Arial" w:eastAsia="Arial" w:hAnsi="Arial"/>
          <w:b/>
          <w:bCs/>
          <w:color w:val="2E75B6"/>
          <w:sz w:val="28"/>
          <w:szCs w:val="28"/>
        </w:rPr>
        <w:t xml:space="preserve">10.4 Hedging Questions</w:t>
      </w:r>
    </w:p>
    <w:p>
      <w:pPr>
        <w:pStyle w:val="Heading3"/>
        <w:spacing w:before="200" w:after="60"/>
      </w:pPr>
      <w:r>
        <w:rPr>
          <w:rFonts w:ascii="Arial" w:cs="Arial" w:eastAsia="Arial" w:hAnsi="Arial"/>
          <w:b/>
          <w:bCs/>
          <w:color w:val="006064"/>
          <w:sz w:val="24"/>
          <w:szCs w:val="24"/>
        </w:rPr>
        <w:t xml:space="preserve">Q: Why minimize variance instead of maximizing P&amp;L?</w:t>
      </w:r>
    </w:p>
    <w:p>
      <w:pPr>
        <w:spacing w:before="60" w:after="60"/>
      </w:pPr>
      <w:r>
        <w:rPr>
          <w:rFonts w:ascii="Arial" w:cs="Arial" w:eastAsia="Arial" w:hAnsi="Arial"/>
          <w:b/>
          <w:bCs/>
          <w:color w:val="1A1A2E"/>
          <w:sz w:val="22"/>
          <w:szCs w:val="22"/>
        </w:rPr>
        <w:t xml:space="preserve">A: </w:t>
      </w:r>
      <w:r>
        <w:rPr>
          <w:rFonts w:ascii="Arial" w:cs="Arial" w:eastAsia="Arial" w:hAnsi="Arial"/>
          <w:color w:val="1A1A2E"/>
          <w:sz w:val="22"/>
          <w:szCs w:val="22"/>
        </w:rPr>
        <w:t xml:space="preserve">A flow desk is not a directional prop shop — it doesn't take views on market direction. Its job is to intermediate client flow and hedge risk. Minimizing P&amp;L variance under cost constraints is the correct objective: the desk is paid via bid-ask spread (captured in cost budget), and its goal is to neutralize residual risk as cheaply as possible. The variance-minimization framework is also tractable — it produces a convex QP for each budget level.</w:t>
      </w:r>
    </w:p>
    <w:p>
      <w:pPr>
        <w:pStyle w:val="Heading3"/>
        <w:spacing w:before="200" w:after="60"/>
      </w:pPr>
      <w:r>
        <w:rPr>
          <w:rFonts w:ascii="Arial" w:cs="Arial" w:eastAsia="Arial" w:hAnsi="Arial"/>
          <w:b/>
          <w:bCs/>
          <w:color w:val="006064"/>
          <w:sz w:val="24"/>
          <w:szCs w:val="24"/>
        </w:rPr>
        <w:t xml:space="preserve">Q: What does the "knee" of the efficient frontier tell you?</w:t>
      </w:r>
    </w:p>
    <w:p>
      <w:pPr>
        <w:spacing w:before="60" w:after="60"/>
      </w:pPr>
      <w:r>
        <w:rPr>
          <w:rFonts w:ascii="Arial" w:cs="Arial" w:eastAsia="Arial" w:hAnsi="Arial"/>
          <w:b/>
          <w:bCs/>
          <w:color w:val="1A1A2E"/>
          <w:sz w:val="22"/>
          <w:szCs w:val="22"/>
        </w:rPr>
        <w:t xml:space="preserve">A: </w:t>
      </w:r>
      <w:r>
        <w:rPr>
          <w:rFonts w:ascii="Arial" w:cs="Arial" w:eastAsia="Arial" w:hAnsi="Arial"/>
          <w:color w:val="1A1A2E"/>
          <w:sz w:val="22"/>
          <w:szCs w:val="22"/>
        </w:rPr>
        <w:t xml:space="preserve">The efficient frontier curve (cost on x-axis, residual variance on y-axis) is convex and decreasing. The knee is the point where marginal variance reduction per dollar spent starts falling rapidly. This is the optimal operating point for a risk-neutral desk: spending up to the knee gives high variance reduction per dollar; spending beyond gives diminishing returns. In practice, risk limits and transaction cost budgets determine where the desk actually operates on this frontier.</w:t>
      </w:r>
    </w:p>
    <w:p>
      <w:pPr>
        <w:pStyle w:val="Heading2"/>
        <w:spacing w:before="280" w:after="80"/>
      </w:pPr>
      <w:r>
        <w:rPr>
          <w:rFonts w:ascii="Arial" w:cs="Arial" w:eastAsia="Arial" w:hAnsi="Arial"/>
          <w:b/>
          <w:bCs/>
          <w:color w:val="2E75B6"/>
          <w:sz w:val="28"/>
          <w:szCs w:val="28"/>
        </w:rPr>
        <w:t xml:space="preserve">10.5 Dividend Questions</w:t>
      </w:r>
    </w:p>
    <w:p>
      <w:pPr>
        <w:pStyle w:val="Heading3"/>
        <w:spacing w:before="200" w:after="60"/>
      </w:pPr>
      <w:r>
        <w:rPr>
          <w:rFonts w:ascii="Arial" w:cs="Arial" w:eastAsia="Arial" w:hAnsi="Arial"/>
          <w:b/>
          <w:bCs/>
          <w:color w:val="006064"/>
          <w:sz w:val="24"/>
          <w:szCs w:val="24"/>
        </w:rPr>
        <w:t xml:space="preserve">Q: What happens to the vol surface when a stock goes ex-dividend?</w:t>
      </w:r>
    </w:p>
    <w:p>
      <w:pPr>
        <w:spacing w:before="60" w:after="60"/>
      </w:pPr>
      <w:r>
        <w:rPr>
          <w:rFonts w:ascii="Arial" w:cs="Arial" w:eastAsia="Arial" w:hAnsi="Arial"/>
          <w:b/>
          <w:bCs/>
          <w:color w:val="1A1A2E"/>
          <w:sz w:val="22"/>
          <w:szCs w:val="22"/>
        </w:rPr>
        <w:t xml:space="preserve">A: </w:t>
      </w:r>
      <w:r>
        <w:rPr>
          <w:rFonts w:ascii="Arial" w:cs="Arial" w:eastAsia="Arial" w:hAnsi="Arial"/>
          <w:color w:val="1A1A2E"/>
          <w:sz w:val="22"/>
          <w:szCs w:val="22"/>
        </w:rPr>
        <w:t xml:space="preserve">The spot price drops by approximately the dividend amount. Options struck at a fixed K now have different moneyness (k = ln(K/F) changes because F drops). If you hold the surface fixed in (K, T) space (sticky-strike), the smile appears to shift. In (k, T) space (the SSVI model), the surface doesn't change — only the forward changes. The key insight: SSVI is defined in log-moneyness k relative to the forward, so discrete dividends enter only through F, not through the surface parameters. Properly computing F = (S - PV(divs))·e^(rT) at every mark is the fix.</w:t>
      </w:r>
    </w:p>
    <w:p>
      <w:r>
        <w:br w:type="page"/>
      </w:r>
    </w:p>
    <w:p>
      <w:pPr>
        <w:pStyle w:val="Heading1"/>
        <w:pBdr>
          <w:bottom w:val="single" w:color="2E75B6" w:sz="8" w:space="4"/>
        </w:pBdr>
        <w:spacing w:before="360" w:after="120"/>
      </w:pPr>
      <w:r>
        <w:rPr>
          <w:rFonts w:ascii="Arial" w:cs="Arial" w:eastAsia="Arial" w:hAnsi="Arial"/>
          <w:b/>
          <w:bCs/>
          <w:color w:val="1F3864"/>
          <w:sz w:val="36"/>
          <w:szCs w:val="36"/>
        </w:rPr>
        <w:t xml:space="preserve">11. Quick Reference: Formulas and Symbols</w:t>
      </w:r>
    </w:p>
    <w:p>
      <w:pPr>
        <w:pStyle w:val="Heading2"/>
        <w:spacing w:before="280" w:after="80"/>
      </w:pPr>
      <w:r>
        <w:rPr>
          <w:rFonts w:ascii="Arial" w:cs="Arial" w:eastAsia="Arial" w:hAnsi="Arial"/>
          <w:b/>
          <w:bCs/>
          <w:color w:val="2E75B6"/>
          <w:sz w:val="28"/>
          <w:szCs w:val="28"/>
        </w:rPr>
        <w:t xml:space="preserve">11.1 Complete Symbol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Symbol</w:t>
            </w:r>
          </w:p>
        </w:tc>
        <w:tc>
          <w:tcPr>
            <w:tcW w:type="dxa" w:w="7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S</w:t>
            </w:r>
          </w:p>
        </w:tc>
        <w:tc>
          <w:tcPr>
            <w:tcW w:type="dxa" w:w="7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Spot price of the underlying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F = (S-PV_div)·e^(rT)</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Forward price, dividend-adjusted</w:t>
            </w:r>
          </w:p>
        </w:tc>
      </w:tr>
      <w:tr>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K</w:t>
            </w:r>
          </w:p>
        </w:tc>
        <w:tc>
          <w:tcPr>
            <w:tcW w:type="dxa" w:w="7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Option strike price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T</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Time to expiry (in years)</w:t>
            </w:r>
          </w:p>
        </w:tc>
      </w:tr>
      <w:tr>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r</w:t>
            </w:r>
          </w:p>
        </w:tc>
        <w:tc>
          <w:tcPr>
            <w:tcW w:type="dxa" w:w="7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Risk-free interest rate (continuous)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σ_BS(k,T)</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Black-Scholes implied volatility surface</w:t>
            </w:r>
          </w:p>
        </w:tc>
      </w:tr>
      <w:tr>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w(k,T) = σ²_BS·T</w:t>
            </w:r>
          </w:p>
        </w:tc>
        <w:tc>
          <w:tcPr>
            <w:tcW w:type="dxa" w:w="7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Total implied variance (the SSVI modeling variable)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k = ln(K/F)</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Log-moneyness (k=0 is ATM)</w:t>
            </w:r>
          </w:p>
        </w:tc>
      </w:tr>
      <w:tr>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θ_t = σ²_ATM·T</w:t>
            </w:r>
          </w:p>
        </w:tc>
        <w:tc>
          <w:tcPr>
            <w:tcW w:type="dxa" w:w="7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ATM total implied variance for tenor 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ρ ∈ (-1,1)</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Correlation / skew parameter (typically -0.7 for SPX)</w:t>
            </w:r>
          </w:p>
        </w:tc>
      </w:tr>
      <w:tr>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η &gt; 0</w:t>
            </w:r>
          </w:p>
        </w:tc>
        <w:tc>
          <w:tcPr>
            <w:tcW w:type="dxa" w:w="7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Vol-of-vol / curvature (controls smile steepness)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φ(θ) = η/√θ</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SSVI mixing function (power-law with γ=1/2)</w:t>
            </w:r>
          </w:p>
        </w:tc>
      </w:tr>
      <w:tr>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g(k)</w:t>
            </w:r>
          </w:p>
        </w:tc>
        <w:tc>
          <w:tcPr>
            <w:tcW w:type="dxa" w:w="7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Gatheral-Jacquier density function; g(k)≥0 ⟺ no butterfly arb</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Δ</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Delta: dV/dS (hedge ratio)</w:t>
            </w:r>
          </w:p>
        </w:tc>
      </w:tr>
      <w:tr>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Γ</w:t>
            </w:r>
          </w:p>
        </w:tc>
        <w:tc>
          <w:tcPr>
            <w:tcW w:type="dxa" w:w="7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Gamma: d²V/dS²</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ν (Vega)</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dV/dσ</w:t>
            </w:r>
          </w:p>
        </w:tc>
      </w:tr>
      <w:tr>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Θ (Theta)</w:t>
            </w:r>
          </w:p>
        </w:tc>
        <w:tc>
          <w:tcPr>
            <w:tcW w:type="dxa" w:w="7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dV/dT (negative for long options)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Vanna</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d²V/dSdσ = dΔ/dσ</w:t>
            </w:r>
          </w:p>
        </w:tc>
      </w:tr>
      <w:tr>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Volga</w:t>
            </w:r>
          </w:p>
        </w:tc>
        <w:tc>
          <w:tcPr>
            <w:tcW w:type="dxa" w:w="7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d²V/dσ²</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h</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Hedge ratio vector in hedging optimizer</w:t>
            </w:r>
          </w:p>
        </w:tc>
      </w:tr>
      <w:tr>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B</w:t>
            </w:r>
          </w:p>
        </w:tc>
        <w:tc>
          <w:tcPr>
            <w:tcW w:type="dxa" w:w="7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Transaction cost budget in hedging optimizer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F_M(x)</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GBT ensemble: F_0 + ν·Σh_m(x)</w:t>
            </w:r>
          </w:p>
        </w:tc>
      </w:tr>
      <w:tr>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PV_div(T)</w:t>
            </w:r>
          </w:p>
        </w:tc>
        <w:tc>
          <w:tcPr>
            <w:tcW w:type="dxa" w:w="7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Arial" w:cs="Arial" w:eastAsia="Arial" w:hAnsi="Arial"/>
                <w:color w:val="1A1A2E"/>
                <w:sz w:val="22"/>
                <w:szCs w:val="22"/>
              </w:rPr>
              <w:t xml:space="preserve">Present value of dividends paid before 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ourier New" w:cs="Courier New" w:eastAsia="Courier New" w:hAnsi="Courier New"/>
                <w:color w:val="006064"/>
                <w:sz w:val="19"/>
                <w:szCs w:val="19"/>
                <w:highlight w:val="lightGray"/>
                <w:highlightCs w:val="lightGray"/>
              </w:rPr>
              <w:t xml:space="preserve">premium%</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22"/>
                <w:szCs w:val="22"/>
              </w:rPr>
              <w:t xml:space="preserve">ETF price / NAV - 1, in percent</w:t>
            </w:r>
          </w:p>
        </w:tc>
      </w:tr>
    </w:tbl>
    <w:p>
      <w:r>
        <w:t xml:space="preserve"> </w:t>
      </w:r>
    </w:p>
    <w:p>
      <w:pPr>
        <w:pStyle w:val="Heading2"/>
        <w:spacing w:before="280" w:after="80"/>
      </w:pPr>
      <w:r>
        <w:rPr>
          <w:rFonts w:ascii="Arial" w:cs="Arial" w:eastAsia="Arial" w:hAnsi="Arial"/>
          <w:b/>
          <w:bCs/>
          <w:color w:val="2E75B6"/>
          <w:sz w:val="28"/>
          <w:szCs w:val="28"/>
        </w:rPr>
        <w:t xml:space="preserve">11.2 Key Formulas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BS Call (forward form)</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C = e^(-rT)·[F·N(d₁) - K·N(d₂)], d₁=[ln(F/K)+σ²T/2]/(σ√T)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22"/>
                <w:szCs w:val="22"/>
              </w:rPr>
              <w:t xml:space="preserve">SSVI total variance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2E"/>
                <w:sz w:val="22"/>
                <w:szCs w:val="22"/>
              </w:rPr>
              <w:t xml:space="preserve">w(k,θ) = (θ/2)·{1 + ρφk + √[(φk+ρ)²+(1-ρ²)]}</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SSVI first derivative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∂w/∂k = (θφ/2)·[ρ + (φk+ρ)/D(k)], D=√[(φk+ρ)²+1-ρ²]</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22"/>
                <w:szCs w:val="22"/>
              </w:rPr>
              <w:t xml:space="preserve">SSVI second derivative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2E"/>
                <w:sz w:val="22"/>
                <w:szCs w:val="22"/>
              </w:rPr>
              <w:t xml:space="preserve">∂²w/∂k² = (θ/2)·φ²·(1-ρ²)/D³ ≥ 0 always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Calendar arb condition</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∂_T w(k,T) ≥ 0 for all k, 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22"/>
                <w:szCs w:val="22"/>
              </w:rPr>
              <w:t xml:space="preserve">Butterfly arb function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2E"/>
                <w:sz w:val="22"/>
                <w:szCs w:val="22"/>
              </w:rPr>
              <w:t xml:space="preserve">g(k)=(1-kw'/(2w))²-(w')²/4·(1/w+1/4)+w''/2 ≥ 0</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Newton-Raphson IV solve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σ_{n+1} = σ_n - (BS(σ_n)-P_mkt)/vega(σ_n)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22"/>
                <w:szCs w:val="22"/>
              </w:rPr>
              <w:t xml:space="preserve">Forward with discrete divs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2E"/>
                <w:sz w:val="22"/>
                <w:szCs w:val="22"/>
              </w:rPr>
              <w:t xml:space="preserve">F(T) = (S - Σ_{t_i&lt;T} D_i·e^(-r·t_i))·e^(rT)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Put-call parity for divs</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PV(divs) = S - (C-P)·e^(rT)·e^(-rT) - K·e^(-rT)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22"/>
                <w:szCs w:val="22"/>
              </w:rPr>
              <w:t xml:space="preserve">GBT prediction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2E"/>
                <w:sz w:val="22"/>
                <w:szCs w:val="22"/>
              </w:rPr>
              <w:t xml:space="preserve">x_t = x_{t-1} + GBT([VIX, slope, rvol, P/C, prev_params])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Hedging objective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min_h Var(P+H·h) s.t. Σ|h_j|·c_j ≤ 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22"/>
                <w:szCs w:val="22"/>
              </w:rPr>
              <w:t xml:space="preserve">ETF vol drag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2E"/>
                <w:sz w:val="22"/>
                <w:szCs w:val="22"/>
              </w:rPr>
              <w:t xml:space="preserve">vol_drag = 0.4·|prem%|/100·e^(-ln2·T/half_life)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b/>
                <w:bCs/>
                <w:color w:val="1A1A2E"/>
                <w:sz w:val="22"/>
                <w:szCs w:val="22"/>
              </w:rPr>
              <w:t xml:space="preserve">SSVI butterfly bound</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80"/>
            </w:tcMar>
          </w:tcPr>
          <w:p>
            <w:r>
              <w:rPr>
                <w:rFonts w:ascii="Arial" w:cs="Arial" w:eastAsia="Arial" w:hAnsi="Arial"/>
                <w:color w:val="1A1A2E"/>
                <w:sz w:val="22"/>
                <w:szCs w:val="22"/>
              </w:rPr>
              <w:t xml:space="preserve">η ≤ 2/√(1+|ρ|) required for butterfly-arb-free surface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0060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2026-02-23T17:42:03.441Z</dcterms:created>
  <dcterms:modified xsi:type="dcterms:W3CDTF">2026-02-23T17:42:03.442Z</dcterms:modified>
</cp:coreProperties>
</file>

<file path=docProps/custom.xml><?xml version="1.0" encoding="utf-8"?>
<Properties xmlns="http://schemas.openxmlformats.org/officeDocument/2006/custom-properties" xmlns:vt="http://schemas.openxmlformats.org/officeDocument/2006/docPropsVTypes"/>
</file>