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Ethical Licensing for Indigenous Patterns and Designs</w:t>
      </w:r>
    </w:p>
    <w:p>
      <w:pPr>
        <w:pStyle w:val="Heading1"/>
      </w:pPr>
      <w:r>
        <w:t>1. Introduction</w:t>
      </w:r>
    </w:p>
    <w:p>
      <w:r>
        <w:t>The purpose of this document is to outline ethical licensing practices for the use of Indigenous patterns and designs. It emphasizes the importance of cultural respect, fair compensation, and intellectual property protection, ensuring these designs are used with proper consent and recognition.</w:t>
      </w:r>
    </w:p>
    <w:p>
      <w:pPr>
        <w:pStyle w:val="Heading1"/>
      </w:pPr>
      <w:r>
        <w:t>2. Collaboration with Indigenous Communities</w:t>
      </w:r>
    </w:p>
    <w:p>
      <w:r>
        <w:t>Collaboration with Indigenous communities is vital for ensuring that their cultural heritage is respected. This includes obtaining explicit consent, engaging in community-led approvals, and involving community leaders or cultural advisors in decisions about how designs are used.</w:t>
      </w:r>
    </w:p>
    <w:p>
      <w:pPr>
        <w:pStyle w:val="Heading1"/>
      </w:pPr>
      <w:r>
        <w:t>3. Licensing Models</w:t>
      </w:r>
    </w:p>
    <w:p>
      <w:r>
        <w:t>The licensing model should prioritize ownership and rights retention by Indigenous creators. It should include non-exclusive, time-bound agreements that allow for flexibility, and the ability to revisit terms based on changes in community values or market conditions. Sample contract terms and agreements can be provided to outline these models.</w:t>
      </w:r>
    </w:p>
    <w:p>
      <w:pPr>
        <w:pStyle w:val="Heading1"/>
      </w:pPr>
      <w:r>
        <w:t>4. Fair Compensation</w:t>
      </w:r>
    </w:p>
    <w:p>
      <w:r>
        <w:t>Ensuring fair compensation is critical for ethical licensing. This can include transparent royalty structures, flat fees for one-time use, and revenue-sharing models that allow Indigenous creators to benefit financially from the use of their designs.</w:t>
      </w:r>
    </w:p>
    <w:p>
      <w:pPr>
        <w:pStyle w:val="Heading1"/>
      </w:pPr>
      <w:r>
        <w:t>5. Cultural Attribution</w:t>
      </w:r>
    </w:p>
    <w:p>
      <w:r>
        <w:t>Proper cultural attribution involves giving clear, visible credit to Indigenous creators and communities. This can be done through written acknowledgments on digital platforms and product descriptions. It is essential to also include the cultural stories and significance behind the patterns to ensure authentic representation.</w:t>
      </w:r>
    </w:p>
    <w:p>
      <w:pPr>
        <w:pStyle w:val="Heading1"/>
      </w:pPr>
      <w:r>
        <w:t>6. Non-Commercial Licensing</w:t>
      </w:r>
    </w:p>
    <w:p>
      <w:r>
        <w:t>For educational or cultural preservation purposes, non-commercial licensing models can be developed. These allow for free or discounted access to designs while maintaining protection of intellectual property and cultural integrity.</w:t>
      </w:r>
    </w:p>
    <w:p>
      <w:pPr>
        <w:pStyle w:val="Heading1"/>
      </w:pPr>
      <w:r>
        <w:t>7. Legal Agreements</w:t>
      </w:r>
    </w:p>
    <w:p>
      <w:r>
        <w:t>Legal agreements should clearly define how Indigenous designs can be used, modified, and distributed. These agreements must include clauses that protect the moral rights of creators and prevent misuse or misrepresentation. Sample contracts and templates should be provided for reference.</w:t>
      </w:r>
    </w:p>
    <w:p>
      <w:pPr>
        <w:pStyle w:val="Heading1"/>
      </w:pPr>
      <w:r>
        <w:t>8. Ethical Usage Policy</w:t>
      </w:r>
    </w:p>
    <w:p>
      <w:r>
        <w:t>An ethical usage policy should be developed to outline clear rules for the responsible use of Indigenous patterns and designs. This includes specifying prohibited uses and conditions under which the license may be revoked if the designs are used inappropriately.</w:t>
      </w:r>
    </w:p>
    <w:p>
      <w:pPr>
        <w:pStyle w:val="Heading1"/>
      </w:pPr>
      <w:r>
        <w:t>9. Cultural Preservation Initiatives</w:t>
      </w:r>
    </w:p>
    <w:p>
      <w:r>
        <w:t>Part of the ethical licensing process should involve revenue sharing models that contribute to cultural preservation initiatives within Indigenous communities. Additionally, supporting educational programs can further promote the understanding and respect of Indigenous designs in digital spaces.</w:t>
      </w:r>
    </w:p>
    <w:p>
      <w:pPr>
        <w:pStyle w:val="Heading1"/>
      </w:pPr>
      <w:r>
        <w:t>10. Conclusion</w:t>
      </w:r>
    </w:p>
    <w:p>
      <w:r>
        <w:t>Ethical licensing practices for Indigenous patterns and designs are essential for fostering cultural respect and sustainability. This document provides guidelines to ensure that these designs are used responsibly, with appropriate recognition, compensation, and protection of intellectual property.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