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odule-4---assignment-2"/>
    <w:p>
      <w:pPr>
        <w:pStyle w:val="Heading1"/>
      </w:pPr>
      <w:r>
        <w:t xml:space="preserve">Module 4 - Assignment 2</w:t>
      </w:r>
    </w:p>
    <w:bookmarkStart w:id="25" w:name="amanda-odum"/>
    <w:p>
      <w:pPr>
        <w:pStyle w:val="Heading2"/>
      </w:pPr>
      <w:r>
        <w:t xml:space="preserve">Amanda Odum</w:t>
      </w:r>
    </w:p>
    <w:p>
      <w:pPr>
        <w:pStyle w:val="SourceCode"/>
      </w:pPr>
      <w:r>
        <w:rPr>
          <w:rStyle w:val="NormalTok"/>
        </w:rPr>
        <w:t xml:space="preserve">drug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"drug_data-1.csv"</w:t>
      </w:r>
      <w:r>
        <w:rPr>
          <w:rStyle w:val="NormalTok"/>
        </w:rPr>
        <w:t xml:space="preserve">)</w:t>
      </w:r>
    </w:p>
    <w:p>
      <w:pPr>
        <w:pStyle w:val="SourceCode"/>
      </w:pPr>
      <w:r>
        <w:rPr>
          <w:rStyle w:val="VerbatimChar"/>
        </w:rPr>
        <w:t xml:space="preserve">## Rows: 1885 Columns: 32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(19): Column14, Column15, Column16, Column17, Column18, Column19, Column...</w:t>
      </w:r>
      <w:r>
        <w:br/>
      </w:r>
      <w:r>
        <w:rPr>
          <w:rStyle w:val="VerbatimChar"/>
        </w:rPr>
        <w:t xml:space="preserve">## dbl (13): Column1, Column2, Column3, Column4, Column5, Column6, Column7, Col...</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CommentTok"/>
        </w:rPr>
        <w:t xml:space="preserve">#str(drug)</w:t>
      </w:r>
      <w:r>
        <w:br/>
      </w:r>
      <w:r>
        <w:br/>
      </w: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br/>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CommentTok"/>
        </w:rPr>
        <w:t xml:space="preserve">#str(drug_clean)</w:t>
      </w:r>
      <w:r>
        <w:br/>
      </w:r>
      <w:r>
        <w:br/>
      </w: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SourceCode"/>
      </w:pPr>
      <w:r>
        <w:rPr>
          <w:rStyle w:val="CommentTok"/>
        </w:rPr>
        <w:t xml:space="preserve">#summary(drug_clean)</w:t>
      </w:r>
    </w:p>
    <w:p>
      <w:pPr>
        <w:pStyle w:val="FirstParagraph"/>
      </w:pPr>
      <w:r>
        <w:rPr>
          <w:bCs/>
          <w:b/>
        </w:rPr>
        <w:t xml:space="preserve">Task 1</w:t>
      </w:r>
    </w:p>
    <w:p>
      <w:pPr>
        <w:pStyle w:val="SourceCode"/>
      </w:pPr>
      <w:r>
        <w:rPr>
          <w:rStyle w:val="FunctionTok"/>
        </w:rPr>
        <w:t xml:space="preserve">skim</w:t>
      </w:r>
      <w:r>
        <w:rPr>
          <w:rStyle w:val="NormalTok"/>
        </w:rPr>
        <w:t xml:space="preserve">(drug_clean)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drug_clean</w:t>
            </w:r>
          </w:p>
        </w:tc>
      </w:tr>
      <w:tr>
        <w:tc>
          <w:tcPr/>
          <w:p>
            <w:pPr>
              <w:pStyle w:val="Compact"/>
              <w:jc w:val="left"/>
            </w:pPr>
            <w:r>
              <w:t xml:space="preserve">Number of rows</w:t>
            </w:r>
          </w:p>
        </w:tc>
        <w:tc>
          <w:tcPr/>
          <w:p>
            <w:pPr>
              <w:pStyle w:val="Compact"/>
              <w:jc w:val="left"/>
            </w:pPr>
            <w:r>
              <w:t xml:space="preserve">1885</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18_: 643, 25_: 481, 35_: 356, 45_: 294</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Mal: 943, Fem: 942</w:t>
            </w:r>
          </w:p>
        </w:tc>
      </w:tr>
      <w:tr>
        <w:tc>
          <w:tcPr/>
          <w:p>
            <w:pPr>
              <w:pStyle w:val="Compact"/>
              <w:jc w:val="left"/>
            </w:pPr>
            <w:r>
              <w:t xml:space="preserve">Education</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Som: 506, Bac: 480, Mas: 283, Pro: 270</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UK: 1044, USA: 557, Oth: 118, Can: 87</w:t>
            </w:r>
          </w:p>
        </w:tc>
      </w:tr>
      <w:tr>
        <w:tc>
          <w:tcPr/>
          <w:p>
            <w:pPr>
              <w:pStyle w:val="Compact"/>
              <w:jc w:val="left"/>
            </w:pPr>
            <w:r>
              <w:t xml:space="preserve">Ethnicity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Whi: 1720, Oth: 63, Bla: 33, Asi: 26</w:t>
            </w:r>
          </w:p>
        </w:tc>
      </w:tr>
      <w:tr>
        <w:tc>
          <w:tcPr/>
          <w:p>
            <w:pPr>
              <w:pStyle w:val="Compact"/>
              <w:jc w:val="left"/>
            </w:pPr>
            <w:r>
              <w:t xml:space="preserve">Nicotine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1264, No: 621</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Nscore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-3.46</w:t>
            </w:r>
          </w:p>
        </w:tc>
        <w:tc>
          <w:tcPr/>
          <w:p>
            <w:pPr>
              <w:pStyle w:val="Compact"/>
              <w:jc w:val="right"/>
            </w:pPr>
            <w:r>
              <w:t xml:space="preserve">-0.68</w:t>
            </w:r>
          </w:p>
        </w:tc>
        <w:tc>
          <w:tcPr/>
          <w:p>
            <w:pPr>
              <w:pStyle w:val="Compact"/>
              <w:jc w:val="right"/>
            </w:pPr>
            <w:r>
              <w:t xml:space="preserve">0.04</w:t>
            </w:r>
          </w:p>
        </w:tc>
        <w:tc>
          <w:tcPr/>
          <w:p>
            <w:pPr>
              <w:pStyle w:val="Compact"/>
              <w:jc w:val="right"/>
            </w:pPr>
            <w:r>
              <w:t xml:space="preserve">0.63</w:t>
            </w:r>
          </w:p>
        </w:tc>
        <w:tc>
          <w:tcPr/>
          <w:p>
            <w:pPr>
              <w:pStyle w:val="Compact"/>
              <w:jc w:val="right"/>
            </w:pPr>
            <w:r>
              <w:t xml:space="preserve">3.27</w:t>
            </w:r>
          </w:p>
        </w:tc>
        <w:tc>
          <w:tcPr/>
          <w:p>
            <w:pPr>
              <w:pStyle w:val="Compact"/>
              <w:jc w:val="left"/>
            </w:pPr>
            <w:r>
              <w:t xml:space="preserve">▁▃▇▅▁</w:t>
            </w:r>
          </w:p>
        </w:tc>
      </w:tr>
      <w:tr>
        <w:tc>
          <w:tcPr/>
          <w:p>
            <w:pPr>
              <w:pStyle w:val="Compact"/>
              <w:jc w:val="left"/>
            </w:pPr>
            <w:r>
              <w:t xml:space="preserve">Escore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-3.27</w:t>
            </w:r>
          </w:p>
        </w:tc>
        <w:tc>
          <w:tcPr/>
          <w:p>
            <w:pPr>
              <w:pStyle w:val="Compact"/>
              <w:jc w:val="right"/>
            </w:pPr>
            <w:r>
              <w:t xml:space="preserve">-0.70</w:t>
            </w:r>
          </w:p>
        </w:tc>
        <w:tc>
          <w:tcPr/>
          <w:p>
            <w:pPr>
              <w:pStyle w:val="Compact"/>
              <w:jc w:val="right"/>
            </w:pPr>
            <w:r>
              <w:t xml:space="preserve">0.00</w:t>
            </w:r>
          </w:p>
        </w:tc>
        <w:tc>
          <w:tcPr/>
          <w:p>
            <w:pPr>
              <w:pStyle w:val="Compact"/>
              <w:jc w:val="right"/>
            </w:pPr>
            <w:r>
              <w:t xml:space="preserve">0.64</w:t>
            </w:r>
          </w:p>
        </w:tc>
        <w:tc>
          <w:tcPr/>
          <w:p>
            <w:pPr>
              <w:pStyle w:val="Compact"/>
              <w:jc w:val="right"/>
            </w:pPr>
            <w:r>
              <w:t xml:space="preserve">3.27</w:t>
            </w:r>
          </w:p>
        </w:tc>
        <w:tc>
          <w:tcPr/>
          <w:p>
            <w:pPr>
              <w:pStyle w:val="Compact"/>
              <w:jc w:val="left"/>
            </w:pPr>
            <w:r>
              <w:t xml:space="preserve">▁▃▇▃▁</w:t>
            </w:r>
          </w:p>
        </w:tc>
      </w:tr>
      <w:tr>
        <w:tc>
          <w:tcPr/>
          <w:p>
            <w:pPr>
              <w:pStyle w:val="Compact"/>
              <w:jc w:val="left"/>
            </w:pPr>
            <w:r>
              <w:t xml:space="preserve">Oscore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-3.27</w:t>
            </w:r>
          </w:p>
        </w:tc>
        <w:tc>
          <w:tcPr/>
          <w:p>
            <w:pPr>
              <w:pStyle w:val="Compact"/>
              <w:jc w:val="right"/>
            </w:pPr>
            <w:r>
              <w:t xml:space="preserve">-0.72</w:t>
            </w:r>
          </w:p>
        </w:tc>
        <w:tc>
          <w:tcPr/>
          <w:p>
            <w:pPr>
              <w:pStyle w:val="Compact"/>
              <w:jc w:val="right"/>
            </w:pPr>
            <w:r>
              <w:t xml:space="preserve">-0.02</w:t>
            </w:r>
          </w:p>
        </w:tc>
        <w:tc>
          <w:tcPr/>
          <w:p>
            <w:pPr>
              <w:pStyle w:val="Compact"/>
              <w:jc w:val="right"/>
            </w:pPr>
            <w:r>
              <w:t xml:space="preserve">0.72</w:t>
            </w:r>
          </w:p>
        </w:tc>
        <w:tc>
          <w:tcPr/>
          <w:p>
            <w:pPr>
              <w:pStyle w:val="Compact"/>
              <w:jc w:val="right"/>
            </w:pPr>
            <w:r>
              <w:t xml:space="preserve">2.90</w:t>
            </w:r>
          </w:p>
        </w:tc>
        <w:tc>
          <w:tcPr/>
          <w:p>
            <w:pPr>
              <w:pStyle w:val="Compact"/>
              <w:jc w:val="left"/>
            </w:pPr>
            <w:r>
              <w:t xml:space="preserve">▁▃▇▆▁</w:t>
            </w:r>
          </w:p>
        </w:tc>
      </w:tr>
      <w:tr>
        <w:tc>
          <w:tcPr/>
          <w:p>
            <w:pPr>
              <w:pStyle w:val="Compact"/>
              <w:jc w:val="left"/>
            </w:pPr>
            <w:r>
              <w:t xml:space="preserve">Ascore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-3.46</w:t>
            </w:r>
          </w:p>
        </w:tc>
        <w:tc>
          <w:tcPr/>
          <w:p>
            <w:pPr>
              <w:pStyle w:val="Compact"/>
              <w:jc w:val="right"/>
            </w:pPr>
            <w:r>
              <w:t xml:space="preserve">-0.61</w:t>
            </w:r>
          </w:p>
        </w:tc>
        <w:tc>
          <w:tcPr/>
          <w:p>
            <w:pPr>
              <w:pStyle w:val="Compact"/>
              <w:jc w:val="right"/>
            </w:pPr>
            <w:r>
              <w:t xml:space="preserve">-0.02</w:t>
            </w:r>
          </w:p>
        </w:tc>
        <w:tc>
          <w:tcPr/>
          <w:p>
            <w:pPr>
              <w:pStyle w:val="Compact"/>
              <w:jc w:val="right"/>
            </w:pPr>
            <w:r>
              <w:t xml:space="preserve">0.76</w:t>
            </w:r>
          </w:p>
        </w:tc>
        <w:tc>
          <w:tcPr/>
          <w:p>
            <w:pPr>
              <w:pStyle w:val="Compact"/>
              <w:jc w:val="right"/>
            </w:pPr>
            <w:r>
              <w:t xml:space="preserve">3.46</w:t>
            </w:r>
          </w:p>
        </w:tc>
        <w:tc>
          <w:tcPr/>
          <w:p>
            <w:pPr>
              <w:pStyle w:val="Compact"/>
              <w:jc w:val="left"/>
            </w:pPr>
            <w:r>
              <w:t xml:space="preserve">▁▃▇▃▁</w:t>
            </w:r>
          </w:p>
        </w:tc>
      </w:tr>
      <w:tr>
        <w:tc>
          <w:tcPr/>
          <w:p>
            <w:pPr>
              <w:pStyle w:val="Compact"/>
              <w:jc w:val="left"/>
            </w:pPr>
            <w:r>
              <w:t xml:space="preserve">Cscore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-3.46</w:t>
            </w:r>
          </w:p>
        </w:tc>
        <w:tc>
          <w:tcPr/>
          <w:p>
            <w:pPr>
              <w:pStyle w:val="Compact"/>
              <w:jc w:val="right"/>
            </w:pPr>
            <w:r>
              <w:t xml:space="preserve">-0.65</w:t>
            </w:r>
          </w:p>
        </w:tc>
        <w:tc>
          <w:tcPr/>
          <w:p>
            <w:pPr>
              <w:pStyle w:val="Compact"/>
              <w:jc w:val="right"/>
            </w:pPr>
            <w:r>
              <w:t xml:space="preserve">-0.01</w:t>
            </w:r>
          </w:p>
        </w:tc>
        <w:tc>
          <w:tcPr/>
          <w:p>
            <w:pPr>
              <w:pStyle w:val="Compact"/>
              <w:jc w:val="right"/>
            </w:pPr>
            <w:r>
              <w:t xml:space="preserve">0.58</w:t>
            </w:r>
          </w:p>
        </w:tc>
        <w:tc>
          <w:tcPr/>
          <w:p>
            <w:pPr>
              <w:pStyle w:val="Compact"/>
              <w:jc w:val="right"/>
            </w:pPr>
            <w:r>
              <w:t xml:space="preserve">3.46</w:t>
            </w:r>
          </w:p>
        </w:tc>
        <w:tc>
          <w:tcPr/>
          <w:p>
            <w:pPr>
              <w:pStyle w:val="Compact"/>
              <w:jc w:val="left"/>
            </w:pPr>
            <w:r>
              <w:t xml:space="preserve">▁▃▇▃▁</w:t>
            </w:r>
          </w:p>
        </w:tc>
      </w:tr>
      <w:tr>
        <w:tc>
          <w:tcPr/>
          <w:p>
            <w:pPr>
              <w:pStyle w:val="Compact"/>
              <w:jc w:val="left"/>
            </w:pPr>
            <w:r>
              <w:t xml:space="preserve">Impulsive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0.95</w:t>
            </w:r>
          </w:p>
        </w:tc>
        <w:tc>
          <w:tcPr/>
          <w:p>
            <w:pPr>
              <w:pStyle w:val="Compact"/>
              <w:jc w:val="right"/>
            </w:pPr>
            <w:r>
              <w:t xml:space="preserve">-2.56</w:t>
            </w:r>
          </w:p>
        </w:tc>
        <w:tc>
          <w:tcPr/>
          <w:p>
            <w:pPr>
              <w:pStyle w:val="Compact"/>
              <w:jc w:val="right"/>
            </w:pPr>
            <w:r>
              <w:t xml:space="preserve">-0.71</w:t>
            </w:r>
          </w:p>
        </w:tc>
        <w:tc>
          <w:tcPr/>
          <w:p>
            <w:pPr>
              <w:pStyle w:val="Compact"/>
              <w:jc w:val="right"/>
            </w:pPr>
            <w:r>
              <w:t xml:space="preserve">-0.22</w:t>
            </w:r>
          </w:p>
        </w:tc>
        <w:tc>
          <w:tcPr/>
          <w:p>
            <w:pPr>
              <w:pStyle w:val="Compact"/>
              <w:jc w:val="right"/>
            </w:pPr>
            <w:r>
              <w:t xml:space="preserve">0.53</w:t>
            </w:r>
          </w:p>
        </w:tc>
        <w:tc>
          <w:tcPr/>
          <w:p>
            <w:pPr>
              <w:pStyle w:val="Compact"/>
              <w:jc w:val="right"/>
            </w:pPr>
            <w:r>
              <w:t xml:space="preserve">2.90</w:t>
            </w:r>
          </w:p>
        </w:tc>
        <w:tc>
          <w:tcPr/>
          <w:p>
            <w:pPr>
              <w:pStyle w:val="Compact"/>
              <w:jc w:val="left"/>
            </w:pPr>
            <w:r>
              <w:t xml:space="preserve">▁▆▇▃▁</w:t>
            </w:r>
          </w:p>
        </w:tc>
      </w:tr>
      <w:tr>
        <w:tc>
          <w:tcPr/>
          <w:p>
            <w:pPr>
              <w:pStyle w:val="Compact"/>
              <w:jc w:val="left"/>
            </w:pPr>
            <w:r>
              <w:t xml:space="preserv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0.96</w:t>
            </w:r>
          </w:p>
        </w:tc>
        <w:tc>
          <w:tcPr/>
          <w:p>
            <w:pPr>
              <w:pStyle w:val="Compact"/>
              <w:jc w:val="right"/>
            </w:pPr>
            <w:r>
              <w:t xml:space="preserve">-2.08</w:t>
            </w:r>
          </w:p>
        </w:tc>
        <w:tc>
          <w:tcPr/>
          <w:p>
            <w:pPr>
              <w:pStyle w:val="Compact"/>
              <w:jc w:val="right"/>
            </w:pPr>
            <w:r>
              <w:t xml:space="preserve">-0.53</w:t>
            </w:r>
          </w:p>
        </w:tc>
        <w:tc>
          <w:tcPr/>
          <w:p>
            <w:pPr>
              <w:pStyle w:val="Compact"/>
              <w:jc w:val="right"/>
            </w:pPr>
            <w:r>
              <w:t xml:space="preserve">0.08</w:t>
            </w:r>
          </w:p>
        </w:tc>
        <w:tc>
          <w:tcPr/>
          <w:p>
            <w:pPr>
              <w:pStyle w:val="Compact"/>
              <w:jc w:val="right"/>
            </w:pPr>
            <w:r>
              <w:t xml:space="preserve">0.77</w:t>
            </w:r>
          </w:p>
        </w:tc>
        <w:tc>
          <w:tcPr/>
          <w:p>
            <w:pPr>
              <w:pStyle w:val="Compact"/>
              <w:jc w:val="right"/>
            </w:pPr>
            <w:r>
              <w:t xml:space="preserve">1.92</w:t>
            </w:r>
          </w:p>
        </w:tc>
        <w:tc>
          <w:tcPr/>
          <w:p>
            <w:pPr>
              <w:pStyle w:val="Compact"/>
              <w:jc w:val="left"/>
            </w:pPr>
            <w:r>
              <w:t xml:space="preserve">▂▇▇▇▅</w:t>
            </w:r>
          </w:p>
        </w:tc>
      </w:tr>
    </w:tbl>
    <w:p>
      <w:pPr>
        <w:pStyle w:val="BodyText"/>
      </w:pPr>
      <w:r>
        <w:rPr>
          <w:iCs/>
          <w:i/>
        </w:rPr>
        <w:t xml:space="preserve">No data is missing.</w:t>
      </w:r>
    </w:p>
    <w:p>
      <w:pPr>
        <w:pStyle w:val="BodyText"/>
      </w:pPr>
      <w:r>
        <w:rPr>
          <w:bCs/>
          <w:b/>
        </w:rPr>
        <w:t xml:space="preserve">Task 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drug_clean_split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Nicotine) </w:t>
      </w:r>
      <w:r>
        <w:rPr>
          <w:rStyle w:val="CommentTok"/>
        </w:rPr>
        <w:t xml:space="preserve">#70% in training</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(drug_clean_split)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(drug_clean_split)</w:t>
      </w:r>
    </w:p>
    <w:p>
      <w:pPr>
        <w:pStyle w:val="FirstParagraph"/>
      </w:pPr>
      <w:r>
        <w:rPr>
          <w:bCs/>
          <w:b/>
        </w:rPr>
        <w:t xml:space="preserve">Task 3</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FunctionTok"/>
        </w:rPr>
        <w:t xml:space="preserve">grid.arrange</w:t>
      </w:r>
      <w:r>
        <w:rPr>
          <w:rStyle w:val="NormalTok"/>
        </w:rPr>
        <w:t xml:space="preserve">(p1,p2,p3,p4)</w:t>
      </w:r>
    </w:p>
    <w:p>
      <w:pPr>
        <w:pStyle w:val="FirstParagraph"/>
      </w:pPr>
      <w:r>
        <w:drawing>
          <wp:inline>
            <wp:extent cx="5334000" cy="4267200"/>
            <wp:effectExtent b="0" l="0" r="0" t="0"/>
            <wp:docPr descr="" title="" id="1" name="Picture"/>
            <a:graphic>
              <a:graphicData uri="http://schemas.openxmlformats.org/drawingml/2006/picture">
                <pic:pic>
                  <pic:nvPicPr>
                    <pic:cNvPr descr="OdumA_Mod4-Assign2_files/figure-docx/visual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p6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Nscore))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Escore))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p8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Oscore))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(p5, p6, p7, p8)</w:t>
      </w:r>
    </w:p>
    <w:p>
      <w:pPr>
        <w:pStyle w:val="FirstParagraph"/>
      </w:pPr>
      <w:r>
        <w:drawing>
          <wp:inline>
            <wp:extent cx="5334000" cy="4267200"/>
            <wp:effectExtent b="0" l="0" r="0" t="0"/>
            <wp:docPr descr="" title="" id="1" name="Picture"/>
            <a:graphic>
              <a:graphicData uri="http://schemas.openxmlformats.org/drawingml/2006/picture">
                <pic:pic>
                  <pic:nvPicPr>
                    <pic:cNvPr descr="OdumA_Mod4-Assign2_files/figure-docx/visual%20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p9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Ascore))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p10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Cscore))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Impulsive))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p12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SS))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(p9, p10, p11, p12)</w:t>
      </w:r>
    </w:p>
    <w:p>
      <w:pPr>
        <w:pStyle w:val="FirstParagraph"/>
      </w:pPr>
      <w:r>
        <w:drawing>
          <wp:inline>
            <wp:extent cx="5334000" cy="4267200"/>
            <wp:effectExtent b="0" l="0" r="0" t="0"/>
            <wp:docPr descr="" title="" id="1" name="Picture"/>
            <a:graphic>
              <a:graphicData uri="http://schemas.openxmlformats.org/drawingml/2006/picture">
                <pic:pic>
                  <pic:nvPicPr>
                    <pic:cNvPr descr="OdumA_Mod4-Assign2_files/figure-docx/visual%20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Nicotine usage appears to drop continually as age increases. Females appear ~1.5 times less likely to use nicotine than males. Nicotine usage appears to be negatively correlated with education levels, as it goes down as education level increases. Nicotine usage is highest in the US and Ireland, and lowest in the UK and New Zealand. People who identify as black and Asian appear less likely to use nicotine than other races. Nicotine users have higher Nscore, Oscore, Impulsive,and SS values. Nicotine users have lower Ascore and Cscore values, and have roughtly the same Escore values as those who do not use nicotine.</w:t>
      </w:r>
    </w:p>
    <w:p>
      <w:pPr>
        <w:pStyle w:val="BodyText"/>
      </w:pPr>
      <w:r>
        <w:rPr>
          <w:bCs/>
          <w:b/>
        </w:rPr>
        <w:t xml:space="preserve">Task 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drug_recipe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rPr>
          <w:rStyle w:val="CommentTok"/>
        </w:rPr>
        <w:t xml:space="preserve">#added importance metric</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rf_grid </w:t>
      </w:r>
      <w:r>
        <w:rPr>
          <w:rStyle w:val="CommentTok"/>
        </w:rPr>
        <w:t xml:space="preserve">#use the tuning grid</w:t>
      </w:r>
      <w:r>
        <w:br/>
      </w:r>
      <w:r>
        <w:rPr>
          <w:rStyle w:val="NormalTok"/>
        </w:rPr>
        <w:t xml:space="preserve">)</w:t>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dumA_Mod4-Assign2_files/figure-docx/parameter%20visual-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dumA_Mod4-Assign2_files/figure-docx/parameter%20visual-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Task 5</w:t>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4</w:t>
      </w:r>
      <w:r>
        <w:br/>
      </w:r>
      <w:r>
        <w:rPr>
          <w:rStyle w:val="VerbatimChar"/>
        </w:rPr>
        <w:t xml:space="preserve">##   trees = 100</w:t>
      </w:r>
      <w:r>
        <w:br/>
      </w:r>
      <w:r>
        <w:rPr>
          <w:rStyle w:val="VerbatimChar"/>
        </w:rPr>
        <w:t xml:space="preserve">##   min_n = 8</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p>
    <w:p>
      <w:pPr>
        <w:pStyle w:val="FirstParagraph"/>
      </w:pPr>
      <w:r>
        <w:rPr>
          <w:bCs/>
          <w:b/>
        </w:rPr>
        <w:t xml:space="preserve">Task 6</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879  78</w:t>
      </w:r>
      <w:r>
        <w:br/>
      </w:r>
      <w:r>
        <w:rPr>
          <w:rStyle w:val="VerbatimChar"/>
        </w:rPr>
        <w:t xml:space="preserve">##        No    5 356</w:t>
      </w:r>
      <w:r>
        <w:br/>
      </w:r>
      <w:r>
        <w:rPr>
          <w:rStyle w:val="VerbatimChar"/>
        </w:rPr>
        <w:t xml:space="preserve">##                                           </w:t>
      </w:r>
      <w:r>
        <w:br/>
      </w:r>
      <w:r>
        <w:rPr>
          <w:rStyle w:val="VerbatimChar"/>
        </w:rPr>
        <w:t xml:space="preserve">##                Accuracy : 0.937           </w:t>
      </w:r>
      <w:r>
        <w:br/>
      </w:r>
      <w:r>
        <w:rPr>
          <w:rStyle w:val="VerbatimChar"/>
        </w:rPr>
        <w:t xml:space="preserve">##                  95% CI : (0.9225, 0.9495)</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0.8511          </w:t>
      </w:r>
      <w:r>
        <w:br/>
      </w:r>
      <w:r>
        <w:rPr>
          <w:rStyle w:val="VerbatimChar"/>
        </w:rPr>
        <w:t xml:space="preserve">##                                           </w:t>
      </w:r>
      <w:r>
        <w:br/>
      </w:r>
      <w:r>
        <w:rPr>
          <w:rStyle w:val="VerbatimChar"/>
        </w:rPr>
        <w:t xml:space="preserve">##  Mcnemar's Test P-Value : 2.722e-15       </w:t>
      </w:r>
      <w:r>
        <w:br/>
      </w:r>
      <w:r>
        <w:rPr>
          <w:rStyle w:val="VerbatimChar"/>
        </w:rPr>
        <w:t xml:space="preserve">##                                           </w:t>
      </w:r>
      <w:r>
        <w:br/>
      </w:r>
      <w:r>
        <w:rPr>
          <w:rStyle w:val="VerbatimChar"/>
        </w:rPr>
        <w:t xml:space="preserve">##             Sensitivity : 0.9943          </w:t>
      </w:r>
      <w:r>
        <w:br/>
      </w:r>
      <w:r>
        <w:rPr>
          <w:rStyle w:val="VerbatimChar"/>
        </w:rPr>
        <w:t xml:space="preserve">##             Specificity : 0.8203          </w:t>
      </w:r>
      <w:r>
        <w:br/>
      </w:r>
      <w:r>
        <w:rPr>
          <w:rStyle w:val="VerbatimChar"/>
        </w:rPr>
        <w:t xml:space="preserve">##          Pos Pred Value : 0.9185          </w:t>
      </w:r>
      <w:r>
        <w:br/>
      </w:r>
      <w:r>
        <w:rPr>
          <w:rStyle w:val="VerbatimChar"/>
        </w:rPr>
        <w:t xml:space="preserve">##          Neg Pred Value : 0.9861          </w:t>
      </w:r>
      <w:r>
        <w:br/>
      </w:r>
      <w:r>
        <w:rPr>
          <w:rStyle w:val="VerbatimChar"/>
        </w:rPr>
        <w:t xml:space="preserve">##              Prevalence : 0.6707          </w:t>
      </w:r>
      <w:r>
        <w:br/>
      </w:r>
      <w:r>
        <w:rPr>
          <w:rStyle w:val="VerbatimChar"/>
        </w:rPr>
        <w:t xml:space="preserve">##          Detection Rate : 0.6669          </w:t>
      </w:r>
      <w:r>
        <w:br/>
      </w:r>
      <w:r>
        <w:rPr>
          <w:rStyle w:val="VerbatimChar"/>
        </w:rPr>
        <w:t xml:space="preserve">##    Detection Prevalence : 0.7261          </w:t>
      </w:r>
      <w:r>
        <w:br/>
      </w:r>
      <w:r>
        <w:rPr>
          <w:rStyle w:val="VerbatimChar"/>
        </w:rPr>
        <w:t xml:space="preserve">##       Balanced Accuracy : 0.9073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332 115</w:t>
      </w:r>
      <w:r>
        <w:br/>
      </w:r>
      <w:r>
        <w:rPr>
          <w:rStyle w:val="VerbatimChar"/>
        </w:rPr>
        <w:t xml:space="preserve">##        No   48  72</w:t>
      </w:r>
      <w:r>
        <w:br/>
      </w:r>
      <w:r>
        <w:rPr>
          <w:rStyle w:val="VerbatimChar"/>
        </w:rPr>
        <w:t xml:space="preserve">##                                           </w:t>
      </w:r>
      <w:r>
        <w:br/>
      </w:r>
      <w:r>
        <w:rPr>
          <w:rStyle w:val="VerbatimChar"/>
        </w:rPr>
        <w:t xml:space="preserve">##                Accuracy : 0.7125          </w:t>
      </w:r>
      <w:r>
        <w:br/>
      </w:r>
      <w:r>
        <w:rPr>
          <w:rStyle w:val="VerbatimChar"/>
        </w:rPr>
        <w:t xml:space="preserve">##                  95% CI : (0.6733, 0.7495)</w:t>
      </w:r>
      <w:r>
        <w:br/>
      </w:r>
      <w:r>
        <w:rPr>
          <w:rStyle w:val="VerbatimChar"/>
        </w:rPr>
        <w:t xml:space="preserve">##     No Information Rate : 0.6702          </w:t>
      </w:r>
      <w:r>
        <w:br/>
      </w:r>
      <w:r>
        <w:rPr>
          <w:rStyle w:val="VerbatimChar"/>
        </w:rPr>
        <w:t xml:space="preserve">##     P-Value [Acc &gt; NIR] : 0.01708         </w:t>
      </w:r>
      <w:r>
        <w:br/>
      </w:r>
      <w:r>
        <w:rPr>
          <w:rStyle w:val="VerbatimChar"/>
        </w:rPr>
        <w:t xml:space="preserve">##                                           </w:t>
      </w:r>
      <w:r>
        <w:br/>
      </w:r>
      <w:r>
        <w:rPr>
          <w:rStyle w:val="VerbatimChar"/>
        </w:rPr>
        <w:t xml:space="preserve">##                   Kappa : 0.2846          </w:t>
      </w:r>
      <w:r>
        <w:br/>
      </w:r>
      <w:r>
        <w:rPr>
          <w:rStyle w:val="VerbatimChar"/>
        </w:rPr>
        <w:t xml:space="preserve">##                                           </w:t>
      </w:r>
      <w:r>
        <w:br/>
      </w:r>
      <w:r>
        <w:rPr>
          <w:rStyle w:val="VerbatimChar"/>
        </w:rPr>
        <w:t xml:space="preserve">##  Mcnemar's Test P-Value : 2.347e-07       </w:t>
      </w:r>
      <w:r>
        <w:br/>
      </w:r>
      <w:r>
        <w:rPr>
          <w:rStyle w:val="VerbatimChar"/>
        </w:rPr>
        <w:t xml:space="preserve">##                                           </w:t>
      </w:r>
      <w:r>
        <w:br/>
      </w:r>
      <w:r>
        <w:rPr>
          <w:rStyle w:val="VerbatimChar"/>
        </w:rPr>
        <w:t xml:space="preserve">##             Sensitivity : 0.8737          </w:t>
      </w:r>
      <w:r>
        <w:br/>
      </w:r>
      <w:r>
        <w:rPr>
          <w:rStyle w:val="VerbatimChar"/>
        </w:rPr>
        <w:t xml:space="preserve">##             Specificity : 0.3850          </w:t>
      </w:r>
      <w:r>
        <w:br/>
      </w:r>
      <w:r>
        <w:rPr>
          <w:rStyle w:val="VerbatimChar"/>
        </w:rPr>
        <w:t xml:space="preserve">##          Pos Pred Value : 0.7427          </w:t>
      </w:r>
      <w:r>
        <w:br/>
      </w:r>
      <w:r>
        <w:rPr>
          <w:rStyle w:val="VerbatimChar"/>
        </w:rPr>
        <w:t xml:space="preserve">##          Neg Pred Value : 0.6000          </w:t>
      </w:r>
      <w:r>
        <w:br/>
      </w:r>
      <w:r>
        <w:rPr>
          <w:rStyle w:val="VerbatimChar"/>
        </w:rPr>
        <w:t xml:space="preserve">##              Prevalence : 0.6702          </w:t>
      </w:r>
      <w:r>
        <w:br/>
      </w:r>
      <w:r>
        <w:rPr>
          <w:rStyle w:val="VerbatimChar"/>
        </w:rPr>
        <w:t xml:space="preserve">##          Detection Rate : 0.5855          </w:t>
      </w:r>
      <w:r>
        <w:br/>
      </w:r>
      <w:r>
        <w:rPr>
          <w:rStyle w:val="VerbatimChar"/>
        </w:rPr>
        <w:t xml:space="preserve">##    Detection Prevalence : 0.7884          </w:t>
      </w:r>
      <w:r>
        <w:br/>
      </w:r>
      <w:r>
        <w:rPr>
          <w:rStyle w:val="VerbatimChar"/>
        </w:rPr>
        <w:t xml:space="preserve">##       Balanced Accuracy : 0.6294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iCs/>
          <w:i/>
        </w:rPr>
        <w:t xml:space="preserve">The model performs much better on the training set than on the testing set.</w:t>
      </w:r>
    </w:p>
    <w:p>
      <w:pPr>
        <w:pStyle w:val="BodyText"/>
      </w:pPr>
      <w:r>
        <w:rPr>
          <w:bCs/>
          <w:b/>
        </w:rPr>
        <w:t xml:space="preserve">Task 7</w:t>
      </w:r>
    </w:p>
    <w:p>
      <w:pPr>
        <w:pStyle w:val="BodyText"/>
      </w:pPr>
      <w:r>
        <w:rPr>
          <w:iCs/>
          <w:i/>
        </w:rPr>
        <w:t xml:space="preserve">This model could be used by insurance companies (life or health) to deny coverage and/or increase premiums or by a clinician or healthcare organization to make healthcare decisions on things such as clinical trial or organ transplant on an individual. I would not recommend this model for real world use as its accuracy on the testing set was only 61.5%. My concern would be that this could incorrectly classify an individual as a smoker/nicotine user and prevent them from receiving appropriate care or coverage based on factors such as age, location, education, et cetera.</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2022-02-15T04:15:34Z</dcterms:created>
  <dcterms:modified xsi:type="dcterms:W3CDTF">2022-02-15T04:15:34Z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