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Projeto de Ciência de Dados</w:t>
        <w:br w:type="textWrapping"/>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TÍTULO DO PROJETO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Análise da Demanda de Aquecimento de Água e Eficiência Energética em Residências Brasileiras: Uma Abordagem Baseada em Dados Climáticos e Socioeconômicos Regionais</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2. DEFINIÇÃO DO PROBLEMA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Pergunta principal: Como as variações climáticas regionais e o perfil socioeconômico dos domicílios brasileiros influenciam a demanda por aquecimento de água e a eficiência dos sistemas utilizados — e quais regiões apresentam maior potencial de adoção de tecnologias mais eficientes, considerando tanto os dados quantitativos quanto o interesse real do consumidor?</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O projeto busca responder:</w:t>
      </w:r>
    </w:p>
    <w:p w:rsidR="00000000" w:rsidDel="00000000" w:rsidP="00000000" w:rsidRDefault="00000000" w:rsidRPr="00000000" w14:paraId="00000007">
      <w:pPr>
        <w:numPr>
          <w:ilvl w:val="0"/>
          <w:numId w:val="4"/>
        </w:numPr>
        <w:spacing w:after="0" w:afterAutospacing="0" w:before="240" w:lineRule="auto"/>
        <w:ind w:left="720" w:hanging="360"/>
        <w:jc w:val="both"/>
      </w:pPr>
      <w:r w:rsidDel="00000000" w:rsidR="00000000" w:rsidRPr="00000000">
        <w:rPr>
          <w:rtl w:val="0"/>
        </w:rPr>
        <w:t xml:space="preserve">Em quais regiões e períodos do ano a demanda por aquecimento de água é mais intensa, e como isso se relaciona com a temperatura ambiente?</w:t>
      </w:r>
    </w:p>
    <w:p w:rsidR="00000000" w:rsidDel="00000000" w:rsidP="00000000" w:rsidRDefault="00000000" w:rsidRPr="00000000" w14:paraId="00000008">
      <w:pPr>
        <w:numPr>
          <w:ilvl w:val="0"/>
          <w:numId w:val="4"/>
        </w:numPr>
        <w:spacing w:after="0" w:afterAutospacing="0" w:before="0" w:beforeAutospacing="0" w:lineRule="auto"/>
        <w:ind w:left="720" w:hanging="360"/>
        <w:jc w:val="both"/>
      </w:pPr>
      <w:r w:rsidDel="00000000" w:rsidR="00000000" w:rsidRPr="00000000">
        <w:rPr>
          <w:rtl w:val="0"/>
        </w:rPr>
        <w:t xml:space="preserve">Como a renda domiciliar e o clima regional se relacionam com o potencial de adoção das tecnologias do portfólio da empresa — coletor solar e bomba de calor —, tendo o chuveiro elétrico como linha de base a ser substituída?</w:t>
      </w:r>
    </w:p>
    <w:p w:rsidR="00000000" w:rsidDel="00000000" w:rsidP="00000000" w:rsidRDefault="00000000" w:rsidRPr="00000000" w14:paraId="00000009">
      <w:pPr>
        <w:numPr>
          <w:ilvl w:val="0"/>
          <w:numId w:val="4"/>
        </w:numPr>
        <w:spacing w:after="0" w:afterAutospacing="0" w:before="0" w:beforeAutospacing="0" w:lineRule="auto"/>
        <w:ind w:left="720" w:hanging="360"/>
        <w:jc w:val="both"/>
      </w:pPr>
      <w:r w:rsidDel="00000000" w:rsidR="00000000" w:rsidRPr="00000000">
        <w:rPr>
          <w:rtl w:val="0"/>
        </w:rPr>
        <w:t xml:space="preserve">Considerando a lógica do COP (Coeficiente de Performance) — métrica central em estudos internacionais como o When2Heat — quais regiões brasileiras seriam mais favoráveis à adoção de bombas de calor para aquecimento de água?</w:t>
      </w:r>
    </w:p>
    <w:p w:rsidR="00000000" w:rsidDel="00000000" w:rsidP="00000000" w:rsidRDefault="00000000" w:rsidRPr="00000000" w14:paraId="0000000A">
      <w:pPr>
        <w:numPr>
          <w:ilvl w:val="0"/>
          <w:numId w:val="4"/>
        </w:numPr>
        <w:spacing w:after="0" w:afterAutospacing="0" w:before="0" w:beforeAutospacing="0" w:lineRule="auto"/>
        <w:ind w:left="720" w:hanging="360"/>
        <w:jc w:val="both"/>
      </w:pPr>
      <w:r w:rsidDel="00000000" w:rsidR="00000000" w:rsidRPr="00000000">
        <w:rPr>
          <w:rtl w:val="0"/>
        </w:rPr>
        <w:t xml:space="preserve">Como evoluiu o vocabulário dos documentos técnicos e regulatórios do setor energético brasileiro em relação às tecnologias de aquecimento de água?</w:t>
      </w:r>
    </w:p>
    <w:p w:rsidR="00000000" w:rsidDel="00000000" w:rsidP="00000000" w:rsidRDefault="00000000" w:rsidRPr="00000000" w14:paraId="0000000B">
      <w:pPr>
        <w:numPr>
          <w:ilvl w:val="0"/>
          <w:numId w:val="4"/>
        </w:numPr>
        <w:spacing w:after="240" w:before="0" w:beforeAutospacing="0" w:lineRule="auto"/>
        <w:ind w:left="720" w:hanging="360"/>
        <w:jc w:val="both"/>
      </w:pPr>
      <w:r w:rsidDel="00000000" w:rsidR="00000000" w:rsidRPr="00000000">
        <w:rPr>
          <w:rtl w:val="0"/>
        </w:rPr>
        <w:t xml:space="preserve">Existe correspondência entre o interesse institucional evidenciado nos relatórios técnicos e a procura real do consumidor medida pelo volume de buscas no Google?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O problema é integralmente endereçado com dados, pois tanto o comportamento climático e o perfil de domicílios quanto o interesse do consumidor e o discurso institucional são cobertos por bases públicas e acessíveis.</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JUSTIFICATIVA</w:t>
      </w:r>
    </w:p>
    <w:p w:rsidR="00000000" w:rsidDel="00000000" w:rsidP="00000000" w:rsidRDefault="00000000" w:rsidRPr="00000000" w14:paraId="0000000E">
      <w:pPr>
        <w:spacing w:after="240" w:before="240" w:lineRule="auto"/>
        <w:ind w:firstLine="720"/>
        <w:jc w:val="both"/>
        <w:rPr/>
      </w:pPr>
      <w:r w:rsidDel="00000000" w:rsidR="00000000" w:rsidRPr="00000000">
        <w:rPr>
          <w:rtl w:val="0"/>
        </w:rPr>
        <w:t xml:space="preserve">O aquecimento de água responde por parcela relevante do consumo elétrico residencial brasileiro. O chuveiro elétrico, presente em cerca de 85% dos domicílios nacionais segundo o IBGE, é um dos maiores responsáveis pelo pico de demanda na rede elétrica no período noturno — o que tem impacto direto no custo de energia e na estabilidade do sistema.</w:t>
      </w:r>
    </w:p>
    <w:p w:rsidR="00000000" w:rsidDel="00000000" w:rsidP="00000000" w:rsidRDefault="00000000" w:rsidRPr="00000000" w14:paraId="0000000F">
      <w:pPr>
        <w:spacing w:after="240" w:before="240" w:lineRule="auto"/>
        <w:ind w:firstLine="720"/>
        <w:jc w:val="both"/>
        <w:rPr/>
      </w:pPr>
      <w:r w:rsidDel="00000000" w:rsidR="00000000" w:rsidRPr="00000000">
        <w:rPr>
          <w:rtl w:val="0"/>
        </w:rPr>
        <w:t xml:space="preserve">Estudos europeus, como o dataset </w:t>
      </w:r>
      <w:r w:rsidDel="00000000" w:rsidR="00000000" w:rsidRPr="00000000">
        <w:rPr>
          <w:b w:val="1"/>
          <w:bCs w:val="1"/>
          <w:rtl w:val="0"/>
        </w:rPr>
        <w:t xml:space="preserve">When2Heat</w:t>
      </w:r>
      <w:r w:rsidDel="00000000" w:rsidR="00000000" w:rsidRPr="00000000">
        <w:rPr>
          <w:rtl w:val="0"/>
        </w:rPr>
        <w:t xml:space="preserve"> (Ruhnau et al., 2019), demonstraram de forma rigorosa que a demanda por aquecimento de água e a eficiência dos sistemas são fortemente determinadas pela temperatura ambiente e pelo perfil das edificações. O Brasil, com seu território continental e diversidade climática equivalente à de um continente inteiro, nunca teve esse tipo de análise sistematizada em nível regional.</w:t>
      </w:r>
    </w:p>
    <w:p w:rsidR="00000000" w:rsidDel="00000000" w:rsidP="00000000" w:rsidRDefault="00000000" w:rsidRPr="00000000" w14:paraId="00000010">
      <w:pPr>
        <w:spacing w:after="240" w:before="240" w:lineRule="auto"/>
        <w:ind w:firstLine="720"/>
        <w:jc w:val="both"/>
        <w:rPr/>
      </w:pPr>
      <w:r w:rsidDel="00000000" w:rsidR="00000000" w:rsidRPr="00000000">
        <w:rPr>
          <w:rtl w:val="0"/>
        </w:rPr>
        <w:t xml:space="preserve">Paralelamente, tecnologias mais eficientes como bombas de calor e sistemas solares têm ganhado espaço crescente tanto no discurso do setor energético quanto na atenção do consumidor. Compreender se esse interesse se traduz em demanda real — e onde isso ocorre com mais intensidade — é uma vantagem competitiva direta para empresas do setor.</w:t>
      </w:r>
    </w:p>
    <w:p w:rsidR="00000000" w:rsidDel="00000000" w:rsidP="00000000" w:rsidRDefault="00000000" w:rsidRPr="00000000" w14:paraId="00000011">
      <w:pPr>
        <w:spacing w:after="240" w:before="240" w:lineRule="auto"/>
        <w:jc w:val="both"/>
        <w:rPr>
          <w:b w:val="1"/>
          <w:bCs w:val="1"/>
        </w:rPr>
      </w:pPr>
      <w:r w:rsidDel="00000000" w:rsidR="00000000" w:rsidRPr="00000000">
        <w:rPr>
          <w:b w:val="1"/>
          <w:bCs w:val="1"/>
          <w:rtl w:val="0"/>
        </w:rPr>
        <w:t xml:space="preserve">Quem se beneficia:</w:t>
      </w:r>
    </w:p>
    <w:p w:rsidR="00000000" w:rsidDel="00000000" w:rsidP="00000000" w:rsidRDefault="00000000" w:rsidRPr="00000000" w14:paraId="00000012">
      <w:pPr>
        <w:numPr>
          <w:ilvl w:val="0"/>
          <w:numId w:val="1"/>
        </w:numPr>
        <w:spacing w:after="0" w:afterAutospacing="0" w:before="240" w:lineRule="auto"/>
        <w:ind w:left="720" w:hanging="360"/>
        <w:jc w:val="both"/>
      </w:pPr>
      <w:r w:rsidDel="00000000" w:rsidR="00000000" w:rsidRPr="00000000">
        <w:rPr>
          <w:rtl w:val="0"/>
        </w:rPr>
        <w:t xml:space="preserve">A empresa de aquecimento de água pode identificar onde a substituição do chuveiro elétrico por sistemas mais eficientes é climaticamente viável, economicamente justificável e demandada pelo consumidor</w:t>
      </w:r>
    </w:p>
    <w:p w:rsidR="00000000" w:rsidDel="00000000" w:rsidP="00000000" w:rsidRDefault="00000000" w:rsidRPr="00000000" w14:paraId="00000013">
      <w:pPr>
        <w:numPr>
          <w:ilvl w:val="0"/>
          <w:numId w:val="1"/>
        </w:numPr>
        <w:spacing w:after="0" w:afterAutospacing="0" w:before="0" w:beforeAutospacing="0" w:lineRule="auto"/>
        <w:ind w:left="720" w:hanging="360"/>
        <w:jc w:val="both"/>
      </w:pPr>
      <w:r w:rsidDel="00000000" w:rsidR="00000000" w:rsidRPr="00000000">
        <w:rPr>
          <w:rtl w:val="0"/>
        </w:rPr>
        <w:t xml:space="preserve">O time comercial pode priorizar regiões com maior potencial de mercado antes de concorrentes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pPr>
      <w:r w:rsidDel="00000000" w:rsidR="00000000" w:rsidRPr="00000000">
        <w:rPr>
          <w:rtl w:val="0"/>
        </w:rPr>
        <w:t xml:space="preserve">O time de marketing pode calibrar campanhas com base no vocabulário e nos termos que o consumidor já utiliza ao buscar soluções</w:t>
      </w:r>
    </w:p>
    <w:p w:rsidR="00000000" w:rsidDel="00000000" w:rsidP="00000000" w:rsidRDefault="00000000" w:rsidRPr="00000000" w14:paraId="00000015">
      <w:pPr>
        <w:numPr>
          <w:ilvl w:val="0"/>
          <w:numId w:val="1"/>
        </w:numPr>
        <w:spacing w:after="240" w:before="0" w:beforeAutospacing="0" w:lineRule="auto"/>
        <w:ind w:left="720" w:hanging="360"/>
        <w:jc w:val="both"/>
      </w:pPr>
      <w:r w:rsidDel="00000000" w:rsidR="00000000" w:rsidRPr="00000000">
        <w:rPr>
          <w:rtl w:val="0"/>
        </w:rPr>
        <w:t xml:space="preserve">Gestores de política energética podem usar a análise para embasar programas de eficiência energética residencial</w: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4. OBJETIVOS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4.1 Objetivo Geral</w:t>
      </w:r>
    </w:p>
    <w:p w:rsidR="00000000" w:rsidDel="00000000" w:rsidP="00000000" w:rsidRDefault="00000000" w:rsidRPr="00000000" w14:paraId="00000018">
      <w:pPr>
        <w:spacing w:after="240" w:before="240" w:lineRule="auto"/>
        <w:ind w:firstLine="720"/>
        <w:jc w:val="both"/>
        <w:rPr/>
      </w:pPr>
      <w:r w:rsidDel="00000000" w:rsidR="00000000" w:rsidRPr="00000000">
        <w:rPr>
          <w:rtl w:val="0"/>
        </w:rPr>
        <w:t xml:space="preserve">Mapear a relação entre clima, perfil socioeconômico, discurso institucional e interesse do consumidor em relação a sistemas de aquecimento de água nas regiões brasileiras, gerando insumos estratégicos para empresas do setor — com base na abordagem metodológica consolidada pelo dataset When2Heat para o contexto europeu.</w: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4.2 Objetivos Específicos</w:t>
      </w:r>
    </w:p>
    <w:p w:rsidR="00000000" w:rsidDel="00000000" w:rsidP="00000000" w:rsidRDefault="00000000" w:rsidRPr="00000000" w14:paraId="0000001A">
      <w:pPr>
        <w:numPr>
          <w:ilvl w:val="0"/>
          <w:numId w:val="5"/>
        </w:numPr>
        <w:spacing w:after="0" w:afterAutospacing="0" w:lineRule="auto"/>
        <w:ind w:left="720" w:hanging="360"/>
        <w:jc w:val="both"/>
      </w:pPr>
      <w:r w:rsidDel="00000000" w:rsidR="00000000" w:rsidRPr="00000000">
        <w:rPr>
          <w:rtl w:val="0"/>
        </w:rPr>
        <w:t xml:space="preserve">Coletar e integrar dados climáticos (INMET), de domicílios (IBGE Censo 2022) e de consumo energético residencial (ANEEL/EPE)</w:t>
      </w:r>
    </w:p>
    <w:p w:rsidR="00000000" w:rsidDel="00000000" w:rsidP="00000000" w:rsidRDefault="00000000" w:rsidRPr="00000000" w14:paraId="0000001B">
      <w:pPr>
        <w:numPr>
          <w:ilvl w:val="0"/>
          <w:numId w:val="5"/>
        </w:numPr>
        <w:spacing w:after="0" w:afterAutospacing="0" w:lineRule="auto"/>
        <w:ind w:left="720" w:hanging="360"/>
        <w:jc w:val="both"/>
      </w:pPr>
      <w:r w:rsidDel="00000000" w:rsidR="00000000" w:rsidRPr="00000000">
        <w:rPr>
          <w:rtl w:val="0"/>
        </w:rPr>
        <w:t xml:space="preserve">Realizar limpeza, padronização e cruzamento das bases por Unidade da Federação (UF)</w:t>
      </w:r>
    </w:p>
    <w:p w:rsidR="00000000" w:rsidDel="00000000" w:rsidP="00000000" w:rsidRDefault="00000000" w:rsidRPr="00000000" w14:paraId="0000001C">
      <w:pPr>
        <w:numPr>
          <w:ilvl w:val="0"/>
          <w:numId w:val="5"/>
        </w:numPr>
        <w:spacing w:after="0" w:afterAutospacing="0" w:lineRule="auto"/>
        <w:ind w:left="720" w:hanging="360"/>
        <w:jc w:val="both"/>
      </w:pPr>
      <w:r w:rsidDel="00000000" w:rsidR="00000000" w:rsidRPr="00000000">
        <w:rPr>
          <w:rtl w:val="0"/>
        </w:rPr>
        <w:t xml:space="preserve">Adaptar o conceito de perfil de demanda de aquecimento de água por temperatura de referência — central no When2Heat — para estimar a variabilidade regional brasileira</w:t>
      </w:r>
    </w:p>
    <w:p w:rsidR="00000000" w:rsidDel="00000000" w:rsidP="00000000" w:rsidRDefault="00000000" w:rsidRPr="00000000" w14:paraId="0000001D">
      <w:pPr>
        <w:numPr>
          <w:ilvl w:val="0"/>
          <w:numId w:val="5"/>
        </w:numPr>
        <w:spacing w:after="0" w:afterAutospacing="0" w:lineRule="auto"/>
        <w:ind w:left="720" w:hanging="360"/>
        <w:jc w:val="both"/>
      </w:pPr>
      <w:r w:rsidDel="00000000" w:rsidR="00000000" w:rsidRPr="00000000">
        <w:rPr>
          <w:rtl w:val="0"/>
        </w:rPr>
        <w:t xml:space="preserve">Calcular uma proxy do COP regional para bombas de calor do tipo ar-água (ASHP) a partir da temperatura média mensal de cada região (equações do When2Heat) e, de forma simétrica, um índice de aptidão solar regional a partir da irradiação do INMET — cobrindo as duas linhas de produto da empresa (bomba de calor e coletor solar)</w:t>
      </w:r>
    </w:p>
    <w:p w:rsidR="00000000" w:rsidDel="00000000" w:rsidP="00000000" w:rsidRDefault="00000000" w:rsidRPr="00000000" w14:paraId="0000001E">
      <w:pPr>
        <w:numPr>
          <w:ilvl w:val="0"/>
          <w:numId w:val="5"/>
        </w:numPr>
        <w:spacing w:after="0" w:afterAutospacing="0" w:lineRule="auto"/>
        <w:ind w:left="720" w:hanging="360"/>
        <w:jc w:val="both"/>
      </w:pPr>
      <w:r w:rsidDel="00000000" w:rsidR="00000000" w:rsidRPr="00000000">
        <w:rPr>
          <w:rtl w:val="0"/>
        </w:rPr>
        <w:t xml:space="preserve">Realizar análise exploratória identificando correlações, sazonalidade e padrões regionais</w:t>
      </w:r>
    </w:p>
    <w:p w:rsidR="00000000" w:rsidDel="00000000" w:rsidP="00000000" w:rsidRDefault="00000000" w:rsidRPr="00000000" w14:paraId="0000001F">
      <w:pPr>
        <w:numPr>
          <w:ilvl w:val="0"/>
          <w:numId w:val="5"/>
        </w:numPr>
        <w:spacing w:after="0" w:afterAutospacing="0" w:lineRule="auto"/>
        <w:ind w:left="720" w:hanging="360"/>
        <w:jc w:val="both"/>
      </w:pPr>
      <w:r w:rsidDel="00000000" w:rsidR="00000000" w:rsidRPr="00000000">
        <w:rPr>
          <w:rtl w:val="0"/>
        </w:rPr>
        <w:t xml:space="preserve">Aplicar clusterização (K-Means) para segmentar as Unidades da Federação (UF) em perfis comerciais e modelos supervisionados complementares — regressão para o consumo em função do clima e árvore de decisão para descrever os segmentos</w:t>
      </w:r>
    </w:p>
    <w:p w:rsidR="00000000" w:rsidDel="00000000" w:rsidP="00000000" w:rsidRDefault="00000000" w:rsidRPr="00000000" w14:paraId="00000020">
      <w:pPr>
        <w:numPr>
          <w:ilvl w:val="0"/>
          <w:numId w:val="5"/>
        </w:numPr>
        <w:spacing w:after="0" w:afterAutospacing="0" w:lineRule="auto"/>
        <w:ind w:left="720" w:hanging="360"/>
        <w:jc w:val="both"/>
      </w:pPr>
      <w:r w:rsidDel="00000000" w:rsidR="00000000" w:rsidRPr="00000000">
        <w:rPr>
          <w:rtl w:val="0"/>
        </w:rPr>
        <w:t xml:space="preserve">Analisar a evolução terminológica em relatórios técnicos públicos (PROCEL, EPE, ANEEL) para identificar quais tecnologias de aquecimento ganharam relevância ao longo dos anos, gerando nuvens de palavras por período</w:t>
      </w:r>
    </w:p>
    <w:p w:rsidR="00000000" w:rsidDel="00000000" w:rsidP="00000000" w:rsidRDefault="00000000" w:rsidRPr="00000000" w14:paraId="00000021">
      <w:pPr>
        <w:numPr>
          <w:ilvl w:val="0"/>
          <w:numId w:val="5"/>
        </w:numPr>
        <w:spacing w:after="0" w:afterAutospacing="0" w:lineRule="auto"/>
        <w:ind w:left="720" w:hanging="360"/>
        <w:jc w:val="both"/>
      </w:pPr>
      <w:r w:rsidDel="00000000" w:rsidR="00000000" w:rsidRPr="00000000">
        <w:rPr>
          <w:rtl w:val="0"/>
        </w:rPr>
        <w:t xml:space="preserve">Analisar tendências de busca por sistemas de aquecimento de água via Google Trends por estado, identificando correlação entre interesse do consumidor e perfil climático regional</w:t>
      </w:r>
    </w:p>
    <w:p w:rsidR="00000000" w:rsidDel="00000000" w:rsidP="00000000" w:rsidRDefault="00000000" w:rsidRPr="00000000" w14:paraId="00000022">
      <w:pPr>
        <w:numPr>
          <w:ilvl w:val="0"/>
          <w:numId w:val="5"/>
        </w:numPr>
        <w:spacing w:after="0" w:afterAutospacing="0" w:lineRule="auto"/>
        <w:ind w:left="720" w:hanging="360"/>
        <w:jc w:val="both"/>
      </w:pPr>
      <w:r w:rsidDel="00000000" w:rsidR="00000000" w:rsidRPr="00000000">
        <w:rPr>
          <w:rtl w:val="0"/>
        </w:rPr>
        <w:t xml:space="preserve">Construir dashboard interativo no Power BI ou Tableau integrando os resultados quantitativos e textuais</w:t>
      </w:r>
    </w:p>
    <w:p w:rsidR="00000000" w:rsidDel="00000000" w:rsidP="00000000" w:rsidRDefault="00000000" w:rsidRPr="00000000" w14:paraId="00000023">
      <w:pPr>
        <w:numPr>
          <w:ilvl w:val="0"/>
          <w:numId w:val="5"/>
        </w:numPr>
        <w:spacing w:after="240" w:lineRule="auto"/>
        <w:ind w:left="720" w:hanging="360"/>
        <w:jc w:val="both"/>
      </w:pPr>
      <w:r w:rsidDel="00000000" w:rsidR="00000000" w:rsidRPr="00000000">
        <w:rPr>
          <w:rtl w:val="0"/>
        </w:rPr>
        <w:t xml:space="preserve">Produzir relatório com recomendações aplicadas ao negócio</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5. DESCRIÇÃO DOS DADOS</w:t>
      </w:r>
      <w:r w:rsidDel="00000000" w:rsidR="00000000" w:rsidRPr="00000000">
        <w:rPr>
          <w:rtl w:val="0"/>
        </w:rPr>
      </w:r>
    </w:p>
    <w:tbl>
      <w:tblPr>
        <w:tblStyle w:val="Table1"/>
        <w:tblpPr w:leftFromText="180" w:rightFromText="180" w:topFromText="180" w:bottomFromText="180" w:vertAnchor="text" w:horzAnchor="text" w:tblpX="15" w:tblpY="0"/>
        <w:tblW w:w="9015.0" w:type="dxa"/>
        <w:jc w:val="left"/>
        <w:tblLayout w:type="fixed"/>
        <w:tblLook w:val="0600"/>
      </w:tblPr>
      <w:tblGrid>
        <w:gridCol w:w="3480"/>
        <w:gridCol w:w="1800"/>
        <w:gridCol w:w="3735"/>
        <w:tblGridChange w:id="0">
          <w:tblGrid>
            <w:gridCol w:w="3480"/>
            <w:gridCol w:w="1800"/>
            <w:gridCol w:w="3735"/>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lineRule="auto"/>
              <w:rPr/>
            </w:pPr>
            <w:r w:rsidDel="00000000" w:rsidR="00000000" w:rsidRPr="00000000">
              <w:rPr>
                <w:b w:val="1"/>
                <w:bCs w:val="1"/>
                <w:rtl w:val="0"/>
              </w:rPr>
              <w:t xml:space="preserve">Variável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lineRule="auto"/>
              <w:rPr/>
            </w:pPr>
            <w:r w:rsidDel="00000000" w:rsidR="00000000" w:rsidRPr="00000000">
              <w:rPr>
                <w:b w:val="1"/>
                <w:bCs w:val="1"/>
                <w:rtl w:val="0"/>
              </w:rPr>
              <w:t xml:space="preserve">Exemplo</w:t>
            </w:r>
            <w:r w:rsidDel="00000000" w:rsidR="00000000" w:rsidRPr="00000000">
              <w:rPr>
                <w:rtl w:val="0"/>
              </w:rPr>
            </w:r>
          </w:p>
        </w:tc>
      </w:tr>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lineRule="auto"/>
              <w:jc w:val="both"/>
              <w:rPr/>
            </w:pPr>
            <w:r w:rsidDel="00000000" w:rsidR="00000000" w:rsidRPr="00000000">
              <w:rPr>
                <w:rtl w:val="0"/>
              </w:rPr>
              <w:t xml:space="preserve">Temperatura média mensal</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lineRule="auto"/>
              <w:jc w:val="both"/>
              <w:rPr/>
            </w:pPr>
            <w:r w:rsidDel="00000000" w:rsidR="00000000" w:rsidRPr="00000000">
              <w:rPr>
                <w:rtl w:val="0"/>
              </w:rPr>
              <w:t xml:space="preserve">Numérico/ Temporal</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lineRule="auto"/>
              <w:jc w:val="both"/>
              <w:rPr/>
            </w:pPr>
            <w:r w:rsidDel="00000000" w:rsidR="00000000" w:rsidRPr="00000000">
              <w:rPr>
                <w:rtl w:val="0"/>
              </w:rPr>
              <w:t xml:space="preserve">13°C em julho em Curitiba</w:t>
            </w:r>
          </w:p>
        </w:tc>
      </w:tr>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lineRule="auto"/>
              <w:jc w:val="both"/>
              <w:rPr/>
            </w:pPr>
            <w:r w:rsidDel="00000000" w:rsidR="00000000" w:rsidRPr="00000000">
              <w:rPr>
                <w:rtl w:val="0"/>
              </w:rPr>
              <w:t xml:space="preserve">Temperatura mínima diária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lineRule="auto"/>
              <w:jc w:val="both"/>
              <w:rPr/>
            </w:pPr>
            <w:r w:rsidDel="00000000" w:rsidR="00000000" w:rsidRPr="00000000">
              <w:rPr>
                <w:rtl w:val="0"/>
              </w:rPr>
              <w:t xml:space="preserve">Numérico/ Temporal</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lineRule="auto"/>
              <w:jc w:val="both"/>
              <w:rPr/>
            </w:pPr>
            <w:r w:rsidDel="00000000" w:rsidR="00000000" w:rsidRPr="00000000">
              <w:rPr>
                <w:rtl w:val="0"/>
              </w:rPr>
              <w:t xml:space="preserve">Importante para estimativa do pico de demanda noturna</w:t>
            </w:r>
          </w:p>
        </w:tc>
      </w:tr>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lineRule="auto"/>
              <w:jc w:val="both"/>
              <w:rPr/>
            </w:pPr>
            <w:r w:rsidDel="00000000" w:rsidR="00000000" w:rsidRPr="00000000">
              <w:rPr>
                <w:rtl w:val="0"/>
              </w:rPr>
              <w:t xml:space="preserve">Consumo residencial de energia elétrica per capita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lineRule="auto"/>
              <w:jc w:val="both"/>
              <w:rPr/>
            </w:pPr>
            <w:r w:rsidDel="00000000" w:rsidR="00000000" w:rsidRPr="00000000">
              <w:rPr>
                <w:rtl w:val="0"/>
              </w:rPr>
              <w:t xml:space="preserve">Numérico/ Temporal</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lineRule="auto"/>
              <w:jc w:val="both"/>
              <w:rPr/>
            </w:pPr>
            <w:r w:rsidDel="00000000" w:rsidR="00000000" w:rsidRPr="00000000">
              <w:rPr>
                <w:rtl w:val="0"/>
              </w:rPr>
              <w:t xml:space="preserve">MWh por domicílio/mês por Unidade da Federação (UF) — proxy para intensidade de uso de chuveiro elétrico</w:t>
            </w:r>
          </w:p>
        </w:tc>
      </w:tr>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lineRule="auto"/>
              <w:jc w:val="both"/>
              <w:rPr/>
            </w:pPr>
            <w:r w:rsidDel="00000000" w:rsidR="00000000" w:rsidRPr="00000000">
              <w:rPr>
                <w:rtl w:val="0"/>
              </w:rPr>
              <w:t xml:space="preserve">Renda média domiciliar per capita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lineRule="auto"/>
              <w:jc w:val="both"/>
              <w:rPr/>
            </w:pPr>
            <w:r w:rsidDel="00000000" w:rsidR="00000000" w:rsidRPr="00000000">
              <w:rPr>
                <w:rtl w:val="0"/>
              </w:rPr>
              <w:t xml:space="preserve">Numérico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lineRule="auto"/>
              <w:jc w:val="both"/>
              <w:rPr/>
            </w:pPr>
            <w:r w:rsidDel="00000000" w:rsidR="00000000" w:rsidRPr="00000000">
              <w:rPr>
                <w:rtl w:val="0"/>
              </w:rPr>
              <w:t xml:space="preserve">Obtida via PNAD Contínua por UF — substitui microdados do Censo 2022, ainda não liberados pelo IBGE</w:t>
            </w:r>
          </w:p>
        </w:tc>
      </w:tr>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lineRule="auto"/>
              <w:jc w:val="both"/>
              <w:rPr/>
            </w:pPr>
            <w:r w:rsidDel="00000000" w:rsidR="00000000" w:rsidRPr="00000000">
              <w:rPr>
                <w:rtl w:val="0"/>
              </w:rPr>
              <w:t xml:space="preserve">Tipo de domicílio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lineRule="auto"/>
              <w:jc w:val="both"/>
              <w:rPr/>
            </w:pPr>
            <w:r w:rsidDel="00000000" w:rsidR="00000000" w:rsidRPr="00000000">
              <w:rPr>
                <w:rtl w:val="0"/>
              </w:rPr>
              <w:t xml:space="preserve">Categórico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lineRule="auto"/>
              <w:jc w:val="both"/>
              <w:rPr/>
            </w:pPr>
            <w:r w:rsidDel="00000000" w:rsidR="00000000" w:rsidRPr="00000000">
              <w:rPr>
                <w:rtl w:val="0"/>
              </w:rPr>
              <w:t xml:space="preserve">Casa, apartamento, casa de vila ou condomínio, habitação em cortiço</w:t>
            </w:r>
          </w:p>
        </w:tc>
      </w:tr>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lineRule="auto"/>
              <w:jc w:val="both"/>
              <w:rPr/>
            </w:pPr>
            <w:r w:rsidDel="00000000" w:rsidR="00000000" w:rsidRPr="00000000">
              <w:rPr>
                <w:rtl w:val="0"/>
              </w:rPr>
              <w:t xml:space="preserve">Forma de abastecimento de água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lineRule="auto"/>
              <w:jc w:val="both"/>
              <w:rPr/>
            </w:pPr>
            <w:r w:rsidDel="00000000" w:rsidR="00000000" w:rsidRPr="00000000">
              <w:rPr>
                <w:rtl w:val="0"/>
              </w:rPr>
              <w:t xml:space="preserve">Categórico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lineRule="auto"/>
              <w:jc w:val="both"/>
              <w:rPr/>
            </w:pPr>
            <w:r w:rsidDel="00000000" w:rsidR="00000000" w:rsidRPr="00000000">
              <w:rPr>
                <w:rtl w:val="0"/>
              </w:rPr>
              <w:t xml:space="preserve">Rede geral, poço profundo ou artesiano, poço raso, nascente, carro-pipa</w:t>
            </w:r>
          </w:p>
        </w:tc>
      </w:tr>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lineRule="auto"/>
              <w:jc w:val="both"/>
              <w:rPr/>
            </w:pPr>
            <w:r w:rsidDel="00000000" w:rsidR="00000000" w:rsidRPr="00000000">
              <w:rPr>
                <w:rtl w:val="0"/>
              </w:rPr>
              <w:t xml:space="preserve">Número de moradores por domicílio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lineRule="auto"/>
              <w:jc w:val="both"/>
              <w:rPr/>
            </w:pPr>
            <w:r w:rsidDel="00000000" w:rsidR="00000000" w:rsidRPr="00000000">
              <w:rPr>
                <w:rtl w:val="0"/>
              </w:rPr>
              <w:t xml:space="preserve">Numérico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lineRule="auto"/>
              <w:jc w:val="both"/>
              <w:rPr/>
            </w:pPr>
            <w:r w:rsidDel="00000000" w:rsidR="00000000" w:rsidRPr="00000000">
              <w:rPr>
                <w:rtl w:val="0"/>
              </w:rPr>
              <w:t xml:space="preserve">Proxy para volume de água aquecida diariamente</w:t>
            </w:r>
          </w:p>
        </w:tc>
      </w:tr>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lineRule="auto"/>
              <w:jc w:val="both"/>
              <w:rPr/>
            </w:pPr>
            <w:r w:rsidDel="00000000" w:rsidR="00000000" w:rsidRPr="00000000">
              <w:rPr>
                <w:rtl w:val="0"/>
              </w:rPr>
              <w:t xml:space="preserve">Proxy de COP calculada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lineRule="auto"/>
              <w:jc w:val="both"/>
              <w:rPr/>
            </w:pPr>
            <w:r w:rsidDel="00000000" w:rsidR="00000000" w:rsidRPr="00000000">
              <w:rPr>
                <w:rtl w:val="0"/>
              </w:rPr>
              <w:t xml:space="preserve">Numérico derivado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lineRule="auto"/>
              <w:jc w:val="both"/>
              <w:rPr/>
            </w:pPr>
            <w:r w:rsidDel="00000000" w:rsidR="00000000" w:rsidRPr="00000000">
              <w:rPr>
                <w:rtl w:val="0"/>
              </w:rPr>
              <w:t xml:space="preserve">Estimada a partir da temperatura média mensal do INMET, com base nas equações de COP publicadas no When2Heat</w:t>
            </w:r>
          </w:p>
        </w:tc>
      </w:tr>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lineRule="auto"/>
              <w:jc w:val="both"/>
              <w:rPr/>
            </w:pPr>
            <w:r w:rsidDel="00000000" w:rsidR="00000000" w:rsidRPr="00000000">
              <w:rPr>
                <w:rtl w:val="0"/>
              </w:rPr>
              <w:t xml:space="preserve">Irradiação solar global horizontal</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lineRule="auto"/>
              <w:jc w:val="both"/>
              <w:rPr/>
            </w:pPr>
            <w:r w:rsidDel="00000000" w:rsidR="00000000" w:rsidRPr="00000000">
              <w:rPr>
                <w:rtl w:val="0"/>
              </w:rPr>
              <w:t xml:space="preserve">Numérico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lineRule="auto"/>
              <w:jc w:val="both"/>
              <w:rPr/>
            </w:pPr>
            <w:r w:rsidDel="00000000" w:rsidR="00000000" w:rsidRPr="00000000">
              <w:rPr>
                <w:rtl w:val="0"/>
              </w:rPr>
              <w:t xml:space="preserve">kWh/m²/dia — viabilidade técnica de sistemas solares por região</w:t>
            </w:r>
          </w:p>
        </w:tc>
      </w:tr>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lineRule="auto"/>
              <w:jc w:val="both"/>
              <w:rPr/>
            </w:pPr>
            <w:r w:rsidDel="00000000" w:rsidR="00000000" w:rsidRPr="00000000">
              <w:rPr>
                <w:rtl w:val="0"/>
              </w:rPr>
              <w:t xml:space="preserve">Região e Unidade da Federação (UF)</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lineRule="auto"/>
              <w:jc w:val="both"/>
              <w:rPr/>
            </w:pPr>
            <w:r w:rsidDel="00000000" w:rsidR="00000000" w:rsidRPr="00000000">
              <w:rPr>
                <w:rtl w:val="0"/>
              </w:rPr>
              <w:t xml:space="preserve">Categórico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lineRule="auto"/>
              <w:jc w:val="both"/>
              <w:rPr/>
            </w:pPr>
            <w:r w:rsidDel="00000000" w:rsidR="00000000" w:rsidRPr="00000000">
              <w:rPr>
                <w:rtl w:val="0"/>
              </w:rPr>
              <w:t xml:space="preserve">Sul/Nordeste, Grande/Médio</w:t>
            </w:r>
          </w:p>
        </w:tc>
      </w:tr>
      <w:tr>
        <w:trPr>
          <w:cantSplit w:val="0"/>
          <w:trHeight w:val="7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lineRule="auto"/>
              <w:jc w:val="both"/>
              <w:rPr/>
            </w:pPr>
            <w:r w:rsidDel="00000000" w:rsidR="00000000" w:rsidRPr="00000000">
              <w:rPr>
                <w:rtl w:val="0"/>
              </w:rPr>
              <w:t xml:space="preserve">Frequência de termos nos relatórios técnicos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lineRule="auto"/>
              <w:jc w:val="both"/>
              <w:rPr/>
            </w:pPr>
            <w:r w:rsidDel="00000000" w:rsidR="00000000" w:rsidRPr="00000000">
              <w:rPr>
                <w:rtl w:val="0"/>
              </w:rPr>
              <w:t xml:space="preserve">Numérico/ Textual</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lineRule="auto"/>
              <w:jc w:val="both"/>
              <w:rPr/>
            </w:pPr>
            <w:r w:rsidDel="00000000" w:rsidR="00000000" w:rsidRPr="00000000">
              <w:rPr>
                <w:rtl w:val="0"/>
              </w:rPr>
              <w:t xml:space="preserve">"bomba de calor" aparece 3x em 2015 e 47x em 2022</w:t>
            </w:r>
          </w:p>
        </w:tc>
      </w:tr>
    </w:tbl>
    <w:p w:rsidR="00000000" w:rsidDel="00000000" w:rsidP="00000000" w:rsidRDefault="00000000" w:rsidRPr="00000000" w14:paraId="00000049">
      <w:pPr>
        <w:spacing w:after="240" w:lineRule="auto"/>
        <w:jc w:val="both"/>
        <w:rPr/>
      </w:pPr>
      <w:r w:rsidDel="00000000" w:rsidR="00000000" w:rsidRPr="00000000">
        <w:rPr>
          <w:rtl w:val="0"/>
        </w:rPr>
        <w:t xml:space="preserve">Volume estimado: dados mensais de 5 anos cobrindo as 27 Unidades da Federação para a parte quantitativa, somados a dezenas de PDFs institucionais e séries semanais de busca por estado para a parte textual — conjunto viável de processar sem infraestrutura especial.</w:t>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6. FONTE DOS DADOS</w:t>
      </w:r>
    </w:p>
    <w:p w:rsidR="00000000" w:rsidDel="00000000" w:rsidP="00000000" w:rsidRDefault="00000000" w:rsidRPr="00000000" w14:paraId="0000004B">
      <w:pPr>
        <w:spacing w:after="240" w:before="240" w:lineRule="auto"/>
        <w:ind w:left="0" w:firstLine="0"/>
        <w:jc w:val="both"/>
        <w:rPr/>
      </w:pPr>
      <w:r w:rsidDel="00000000" w:rsidR="00000000" w:rsidRPr="00000000">
        <w:rPr>
          <w:rtl w:val="0"/>
        </w:rPr>
        <w:t xml:space="preserve">Os dados serão obtidos exclusivamente através de bases públicas e gratuitas:</w:t>
      </w:r>
    </w:p>
    <w:p w:rsidR="00000000" w:rsidDel="00000000" w:rsidP="00000000" w:rsidRDefault="00000000" w:rsidRPr="00000000" w14:paraId="0000004C">
      <w:pPr>
        <w:numPr>
          <w:ilvl w:val="0"/>
          <w:numId w:val="3"/>
        </w:numPr>
        <w:spacing w:after="0" w:afterAutospacing="0" w:before="240" w:lineRule="auto"/>
        <w:ind w:left="720" w:hanging="360"/>
        <w:jc w:val="both"/>
      </w:pPr>
      <w:r w:rsidDel="00000000" w:rsidR="00000000" w:rsidRPr="00000000">
        <w:rPr>
          <w:b w:val="1"/>
          <w:bCs w:val="1"/>
          <w:rtl w:val="0"/>
        </w:rPr>
        <w:t xml:space="preserve">INMET — Banco de Dados Meteorológicos (BDMEP):</w:t>
      </w:r>
      <w:r w:rsidDel="00000000" w:rsidR="00000000" w:rsidRPr="00000000">
        <w:rPr>
          <w:rFonts w:ascii="Arial Unicode MS" w:cs="Arial Unicode MS" w:eastAsia="Arial Unicode MS" w:hAnsi="Arial Unicode MS"/>
          <w:rtl w:val="0"/>
        </w:rPr>
        <w:t xml:space="preserve"> séries históricas de temperatura média mensal e temperatura mínima diária por estação meteorológica, cobrindo todas as regiões do Brasil → bdmep.inmet.gov.br</w:t>
      </w:r>
    </w:p>
    <w:p w:rsidR="00000000" w:rsidDel="00000000" w:rsidP="00000000" w:rsidRDefault="00000000" w:rsidRPr="00000000" w14:paraId="0000004D">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IBGE — Censo Demográfico 2022 (tabelas agregadas do Universo via SIDRA):</w:t>
      </w:r>
      <w:r w:rsidDel="00000000" w:rsidR="00000000" w:rsidRPr="00000000">
        <w:rPr>
          <w:rtl w:val="0"/>
        </w:rPr>
        <w:t xml:space="preserve"> tipo de domicílio (tabela 6326), forma de abastecimento de água (tabela 6803) e número de moradores (tabela 4712), disponíveis por Unidade da Federação. Os microdados da amostra, que incluiriam a variável de tipo de aquecimento de água, não foram liberados pelo IBGE até a data de desenvolvimento deste projeto.</w:t>
      </w:r>
    </w:p>
    <w:p w:rsidR="00000000" w:rsidDel="00000000" w:rsidP="00000000" w:rsidRDefault="00000000" w:rsidRPr="00000000" w14:paraId="0000004E">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PNAD Contínua — IBGE (via SIDRA, tabela 7395, variável 4196):</w:t>
      </w:r>
      <w:r w:rsidDel="00000000" w:rsidR="00000000" w:rsidRPr="00000000">
        <w:rPr>
          <w:rtl w:val="0"/>
        </w:rPr>
        <w:t xml:space="preserve"> rendimento médio mensal domiciliar per capita por Unidade da Federação, utilizado em substituição aos dados de rendimento do Censo 2022, ainda indisponíveis na amostra.</w:t>
      </w:r>
    </w:p>
    <w:p w:rsidR="00000000" w:rsidDel="00000000" w:rsidP="00000000" w:rsidRDefault="00000000" w:rsidRPr="00000000" w14:paraId="0000004F">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EPE (Empresa de Pesquisa Energética):</w:t>
      </w:r>
      <w:r w:rsidDel="00000000" w:rsidR="00000000" w:rsidRPr="00000000">
        <w:rPr>
          <w:rtl w:val="0"/>
        </w:rPr>
        <w:t xml:space="preserve"> consumo residencial de energia elétrica por Unidade da Federação (UF), utilizado como proxy para a intensidade de uso de chuveiro elétrico nas diferentes regiões.</w:t>
      </w:r>
    </w:p>
    <w:p w:rsidR="00000000" w:rsidDel="00000000" w:rsidP="00000000" w:rsidRDefault="00000000" w:rsidRPr="00000000" w14:paraId="00000050">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CRESESB / INMET:</w:t>
      </w:r>
      <w:r w:rsidDel="00000000" w:rsidR="00000000" w:rsidRPr="00000000">
        <w:rPr>
          <w:rtl w:val="0"/>
        </w:rPr>
        <w:t xml:space="preserve"> dados de irradiação solar global horizontal por região, para avaliação da viabilidade técnica de sistemas solares por Unidade da Federação (UF).</w:t>
      </w:r>
    </w:p>
    <w:p w:rsidR="00000000" w:rsidDel="00000000" w:rsidP="00000000" w:rsidRDefault="00000000" w:rsidRPr="00000000" w14:paraId="00000051">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PROCEL / EPE / ANEEL — relatórios anuais em PDF</w:t>
      </w:r>
      <w:r w:rsidDel="00000000" w:rsidR="00000000" w:rsidRPr="00000000">
        <w:rPr>
          <w:rtl w:val="0"/>
        </w:rPr>
        <w:t xml:space="preserve">: publicações institucionais do período de 2010 a 2024, utilizadas para mineração de texto e geração de nuvens de palavras por período, permitindo mapear a evolução do vocabulário do setor energético brasileiro em relação às tecnologias de aquecimento de água.</w:t>
      </w:r>
    </w:p>
    <w:p w:rsidR="00000000" w:rsidDel="00000000" w:rsidP="00000000" w:rsidRDefault="00000000" w:rsidRPr="00000000" w14:paraId="0000005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Google Trends (via biblioteca pytrends):</w:t>
      </w:r>
      <w:r w:rsidDel="00000000" w:rsidR="00000000" w:rsidRPr="00000000">
        <w:rPr>
          <w:rtl w:val="0"/>
        </w:rPr>
        <w:t xml:space="preserve"> volume de buscas semanais no Brasil para os termos "aquecimento solar", "aquecimento de piscina", "aquecedor solar", "chuveiro elétrico" e "bomba de calor" por estado, nos últimos 5 anos.</w:t>
      </w:r>
    </w:p>
    <w:p w:rsidR="00000000" w:rsidDel="00000000" w:rsidP="00000000" w:rsidRDefault="00000000" w:rsidRPr="00000000" w14:paraId="00000053">
      <w:pPr>
        <w:numPr>
          <w:ilvl w:val="0"/>
          <w:numId w:val="3"/>
        </w:numPr>
        <w:spacing w:after="240" w:before="0" w:beforeAutospacing="0" w:lineRule="auto"/>
        <w:ind w:left="720" w:hanging="360"/>
        <w:jc w:val="both"/>
      </w:pPr>
      <w:r w:rsidDel="00000000" w:rsidR="00000000" w:rsidRPr="00000000">
        <w:rPr>
          <w:b w:val="1"/>
          <w:bCs w:val="1"/>
          <w:rtl w:val="0"/>
        </w:rPr>
        <w:t xml:space="preserve">When2Heat (Ruhnau et al., 2019):</w:t>
      </w:r>
      <w:r w:rsidDel="00000000" w:rsidR="00000000" w:rsidRPr="00000000">
        <w:rPr>
          <w:rtl w:val="0"/>
        </w:rPr>
        <w:t xml:space="preserve"> utilizado como referência metodológica. As equações de COP por tipo de bomba de calor publicadas no artigo são aplicadas sobre os dados de temperatura do INMET para gerar uma proxy regional do COP de bombas de calor do tipo ar-água no contexto brasileiro.</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7. ETAPAS DO PROJETO</w:t>
      </w:r>
    </w:p>
    <w:p w:rsidR="00000000" w:rsidDel="00000000" w:rsidP="00000000" w:rsidRDefault="00000000" w:rsidRPr="00000000" w14:paraId="00000055">
      <w:pPr>
        <w:numPr>
          <w:ilvl w:val="0"/>
          <w:numId w:val="2"/>
        </w:numPr>
        <w:spacing w:after="0" w:afterAutospacing="0" w:before="240" w:lineRule="auto"/>
        <w:ind w:left="720" w:hanging="360"/>
        <w:jc w:val="both"/>
        <w:rPr>
          <w:u w:val="none"/>
        </w:rPr>
      </w:pPr>
      <w:r w:rsidDel="00000000" w:rsidR="00000000" w:rsidRPr="00000000">
        <w:rPr>
          <w:b w:val="1"/>
          <w:bCs w:val="1"/>
          <w:rtl w:val="0"/>
        </w:rPr>
        <w:t xml:space="preserve">Coleta dos dados quantitativos</w:t>
      </w:r>
      <w:r w:rsidDel="00000000" w:rsidR="00000000" w:rsidRPr="00000000">
        <w:rPr>
          <w:rtl w:val="0"/>
        </w:rPr>
        <w:t xml:space="preserve"> Download das séries climáticas do INMET, tabelas agregadas do Censo 2022 do IBGE (via SIDRA) e dados de consumo da ANEEL/EPE. As curvas de COP publicadas no When2Heat são lidas como parâmetros de entrada para o cálculo da proxy regional.</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Coleta e mineração de texto dos relatórios técnicos Download dos PDFs institucionais do PROCEL, EPE e ANEEL referentes ao período de 2010 a 2024. Extração de texto com pdfplumber, limpeza com nltk (remoção de stopwords em português e termos irrelevantes) e contagem de frequência dos termos-chave por ano. As nuvens de palavras são geradas por período — uma para 2010–2015, uma para 2016–2020 e uma para 2021–2024 — permitindo visualizar a evolução do vocabulário institucional do setor ao longo do tempo.</w:t>
      </w:r>
    </w:p>
    <w:p w:rsidR="00000000" w:rsidDel="00000000" w:rsidP="00000000" w:rsidRDefault="00000000" w:rsidRPr="00000000" w14:paraId="00000057">
      <w:pPr>
        <w:numPr>
          <w:ilvl w:val="0"/>
          <w:numId w:val="2"/>
        </w:numPr>
        <w:spacing w:after="0" w:afterAutospacing="0"/>
        <w:ind w:left="720" w:hanging="360"/>
      </w:pPr>
      <w:r w:rsidDel="00000000" w:rsidR="00000000" w:rsidRPr="00000000">
        <w:rPr>
          <w:rtl w:val="0"/>
        </w:rPr>
        <w:t xml:space="preserve">Coleta de tendências de busca via Google Trends Via biblioteca pytrends, coleta do volume de buscas semanais no Brasil para os termos "aquecimento solar", "aquecimento de piscina", "aquecedor solar", "chuveiro elétrico" e "bomba de calor" por estado, nos últimos 5 anos. Os dados são organizados em série temporal para análise de tendência e cruzados com o perfil climático regional identificado na etapa quantitativa.</w:t>
      </w:r>
    </w:p>
    <w:p w:rsidR="00000000" w:rsidDel="00000000" w:rsidP="00000000" w:rsidRDefault="00000000" w:rsidRPr="00000000" w14:paraId="00000058">
      <w:pPr>
        <w:numPr>
          <w:ilvl w:val="0"/>
          <w:numId w:val="2"/>
        </w:numPr>
        <w:spacing w:after="0" w:afterAutospacing="0" w:before="0" w:beforeAutospacing="0" w:lineRule="auto"/>
        <w:ind w:left="720" w:hanging="360"/>
        <w:jc w:val="both"/>
        <w:rPr>
          <w:u w:val="none"/>
        </w:rPr>
      </w:pPr>
      <w:r w:rsidDel="00000000" w:rsidR="00000000" w:rsidRPr="00000000">
        <w:rPr>
          <w:b w:val="1"/>
          <w:bCs w:val="1"/>
          <w:rtl w:val="0"/>
        </w:rPr>
        <w:t xml:space="preserve">Limpeza e tratamento dos dados quantitativos</w:t>
      </w:r>
      <w:r w:rsidDel="00000000" w:rsidR="00000000" w:rsidRPr="00000000">
        <w:rPr>
          <w:rtl w:val="0"/>
        </w:rPr>
        <w:t xml:space="preserve"> Padronização de nomes e siglas de Unidades da Federação (UF) — o maior desafio de integração de dados brasileiros — tratamento de valores ausentes nas séries climáticas e junção das tabelas pela Unidade da Federação (UF). Os tipos de edificação do Censo são agrupados nas categorias equivalentes às do When2Heat: unifamiliar, multifamiliar e comercial.</w:t>
      </w:r>
    </w:p>
    <w:p w:rsidR="00000000" w:rsidDel="00000000" w:rsidP="00000000" w:rsidRDefault="00000000" w:rsidRPr="00000000" w14:paraId="00000059">
      <w:pPr>
        <w:numPr>
          <w:ilvl w:val="0"/>
          <w:numId w:val="2"/>
        </w:numPr>
        <w:spacing w:after="0" w:afterAutospacing="0" w:before="0" w:beforeAutospacing="0" w:lineRule="auto"/>
        <w:ind w:left="720" w:hanging="360"/>
        <w:jc w:val="both"/>
        <w:rPr>
          <w:u w:val="none"/>
        </w:rPr>
      </w:pPr>
      <w:r w:rsidDel="00000000" w:rsidR="00000000" w:rsidRPr="00000000">
        <w:rPr>
          <w:b w:val="1"/>
          <w:bCs w:val="1"/>
          <w:rtl w:val="0"/>
        </w:rPr>
        <w:t xml:space="preserve">Adaptação metodológica do When2Heat</w:t>
      </w:r>
      <w:r w:rsidDel="00000000" w:rsidR="00000000" w:rsidRPr="00000000">
        <w:rPr>
          <w:rtl w:val="0"/>
        </w:rPr>
        <w:t xml:space="preserve"> Esta é a etapa mais original do projeto. As equações de COP publicadas no artigo (Equação 4 do paper) são aplicadas usando as temperaturas médias mensais do INMET como input, gerando uma proxy regional do COP de bombas de calor do tipo ar-água para cada Unidade da Federação (UF). Em termos práticos, é como "traduzir" a calculadora europeia para o contexto brasileiro — os parâmetros das curvas permanecem os mesmos, mas as temperaturas de entrada são substituídas pelos dados climáticos nacionais.</w:t>
      </w:r>
    </w:p>
    <w:p w:rsidR="00000000" w:rsidDel="00000000" w:rsidP="00000000" w:rsidRDefault="00000000" w:rsidRPr="00000000" w14:paraId="0000005A">
      <w:pPr>
        <w:numPr>
          <w:ilvl w:val="0"/>
          <w:numId w:val="2"/>
        </w:numPr>
        <w:spacing w:after="0" w:afterAutospacing="0" w:before="0" w:beforeAutospacing="0" w:lineRule="auto"/>
        <w:ind w:left="720" w:hanging="360"/>
        <w:jc w:val="both"/>
        <w:rPr>
          <w:u w:val="none"/>
        </w:rPr>
      </w:pPr>
      <w:r w:rsidDel="00000000" w:rsidR="00000000" w:rsidRPr="00000000">
        <w:rPr>
          <w:b w:val="1"/>
          <w:bCs w:val="1"/>
          <w:rtl w:val="0"/>
        </w:rPr>
        <w:t xml:space="preserve">Análise exploratória (EDA)</w:t>
      </w:r>
      <w:r w:rsidDel="00000000" w:rsidR="00000000" w:rsidRPr="00000000">
        <w:rPr>
          <w:rtl w:val="0"/>
        </w:rPr>
        <w:t xml:space="preserve"> Estatísticas descritivas por região, correlação entre temperatura e consumo elétrico residencial, distribuição da oportunidade de conversão e da aptidão de cada tecnologia (solar e bomba de calor) por faixa de renda e região, análise de sazonalidade mensal e cruzamento entre tendências de busca do consumidor e COP estimado por região.</w:t>
      </w:r>
    </w:p>
    <w:p w:rsidR="00000000" w:rsidDel="00000000" w:rsidP="00000000" w:rsidRDefault="00000000" w:rsidRPr="00000000" w14:paraId="0000005B">
      <w:pPr>
        <w:numPr>
          <w:ilvl w:val="0"/>
          <w:numId w:val="2"/>
        </w:numPr>
        <w:spacing w:after="0" w:afterAutospacing="0" w:before="0" w:beforeAutospacing="0" w:lineRule="auto"/>
        <w:ind w:left="720" w:hanging="360"/>
        <w:jc w:val="both"/>
        <w:rPr>
          <w:u w:val="none"/>
        </w:rPr>
      </w:pPr>
      <w:r w:rsidDel="00000000" w:rsidR="00000000" w:rsidRPr="00000000">
        <w:rPr>
          <w:b w:val="1"/>
          <w:bCs w:val="1"/>
          <w:rtl w:val="0"/>
        </w:rPr>
        <w:t xml:space="preserve">Clusterização de Unidades da Federação (UF)</w:t>
      </w:r>
      <w:r w:rsidDel="00000000" w:rsidR="00000000" w:rsidRPr="00000000">
        <w:rPr>
          <w:rtl w:val="0"/>
        </w:rPr>
        <w:t xml:space="preserve"> Aplicação de K-Means agrupando UFs por: aptidão solar, proxy de COP (eficiência da bomba de calor), consumo residencial por domicílio e renda per capita. O resultado são segmentos acionáveis — regiões onde a troca do chuveiro elétrico por bomba de calor ou sistema solar seria mais eficiente, economicamente viável e já despertou interesse do consumidor. Complementarmente, dois modelos supervisionados aprofundam a análise: uma regressão (Linear e Random Forest) modela o consumo residencial em função do clima, com avaliação por MAE e RMSE, e uma árvore de decisão extrai as regras que descrevem cada segmento comercial.</w:t>
      </w:r>
    </w:p>
    <w:p w:rsidR="00000000" w:rsidDel="00000000" w:rsidP="00000000" w:rsidRDefault="00000000" w:rsidRPr="00000000" w14:paraId="0000005C">
      <w:pPr>
        <w:numPr>
          <w:ilvl w:val="0"/>
          <w:numId w:val="2"/>
        </w:numPr>
        <w:spacing w:after="0" w:afterAutospacing="0" w:before="0" w:beforeAutospacing="0" w:lineRule="auto"/>
        <w:ind w:left="720" w:hanging="360"/>
        <w:jc w:val="both"/>
        <w:rPr>
          <w:u w:val="none"/>
        </w:rPr>
      </w:pPr>
      <w:r w:rsidDel="00000000" w:rsidR="00000000" w:rsidRPr="00000000">
        <w:rPr>
          <w:b w:val="1"/>
          <w:bCs w:val="1"/>
          <w:rtl w:val="0"/>
        </w:rPr>
        <w:t xml:space="preserve">Visualização no Power BI ou Tableau</w:t>
      </w:r>
      <w:r w:rsidDel="00000000" w:rsidR="00000000" w:rsidRPr="00000000">
        <w:rPr>
          <w:rtl w:val="0"/>
        </w:rPr>
        <w:t xml:space="preserve"> Dashboard interativo com mapa do Brasil segmentado por cluster, gráficos de sazonalidade do consumo, comparativo de COP estimado por região ao longo dos meses, evolução temporal das tendências de busca por estado e painel de viabilidade comparativa entre os sistemas de aquecimento. As nuvens de palavras dos relatórios são incorporadas como elemento visual complementar no relatório final.</w:t>
      </w:r>
    </w:p>
    <w:p w:rsidR="00000000" w:rsidDel="00000000" w:rsidP="00000000" w:rsidRDefault="00000000" w:rsidRPr="00000000" w14:paraId="0000005D">
      <w:pPr>
        <w:numPr>
          <w:ilvl w:val="0"/>
          <w:numId w:val="2"/>
        </w:numPr>
        <w:spacing w:after="240" w:before="0" w:beforeAutospacing="0" w:lineRule="auto"/>
        <w:ind w:left="720" w:hanging="360"/>
        <w:jc w:val="both"/>
        <w:rPr>
          <w:u w:val="none"/>
        </w:rPr>
      </w:pPr>
      <w:r w:rsidDel="00000000" w:rsidR="00000000" w:rsidRPr="00000000">
        <w:rPr>
          <w:b w:val="1"/>
          <w:bCs w:val="1"/>
          <w:rtl w:val="0"/>
        </w:rPr>
        <w:t xml:space="preserve">Interpretação e relatório</w:t>
      </w:r>
      <w:r w:rsidDel="00000000" w:rsidR="00000000" w:rsidRPr="00000000">
        <w:rPr>
          <w:rtl w:val="0"/>
        </w:rPr>
        <w:t xml:space="preserve"> Tradução dos resultados em linguagem de negócio, integrando os três planos de análise — quantitativo, institucional e comportamental do consumidor — com recomendações de priorização regional para a empresa.</w: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8. TÉCNICAS E FERRAMENTAS PREVISTAS</w:t>
      </w:r>
    </w:p>
    <w:p>
      <w:pPr>
        <w:jc w:val="both"/>
      </w:pPr>
      <w:r>
        <w:rPr>
          <w:rtl w:val="0"/>
        </w:rPr>
        <w:t xml:space="preserve">As ferramentas foram escolhidas conforme as etapas do projeto, priorizando bibliotecas livres em Python (Google Colab):</w:t>
      </w:r>
    </w:p>
    <w:p>
      <w:pPr>
        <w:jc w:val="both"/>
      </w:pPr>
      <w:r>
        <w:rPr>
          <w:b w:val="1"/>
          <w:bCs w:val="1"/>
          <w:rtl w:val="0"/>
        </w:rPr>
        <w:t xml:space="preserve">Coleta dos dados: </w:t>
      </w:r>
      <w:r>
        <w:rPr>
          <w:rtl w:val="0"/>
        </w:rPr>
        <w:t xml:space="preserve">sidrapy (IBGE/SIDRA — Censo e PNAD), pandas (planilha EPE), zipfile (séries horárias do INMET), pdfplumber (relatórios institucionais em PDF) e pytrends (Google Trends).</w:t>
      </w:r>
    </w:p>
    <w:p>
      <w:pPr>
        <w:jc w:val="both"/>
      </w:pPr>
      <w:r>
        <w:rPr>
          <w:b w:val="1"/>
          <w:bCs w:val="1"/>
          <w:rtl w:val="0"/>
        </w:rPr>
        <w:t xml:space="preserve">Limpeza e tratamento: </w:t>
      </w:r>
      <w:r>
        <w:rPr>
          <w:rtl w:val="0"/>
        </w:rPr>
        <w:t xml:space="preserve">pandas e NumPy — remoção de duplicatas, tratamento de valores ausentes, conversão de tipos, padronização de nomes e siglas de UF e criação de variáveis derivadas (proxy de COP, aptidão solar, consumo por domicílio e índice de oportunidade de conversão).</w:t>
      </w:r>
    </w:p>
    <w:p>
      <w:pPr>
        <w:jc w:val="both"/>
      </w:pPr>
      <w:r>
        <w:rPr>
          <w:b w:val="1"/>
          <w:bCs w:val="1"/>
          <w:rtl w:val="0"/>
        </w:rPr>
        <w:t xml:space="preserve">Mineração de texto: </w:t>
      </w:r>
      <w:r>
        <w:rPr>
          <w:rtl w:val="0"/>
        </w:rPr>
        <w:t xml:space="preserve">spaCy (lematização em português), WordCloud (nuvens de palavras por período) e contagem de termos compostos do setor.</w:t>
      </w:r>
    </w:p>
    <w:p>
      <w:pPr>
        <w:jc w:val="both"/>
      </w:pPr>
      <w:r>
        <w:rPr>
          <w:b w:val="1"/>
          <w:bCs w:val="1"/>
          <w:rtl w:val="0"/>
        </w:rPr>
        <w:t xml:space="preserve">Análise exploratória e visualização: </w:t>
      </w:r>
      <w:r>
        <w:rPr>
          <w:rtl w:val="0"/>
        </w:rPr>
        <w:t xml:space="preserve">Matplotlib — estatísticas descritivas, matriz de correlação (heatmap), dispersão, boxplot e séries temporais.</w:t>
      </w:r>
    </w:p>
    <w:p>
      <w:pPr>
        <w:jc w:val="both"/>
      </w:pPr>
      <w:r>
        <w:rPr>
          <w:b w:val="1"/>
          <w:bCs w:val="1"/>
          <w:rtl w:val="0"/>
        </w:rPr>
        <w:t xml:space="preserve">Modelagem (Machine Learning): </w:t>
      </w:r>
      <w:r>
        <w:rPr>
          <w:rtl w:val="0"/>
        </w:rPr>
        <w:t xml:space="preserve">scikit-learn — StandardScaler (padronização); K-Means para clusterização das UFs (escolha de k pelo método do cotovelo e silhueta); Regressão Linear e Random Forest para modelar o consumo residencial em função do clima (métricas MAE e RMSE); e Árvore de Decisão para extrair regras interpretáveis dos segmentos comerciais.</w:t>
      </w:r>
    </w:p>
    <w:p>
      <w:pPr>
        <w:jc w:val="both"/>
      </w:pPr>
      <w:r>
        <w:rPr>
          <w:b w:val="1"/>
          <w:bCs w:val="1"/>
          <w:rtl w:val="0"/>
        </w:rPr>
        <w:t xml:space="preserve">Referência metodológica: </w:t>
      </w:r>
      <w:r>
        <w:rPr>
          <w:rtl w:val="0"/>
        </w:rPr>
        <w:t xml:space="preserve">When2Heat (Ruhnau et al., 2019) — equações de COP de bombas de calor, adaptadas ao Brasil com as temperaturas do INMET e complementadas por um índice de aptidão solar a partir da irradiação.</w:t>
      </w:r>
    </w:p>
    <w:p>
      <w:pPr>
        <w:jc w:val="both"/>
      </w:pPr>
      <w:r>
        <w:rPr>
          <w:b w:val="1"/>
          <w:bCs w:val="1"/>
          <w:rtl w:val="0"/>
        </w:rPr>
        <w:t xml:space="preserve">Visualização final: </w:t>
      </w:r>
      <w:r>
        <w:rPr>
          <w:rtl w:val="0"/>
        </w:rPr>
        <w:t xml:space="preserve">Power BI ou Tableau para o dashboard interativo; notebooks no Google Colab como entrega reprodutível.</w:t>
      </w:r>
    </w:p>
    <w:p w:rsidR="00000000" w:rsidDel="00000000" w:rsidP="00000000" w:rsidRDefault="00000000" w:rsidRPr="00000000" w14:paraId="0000005F">
      <w:pPr>
        <w:spacing w:after="240" w:lineRule="auto"/>
        <w:ind w:left="720" w:firstLine="0"/>
        <w:jc w:val="both"/>
        <w:rPr>
          <w:b w:val="1"/>
          <w:bCs w:val="1"/>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9. RESULTADOS ESPERADOS</w:t>
      </w:r>
    </w:p>
    <w:p>
      <w:pPr>
        <w:jc w:val="both"/>
      </w:pPr>
      <w:r>
        <w:rPr>
          <w:rtl w:val="0"/>
        </w:rPr>
        <w:t xml:space="preserve">Espera-se entregar, a partir de bases públicas, os seguintes resultados:</w:t>
      </w:r>
    </w:p>
    <w:p>
      <w:pPr>
        <w:jc w:val="both"/>
      </w:pPr>
      <w:r>
        <w:rPr>
          <w:rtl w:val="0"/>
        </w:rPr>
        <w:t xml:space="preserve">• Uma tabela-mestre integrada por UF cruzando clima, perfil domiciliar, renda, consumo de energia e interesse do consumidor.</w:t>
      </w:r>
    </w:p>
    <w:p>
      <w:pPr>
        <w:jc w:val="both"/>
      </w:pPr>
      <w:r>
        <w:rPr>
          <w:rtl w:val="0"/>
        </w:rPr>
        <w:t xml:space="preserve">• Indicadores regionais de aptidão para as duas linhas de produto da empresa: COP (bomba de calor) e aptidão solar (coletor), além de uma métrica de oportunidade de conversão do chuveiro elétrico.</w:t>
      </w:r>
    </w:p>
    <w:p>
      <w:pPr>
        <w:jc w:val="both"/>
      </w:pPr>
      <w:r>
        <w:rPr>
          <w:rtl w:val="0"/>
        </w:rPr>
        <w:t xml:space="preserve">• Segmentação das 27 UFs em perfis comerciais acionáveis por K-Means: Prêmio premium, Vitrine solar, Fronteira morna e Baixa prioridade.</w:t>
      </w:r>
    </w:p>
    <w:p>
      <w:pPr>
        <w:jc w:val="both"/>
      </w:pPr>
      <w:r>
        <w:rPr>
          <w:rtl w:val="0"/>
        </w:rPr>
        <w:t xml:space="preserve">• Identificação das regiões prioritárias para cada produto e do descompasso entre o potencial técnico solar (alto no Nordeste) e a demanda real do consumidor — uma oportunidade de marketing educativo.</w:t>
      </w:r>
    </w:p>
    <w:p>
      <w:pPr>
        <w:jc w:val="both"/>
      </w:pPr>
      <w:r>
        <w:rPr>
          <w:rtl w:val="0"/>
        </w:rPr>
        <w:t xml:space="preserve">• Leitura da evolução do discurso institucional (PROCEL, EPE e ANEEL) sobre tecnologias de aquecimento e do interesse do consumidor (Google Trends), cruzados com o perfil climático regional.</w:t>
      </w:r>
    </w:p>
    <w:p>
      <w:pPr>
        <w:jc w:val="both"/>
      </w:pPr>
      <w:r>
        <w:rPr>
          <w:rtl w:val="0"/>
        </w:rPr>
        <w:t xml:space="preserve">• Dashboard interativo e relatório com recomendações de priorização regional para as áreas comercial e de marketing.</w:t>
      </w:r>
    </w:p>
    <w:p>
      <w:pPr>
        <w:jc w:val="both"/>
      </w:pPr>
      <w:r>
        <w:rPr>
          <w:rtl w:val="0"/>
        </w:rPr>
        <w:t xml:space="preserve">• Modelos complementares de Machine Learning: regressão (clima → consumo, com MAE/RMSE) confirmando a temperatura como principal preditor, e árvore de decisão traduzindo os segmentos em regras objetivas de classificação.</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