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Calibri" w:cs="Calibri" w:eastAsia="Calibri" w:hAnsi="Calibri"/>
          <w:b/>
          <w:bCs/>
          <w:color w:val="1F3A5F"/>
          <w:sz w:val="34"/>
          <w:szCs w:val="34"/>
        </w:rPr>
        <w:t xml:space="preserve">FGC — Serviços, Preços e Projeto de Planos</w:t>
      </w:r>
    </w:p>
    <w:p>
      <w:pPr>
        <w:pBdr>
          <w:bottom w:val="single" w:color="2E6DA4" w:sz="12" w:space="2"/>
        </w:pBdr>
        <w:spacing w:after="200"/>
      </w:pPr>
      <w:r>
        <w:t xml:space="preserve"/>
      </w:r>
    </w:p>
    <w:p>
      <w:pPr>
        <w:spacing w:after="120" w:before="60"/>
      </w:pPr>
      <w:r>
        <w:rPr>
          <w:rFonts w:ascii="Calibri" w:cs="Calibri" w:eastAsia="Calibri" w:hAnsi="Calibri"/>
          <w:color w:val="000000"/>
          <w:sz w:val="20"/>
          <w:szCs w:val="20"/>
        </w:rPr>
        <w:t xml:space="preserve">Export do Gerador de Propostas · 10/09/2026 · valores em USD</w:t>
      </w:r>
    </w:p>
    <w:p>
      <w:pPr>
        <w:spacing w:after="120" w:before="60"/>
      </w:pPr>
      <w:r>
        <w:rPr>
          <w:rFonts w:ascii="Calibri" w:cs="Calibri" w:eastAsia="Calibri" w:hAnsi="Calibri"/>
          <w:color w:val="000000"/>
          <w:sz w:val="20"/>
          <w:szCs w:val="20"/>
        </w:rPr>
        <w:t xml:space="preserve">São </w:t>
      </w:r>
      <w:r>
        <w:rPr>
          <w:rFonts w:ascii="Calibri" w:cs="Calibri" w:eastAsia="Calibri" w:hAnsi="Calibri"/>
          <w:b/>
          <w:bCs/>
          <w:color w:val="000000"/>
          <w:sz w:val="20"/>
          <w:szCs w:val="20"/>
        </w:rPr>
        <w:t xml:space="preserve">9 tipos de serviço</w:t>
      </w:r>
      <w:r>
        <w:rPr>
          <w:rFonts w:ascii="Calibri" w:cs="Calibri" w:eastAsia="Calibri" w:hAnsi="Calibri"/>
          <w:color w:val="000000"/>
          <w:sz w:val="20"/>
          <w:szCs w:val="20"/>
        </w:rPr>
        <w:t xml:space="preserve">. O que multiplica é a jurisdição: os mesmos 4 serviços</w:t>
      </w:r>
    </w:p>
    <w:p>
      <w:pPr>
        <w:spacing w:after="120" w:before="60"/>
      </w:pPr>
      <w:r>
        <w:rPr>
          <w:rFonts w:ascii="Calibri" w:cs="Calibri" w:eastAsia="Calibri" w:hAnsi="Calibri"/>
          <w:color w:val="000000"/>
          <w:sz w:val="20"/>
          <w:szCs w:val="20"/>
        </w:rPr>
        <w:t xml:space="preserve">básicos existem para 10 jurisdições diferentes. Por isso a lista longa.</w:t>
      </w:r>
    </w:p>
    <w:p>
      <w:pPr>
        <w:pBdr>
          <w:bottom w:val="single" w:color="C9D4E0" w:sz="6" w:space="1"/>
        </w:pBdr>
        <w:spacing w:after="200" w:before="160"/>
      </w:pPr>
      <w:r>
        <w:t xml:space="preserve"/>
      </w:r>
    </w:p>
    <w:p>
      <w:r>
        <w:br w:type="page"/>
      </w:r>
    </w:p>
    <w:p>
      <w:pPr>
        <w:pStyle w:val="Heading1"/>
        <w:spacing w:after="200" w:before="240"/>
      </w:pPr>
      <w:r>
        <w:rPr>
          <w:rFonts w:ascii="Calibri" w:cs="Calibri" w:eastAsia="Calibri" w:hAnsi="Calibri"/>
          <w:b/>
          <w:bCs/>
          <w:color w:val="1F3A5F"/>
          <w:sz w:val="34"/>
          <w:szCs w:val="34"/>
        </w:rPr>
        <w:t xml:space="preserve">PARTE 1 — O que a FGC vende hoje</w:t>
      </w:r>
    </w:p>
    <w:p>
      <w:pPr>
        <w:pBdr>
          <w:bottom w:val="single" w:color="2E6DA4" w:sz="12" w:space="2"/>
        </w:pBdr>
        <w:spacing w:after="200"/>
      </w:pPr>
      <w:r>
        <w:t xml:space="preserve"/>
      </w:r>
    </w:p>
    <w:p>
      <w:pPr>
        <w:pStyle w:val="Heading2"/>
        <w:spacing w:after="140" w:before="340"/>
      </w:pPr>
      <w:r>
        <w:rPr>
          <w:rFonts w:ascii="Calibri" w:cs="Calibri" w:eastAsia="Calibri" w:hAnsi="Calibri"/>
          <w:b/>
          <w:bCs/>
          <w:color w:val="1F3A5F"/>
          <w:sz w:val="26"/>
          <w:szCs w:val="26"/>
        </w:rPr>
        <w:t xml:space="preserve">1.1 A matriz — 4 serviços × 10 jurisdições</w:t>
      </w:r>
    </w:p>
    <w:p>
      <w:pPr>
        <w:spacing w:after="120" w:before="60"/>
      </w:pPr>
      <w:r>
        <w:rPr>
          <w:rFonts w:ascii="Calibri" w:cs="Calibri" w:eastAsia="Calibri" w:hAnsi="Calibri"/>
          <w:color w:val="000000"/>
          <w:sz w:val="20"/>
          <w:szCs w:val="20"/>
        </w:rPr>
        <w:t xml:space="preserve">Estes quatro serviços existem para toda jurisdição. É o núcleo do negócio.</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2406"/>
        <w:gridCol w:w="1443"/>
        <w:gridCol w:w="1925"/>
        <w:gridCol w:w="2767"/>
        <w:gridCol w:w="1205"/>
      </w:tblGrid>
      <w:tr>
        <w:trPr>
          <w:tblHeader/>
        </w:trPr>
        <w:tc>
          <w:tcPr>
            <w:tcW w:type="dxa" w:w="2406"/>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Jurisdição</w:t>
            </w:r>
          </w:p>
        </w:tc>
        <w:tc>
          <w:tcPr>
            <w:tcW w:type="dxa" w:w="1443"/>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Constituição</w:t>
            </w:r>
          </w:p>
        </w:tc>
        <w:tc>
          <w:tcPr>
            <w:tcW w:type="dxa" w:w="1925"/>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Manutenção anual</w:t>
            </w:r>
          </w:p>
        </w:tc>
        <w:tc>
          <w:tcPr>
            <w:tcW w:type="dxa" w:w="2767"/>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Transferência de agente</w:t>
            </w:r>
          </w:p>
        </w:tc>
        <w:tc>
          <w:tcPr>
            <w:tcW w:type="dxa" w:w="1205"/>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Dissolução</w:t>
            </w:r>
          </w:p>
        </w:tc>
      </w:tr>
      <w:tr>
        <w:tc>
          <w:tcPr>
            <w:tcW w:type="dxa" w:w="2406"/>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BVI</w:t>
            </w:r>
          </w:p>
        </w:tc>
        <w:tc>
          <w:tcPr>
            <w:tcW w:type="dxa" w:w="1443"/>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2.900</w:t>
            </w:r>
          </w:p>
        </w:tc>
        <w:tc>
          <w:tcPr>
            <w:tcW w:type="dxa" w:w="192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2767"/>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1.200</w:t>
            </w:r>
          </w:p>
        </w:tc>
        <w:tc>
          <w:tcPr>
            <w:tcW w:type="dxa" w:w="120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5.500</w:t>
            </w:r>
          </w:p>
        </w:tc>
      </w:tr>
      <w:tr>
        <w:tc>
          <w:tcPr>
            <w:tcW w:type="dxa" w:w="2406"/>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Bahamas</w:t>
            </w:r>
          </w:p>
        </w:tc>
        <w:tc>
          <w:tcPr>
            <w:tcW w:type="dxa" w:w="1443"/>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2.900</w:t>
            </w:r>
          </w:p>
        </w:tc>
        <w:tc>
          <w:tcPr>
            <w:tcW w:type="dxa" w:w="192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2767"/>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1.200</w:t>
            </w:r>
          </w:p>
        </w:tc>
        <w:tc>
          <w:tcPr>
            <w:tcW w:type="dxa" w:w="120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2.500</w:t>
            </w:r>
          </w:p>
        </w:tc>
      </w:tr>
      <w:tr>
        <w:tc>
          <w:tcPr>
            <w:tcW w:type="dxa" w:w="2406"/>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Cayman</w:t>
            </w:r>
          </w:p>
        </w:tc>
        <w:tc>
          <w:tcPr>
            <w:tcW w:type="dxa" w:w="1443"/>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6.700</w:t>
            </w:r>
          </w:p>
        </w:tc>
        <w:tc>
          <w:tcPr>
            <w:tcW w:type="dxa" w:w="192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4.400</w:t>
            </w:r>
          </w:p>
        </w:tc>
        <w:tc>
          <w:tcPr>
            <w:tcW w:type="dxa" w:w="2767"/>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1.200</w:t>
            </w:r>
          </w:p>
        </w:tc>
        <w:tc>
          <w:tcPr>
            <w:tcW w:type="dxa" w:w="120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2.500</w:t>
            </w:r>
          </w:p>
        </w:tc>
      </w:tr>
      <w:tr>
        <w:tc>
          <w:tcPr>
            <w:tcW w:type="dxa" w:w="2406"/>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Nevis</w:t>
            </w:r>
          </w:p>
        </w:tc>
        <w:tc>
          <w:tcPr>
            <w:tcW w:type="dxa" w:w="1443"/>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2.900</w:t>
            </w:r>
          </w:p>
        </w:tc>
        <w:tc>
          <w:tcPr>
            <w:tcW w:type="dxa" w:w="192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2767"/>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1.200</w:t>
            </w:r>
          </w:p>
        </w:tc>
        <w:tc>
          <w:tcPr>
            <w:tcW w:type="dxa" w:w="120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2.500</w:t>
            </w:r>
          </w:p>
        </w:tc>
      </w:tr>
      <w:tr>
        <w:tc>
          <w:tcPr>
            <w:tcW w:type="dxa" w:w="2406"/>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Florida LLC</w:t>
            </w:r>
          </w:p>
        </w:tc>
        <w:tc>
          <w:tcPr>
            <w:tcW w:type="dxa" w:w="1443"/>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192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750</w:t>
            </w:r>
          </w:p>
        </w:tc>
        <w:tc>
          <w:tcPr>
            <w:tcW w:type="dxa" w:w="2767"/>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c>
          <w:tcPr>
            <w:tcW w:type="dxa" w:w="120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r>
      <w:tr>
        <w:tc>
          <w:tcPr>
            <w:tcW w:type="dxa" w:w="2406"/>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Delaware LLC</w:t>
            </w:r>
          </w:p>
        </w:tc>
        <w:tc>
          <w:tcPr>
            <w:tcW w:type="dxa" w:w="1443"/>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192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1.100</w:t>
            </w:r>
          </w:p>
        </w:tc>
        <w:tc>
          <w:tcPr>
            <w:tcW w:type="dxa" w:w="2767"/>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c>
          <w:tcPr>
            <w:tcW w:type="dxa" w:w="120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2.000</w:t>
            </w:r>
          </w:p>
        </w:tc>
      </w:tr>
      <w:tr>
        <w:tc>
          <w:tcPr>
            <w:tcW w:type="dxa" w:w="2406"/>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New York LLC</w:t>
            </w:r>
          </w:p>
        </w:tc>
        <w:tc>
          <w:tcPr>
            <w:tcW w:type="dxa" w:w="1443"/>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192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900</w:t>
            </w:r>
          </w:p>
        </w:tc>
        <w:tc>
          <w:tcPr>
            <w:tcW w:type="dxa" w:w="2767"/>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c>
          <w:tcPr>
            <w:tcW w:type="dxa" w:w="120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r>
      <w:tr>
        <w:tc>
          <w:tcPr>
            <w:tcW w:type="dxa" w:w="2406"/>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South Dakota LLC</w:t>
            </w:r>
          </w:p>
        </w:tc>
        <w:tc>
          <w:tcPr>
            <w:tcW w:type="dxa" w:w="1443"/>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192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750</w:t>
            </w:r>
          </w:p>
        </w:tc>
        <w:tc>
          <w:tcPr>
            <w:tcW w:type="dxa" w:w="2767"/>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c>
          <w:tcPr>
            <w:tcW w:type="dxa" w:w="120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r>
      <w:tr>
        <w:tc>
          <w:tcPr>
            <w:tcW w:type="dxa" w:w="2406"/>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Wisconsin LLC</w:t>
            </w:r>
          </w:p>
        </w:tc>
        <w:tc>
          <w:tcPr>
            <w:tcW w:type="dxa" w:w="1443"/>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192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750</w:t>
            </w:r>
          </w:p>
        </w:tc>
        <w:tc>
          <w:tcPr>
            <w:tcW w:type="dxa" w:w="2767"/>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c>
          <w:tcPr>
            <w:tcW w:type="dxa" w:w="120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r>
      <w:tr>
        <w:tc>
          <w:tcPr>
            <w:tcW w:type="dxa" w:w="2406"/>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Minnesota LLC</w:t>
            </w:r>
          </w:p>
        </w:tc>
        <w:tc>
          <w:tcPr>
            <w:tcW w:type="dxa" w:w="1443"/>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192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750</w:t>
            </w:r>
          </w:p>
        </w:tc>
        <w:tc>
          <w:tcPr>
            <w:tcW w:type="dxa" w:w="2767"/>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c>
          <w:tcPr>
            <w:tcW w:type="dxa" w:w="120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r>
    </w:tbl>
    <w:p>
      <w:pPr>
        <w:spacing w:after="200"/>
      </w:pPr>
      <w:r>
        <w:t xml:space="preserve"/>
      </w:r>
    </w:p>
    <w:p>
      <w:pPr>
        <w:spacing w:after="120" w:before="60"/>
      </w:pPr>
      <w:r>
        <w:rPr>
          <w:rFonts w:ascii="Calibri" w:cs="Calibri" w:eastAsia="Calibri" w:hAnsi="Calibri"/>
          <w:b/>
          <w:bCs/>
          <w:color w:val="000000"/>
          <w:sz w:val="20"/>
          <w:szCs w:val="20"/>
        </w:rPr>
        <w:t xml:space="preserve">Notas de leitura</w:t>
      </w:r>
    </w:p>
    <w:p>
      <w:pPr>
        <w:pStyle w:val="ListParagraph"/>
        <w:numPr>
          <w:ilvl w:val="0"/>
          <w:numId w:val="2"/>
        </w:numPr>
        <w:spacing w:after="20" w:before="20"/>
      </w:pPr>
      <w:r>
        <w:rPr>
          <w:rFonts w:ascii="Calibri" w:cs="Calibri" w:eastAsia="Calibri" w:hAnsi="Calibri"/>
          <w:b/>
          <w:bCs/>
          <w:color w:val="000000"/>
          <w:sz w:val="20"/>
          <w:szCs w:val="20"/>
        </w:rPr>
        <w:t xml:space="preserve">Constituição e transferência</w:t>
      </w:r>
      <w:r>
        <w:rPr>
          <w:rFonts w:ascii="Calibri" w:cs="Calibri" w:eastAsia="Calibri" w:hAnsi="Calibri"/>
          <w:color w:val="000000"/>
          <w:sz w:val="20"/>
          <w:szCs w:val="20"/>
        </w:rPr>
        <w:t xml:space="preserve"> são pagos na aceitação. </w:t>
      </w:r>
      <w:r>
        <w:rPr>
          <w:rFonts w:ascii="Calibri" w:cs="Calibri" w:eastAsia="Calibri" w:hAnsi="Calibri"/>
          <w:b/>
          <w:bCs/>
          <w:color w:val="000000"/>
          <w:sz w:val="20"/>
          <w:szCs w:val="20"/>
        </w:rPr>
        <w:t xml:space="preserve">Manutenção</w:t>
      </w:r>
      <w:r>
        <w:rPr>
          <w:rFonts w:ascii="Calibri" w:cs="Calibri" w:eastAsia="Calibri" w:hAnsi="Calibri"/>
          <w:color w:val="000000"/>
          <w:sz w:val="20"/>
          <w:szCs w:val="20"/>
        </w:rPr>
        <w:t xml:space="preserve"> é recorrente, a partir do 2º ano.</w:t>
      </w:r>
    </w:p>
    <w:p>
      <w:pPr>
        <w:pStyle w:val="ListParagraph"/>
        <w:numPr>
          <w:ilvl w:val="0"/>
          <w:numId w:val="2"/>
        </w:numPr>
        <w:spacing w:after="20" w:before="20"/>
      </w:pPr>
      <w:r>
        <w:rPr>
          <w:rFonts w:ascii="Calibri" w:cs="Calibri" w:eastAsia="Calibri" w:hAnsi="Calibri"/>
          <w:color w:val="000000"/>
          <w:sz w:val="20"/>
          <w:szCs w:val="20"/>
        </w:rPr>
        <w:t xml:space="preserve">Todas as LLCs americanas custam o mesmo para constituir (1.900). O que muda é a manutenção: Delaware 1.100, NY 900, as demais 750.</w:t>
      </w:r>
    </w:p>
    <w:p>
      <w:pPr>
        <w:pStyle w:val="ListParagraph"/>
        <w:numPr>
          <w:ilvl w:val="0"/>
          <w:numId w:val="2"/>
        </w:numPr>
        <w:spacing w:after="20" w:before="20"/>
      </w:pPr>
      <w:r>
        <w:rPr>
          <w:rFonts w:ascii="Calibri" w:cs="Calibri" w:eastAsia="Calibri" w:hAnsi="Calibri"/>
          <w:color w:val="000000"/>
          <w:sz w:val="20"/>
          <w:szCs w:val="20"/>
        </w:rPr>
        <w:t xml:space="preserve">Cayman é o outlier: 2,3× o preço de constituição das outras PICs e 2,3× a manutenção.</w:t>
      </w:r>
    </w:p>
    <w:p>
      <w:pPr>
        <w:pStyle w:val="ListParagraph"/>
        <w:numPr>
          <w:ilvl w:val="0"/>
          <w:numId w:val="2"/>
        </w:numPr>
        <w:spacing w:after="20" w:before="20"/>
      </w:pPr>
      <w:r>
        <w:rPr>
          <w:rFonts w:ascii="Calibri" w:cs="Calibri" w:eastAsia="Calibri" w:hAnsi="Calibri"/>
          <w:color w:val="000000"/>
          <w:sz w:val="20"/>
          <w:szCs w:val="20"/>
        </w:rPr>
        <w:t xml:space="preserve">Dissolução de BVI (5.500) custa quase o dobro de Bahamas, Cayman e Nevis. Delaware (2.000) custa 2,5× as outras LLCs.</w:t>
      </w:r>
    </w:p>
    <w:p>
      <w:pPr>
        <w:pStyle w:val="ListParagraph"/>
        <w:numPr>
          <w:ilvl w:val="0"/>
          <w:numId w:val="2"/>
        </w:numPr>
        <w:spacing w:after="20" w:before="20"/>
      </w:pPr>
      <w:r>
        <w:rPr>
          <w:rFonts w:ascii="Calibri" w:cs="Calibri" w:eastAsia="Calibri" w:hAnsi="Calibri"/>
          <w:color w:val="000000"/>
          <w:sz w:val="20"/>
          <w:szCs w:val="20"/>
        </w:rPr>
        <w:t xml:space="preserve">O gerador também aceita </w:t>
      </w:r>
      <w:r>
        <w:rPr>
          <w:rFonts w:ascii="Calibri" w:cs="Calibri" w:eastAsia="Calibri" w:hAnsi="Calibri"/>
          <w:b/>
          <w:bCs/>
          <w:color w:val="000000"/>
          <w:sz w:val="20"/>
          <w:szCs w:val="20"/>
        </w:rPr>
        <w:t xml:space="preserve">jurisdição personalizada</w:t>
      </w:r>
      <w:r>
        <w:rPr>
          <w:rFonts w:ascii="Calibri" w:cs="Calibri" w:eastAsia="Calibri" w:hAnsi="Calibri"/>
          <w:color w:val="000000"/>
          <w:sz w:val="20"/>
          <w:szCs w:val="20"/>
        </w:rPr>
        <w:t xml:space="preserve"> (outro país offshore, outro estado americano) — sempre sem preço fixo.</w:t>
      </w:r>
    </w:p>
    <w:p>
      <w:pPr>
        <w:pStyle w:val="Heading2"/>
        <w:spacing w:after="140" w:before="340"/>
      </w:pPr>
      <w:r>
        <w:rPr>
          <w:rFonts w:ascii="Calibri" w:cs="Calibri" w:eastAsia="Calibri" w:hAnsi="Calibri"/>
          <w:b/>
          <w:bCs/>
          <w:color w:val="1F3A5F"/>
          <w:sz w:val="26"/>
          <w:szCs w:val="26"/>
        </w:rPr>
        <w:t xml:space="preserve">1.2 Serviços que não variam por jurisdição</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5134"/>
        <w:gridCol w:w="943"/>
        <w:gridCol w:w="2515"/>
        <w:gridCol w:w="1154"/>
      </w:tblGrid>
      <w:tr>
        <w:trPr>
          <w:tblHeader/>
        </w:trPr>
        <w:tc>
          <w:tcPr>
            <w:tcW w:type="dxa" w:w="5134"/>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Serviço</w:t>
            </w:r>
          </w:p>
        </w:tc>
        <w:tc>
          <w:tcPr>
            <w:tcW w:type="dxa" w:w="943"/>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Tipo</w:t>
            </w:r>
          </w:p>
        </w:tc>
        <w:tc>
          <w:tcPr>
            <w:tcW w:type="dxa" w:w="2515"/>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Valor</w:t>
            </w:r>
          </w:p>
        </w:tc>
        <w:tc>
          <w:tcPr>
            <w:tcW w:type="dxa" w:w="1154"/>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Recorrente?</w:t>
            </w:r>
          </w:p>
        </w:tc>
      </w:tr>
      <w:tr>
        <w:tc>
          <w:tcPr>
            <w:tcW w:type="dxa" w:w="5134"/>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Share Trust</w:t>
            </w:r>
            <w:r>
              <w:rPr>
                <w:rFonts w:ascii="Calibri" w:cs="Calibri" w:eastAsia="Calibri" w:hAnsi="Calibri"/>
                <w:b w:val="false"/>
                <w:bCs w:val="false"/>
                <w:color w:val="000000"/>
                <w:sz w:val="18"/>
                <w:szCs w:val="18"/>
              </w:rPr>
              <w:t xml:space="preserve"> — constituição</w:t>
            </w:r>
          </w:p>
        </w:tc>
        <w:tc>
          <w:tcPr>
            <w:tcW w:type="dxa" w:w="943"/>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Estrutura</w:t>
            </w:r>
          </w:p>
        </w:tc>
        <w:tc>
          <w:tcPr>
            <w:tcW w:type="dxa" w:w="251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2.700</w:t>
            </w:r>
          </w:p>
        </w:tc>
        <w:tc>
          <w:tcPr>
            <w:tcW w:type="dxa" w:w="1154"/>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r>
        <w:tc>
          <w:tcPr>
            <w:tcW w:type="dxa" w:w="5134"/>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Share Trust</w:t>
            </w:r>
            <w:r>
              <w:rPr>
                <w:rFonts w:ascii="Calibri" w:cs="Calibri" w:eastAsia="Calibri" w:hAnsi="Calibri"/>
                <w:b w:val="false"/>
                <w:bCs w:val="false"/>
                <w:color w:val="000000"/>
                <w:sz w:val="18"/>
                <w:szCs w:val="18"/>
              </w:rPr>
              <w:t xml:space="preserve"> — manutenção anual</w:t>
            </w:r>
          </w:p>
        </w:tc>
        <w:tc>
          <w:tcPr>
            <w:tcW w:type="dxa" w:w="943"/>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Estrutura</w:t>
            </w:r>
          </w:p>
        </w:tc>
        <w:tc>
          <w:tcPr>
            <w:tcW w:type="dxa" w:w="251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1.400</w:t>
            </w:r>
          </w:p>
        </w:tc>
        <w:tc>
          <w:tcPr>
            <w:tcW w:type="dxa" w:w="1154"/>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Sim</w:t>
            </w:r>
          </w:p>
        </w:tc>
      </w:tr>
      <w:tr>
        <w:tc>
          <w:tcPr>
            <w:tcW w:type="dxa" w:w="5134"/>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Testamento BVI (Will)</w:t>
            </w:r>
          </w:p>
        </w:tc>
        <w:tc>
          <w:tcPr>
            <w:tcW w:type="dxa" w:w="943"/>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Sucessão</w:t>
            </w:r>
          </w:p>
        </w:tc>
        <w:tc>
          <w:tcPr>
            <w:tcW w:type="dxa" w:w="251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5.500 (estimado)</w:t>
            </w:r>
          </w:p>
        </w:tc>
        <w:tc>
          <w:tcPr>
            <w:tcW w:type="dxa" w:w="1154"/>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r>
        <w:tc>
          <w:tcPr>
            <w:tcW w:type="dxa" w:w="5134"/>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Affidavit of Witness (add-on do testamento)</w:t>
            </w:r>
          </w:p>
        </w:tc>
        <w:tc>
          <w:tcPr>
            <w:tcW w:type="dxa" w:w="943"/>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Sucessão</w:t>
            </w:r>
          </w:p>
        </w:tc>
        <w:tc>
          <w:tcPr>
            <w:tcW w:type="dxa" w:w="251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1.000</w:t>
            </w:r>
          </w:p>
        </w:tc>
        <w:tc>
          <w:tcPr>
            <w:tcW w:type="dxa" w:w="1154"/>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r>
        <w:tc>
          <w:tcPr>
            <w:tcW w:type="dxa" w:w="5134"/>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Financial Statements (FS)</w:t>
            </w:r>
          </w:p>
        </w:tc>
        <w:tc>
          <w:tcPr>
            <w:tcW w:type="dxa" w:w="943"/>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Contábil</w:t>
            </w:r>
          </w:p>
        </w:tc>
        <w:tc>
          <w:tcPr>
            <w:tcW w:type="dxa" w:w="251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1.400 /ano</w:t>
            </w:r>
          </w:p>
        </w:tc>
        <w:tc>
          <w:tcPr>
            <w:tcW w:type="dxa" w:w="1154"/>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Sim</w:t>
            </w:r>
          </w:p>
        </w:tc>
      </w:tr>
      <w:tr>
        <w:tc>
          <w:tcPr>
            <w:tcW w:type="dxa" w:w="5134"/>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Tax Return (TR)</w:t>
            </w:r>
          </w:p>
        </w:tc>
        <w:tc>
          <w:tcPr>
            <w:tcW w:type="dxa" w:w="943"/>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Contábil</w:t>
            </w:r>
          </w:p>
        </w:tc>
        <w:tc>
          <w:tcPr>
            <w:tcW w:type="dxa" w:w="251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1.500 /ano</w:t>
            </w:r>
          </w:p>
        </w:tc>
        <w:tc>
          <w:tcPr>
            <w:tcW w:type="dxa" w:w="1154"/>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Sim</w:t>
            </w:r>
          </w:p>
        </w:tc>
      </w:tr>
      <w:tr>
        <w:tc>
          <w:tcPr>
            <w:tcW w:type="dxa" w:w="5134"/>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Annual Financial Return (AFR)</w:t>
            </w:r>
            <w:r>
              <w:rPr>
                <w:rFonts w:ascii="Calibri" w:cs="Calibri" w:eastAsia="Calibri" w:hAnsi="Calibri"/>
                <w:b w:val="false"/>
                <w:bCs w:val="false"/>
                <w:color w:val="000000"/>
                <w:sz w:val="18"/>
                <w:szCs w:val="18"/>
              </w:rPr>
              <w:t xml:space="preserve"> — só submissão</w:t>
            </w:r>
          </w:p>
        </w:tc>
        <w:tc>
          <w:tcPr>
            <w:tcW w:type="dxa" w:w="943"/>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Contábil</w:t>
            </w:r>
          </w:p>
        </w:tc>
        <w:tc>
          <w:tcPr>
            <w:tcW w:type="dxa" w:w="251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650 /ano</w:t>
            </w:r>
          </w:p>
        </w:tc>
        <w:tc>
          <w:tcPr>
            <w:tcW w:type="dxa" w:w="1154"/>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Sim</w:t>
            </w:r>
          </w:p>
        </w:tc>
      </w:tr>
      <w:tr>
        <w:tc>
          <w:tcPr>
            <w:tcW w:type="dxa" w:w="5134"/>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FS — anos anteriores</w:t>
            </w:r>
          </w:p>
        </w:tc>
        <w:tc>
          <w:tcPr>
            <w:tcW w:type="dxa" w:w="943"/>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Contábil</w:t>
            </w:r>
          </w:p>
        </w:tc>
        <w:tc>
          <w:tcPr>
            <w:tcW w:type="dxa" w:w="251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1.400 por ano retroativo</w:t>
            </w:r>
          </w:p>
        </w:tc>
        <w:tc>
          <w:tcPr>
            <w:tcW w:type="dxa" w:w="1154"/>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r>
        <w:tc>
          <w:tcPr>
            <w:tcW w:type="dxa" w:w="5134"/>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TR — anos anteriores</w:t>
            </w:r>
          </w:p>
        </w:tc>
        <w:tc>
          <w:tcPr>
            <w:tcW w:type="dxa" w:w="943"/>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Contábil</w:t>
            </w:r>
          </w:p>
        </w:tc>
        <w:tc>
          <w:tcPr>
            <w:tcW w:type="dxa" w:w="251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1.500 por ano retroativo</w:t>
            </w:r>
          </w:p>
        </w:tc>
        <w:tc>
          <w:tcPr>
            <w:tcW w:type="dxa" w:w="1154"/>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r>
        <w:tc>
          <w:tcPr>
            <w:tcW w:type="dxa" w:w="5134"/>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Notarização e Apostilamento</w:t>
            </w:r>
          </w:p>
        </w:tc>
        <w:tc>
          <w:tcPr>
            <w:tcW w:type="dxa" w:w="943"/>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Add-on</w:t>
            </w:r>
          </w:p>
        </w:tc>
        <w:tc>
          <w:tcPr>
            <w:tcW w:type="dxa" w:w="251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1.500</w:t>
            </w:r>
          </w:p>
        </w:tc>
        <w:tc>
          <w:tcPr>
            <w:tcW w:type="dxa" w:w="1154"/>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r>
        <w:tc>
          <w:tcPr>
            <w:tcW w:type="dxa" w:w="5134"/>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Mailing Address</w:t>
            </w:r>
          </w:p>
        </w:tc>
        <w:tc>
          <w:tcPr>
            <w:tcW w:type="dxa" w:w="943"/>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Add-on</w:t>
            </w:r>
          </w:p>
        </w:tc>
        <w:tc>
          <w:tcPr>
            <w:tcW w:type="dxa" w:w="251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300 /ano</w:t>
            </w:r>
          </w:p>
        </w:tc>
        <w:tc>
          <w:tcPr>
            <w:tcW w:type="dxa" w:w="1154"/>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Sim</w:t>
            </w:r>
          </w:p>
        </w:tc>
      </w:tr>
      <w:tr>
        <w:tc>
          <w:tcPr>
            <w:tcW w:type="dxa" w:w="5134"/>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Tax Return final (dissolução de FL LLC)</w:t>
            </w:r>
          </w:p>
        </w:tc>
        <w:tc>
          <w:tcPr>
            <w:tcW w:type="dxa" w:w="943"/>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Contábil</w:t>
            </w:r>
          </w:p>
        </w:tc>
        <w:tc>
          <w:tcPr>
            <w:tcW w:type="dxa" w:w="2515"/>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1.500</w:t>
            </w:r>
          </w:p>
        </w:tc>
        <w:tc>
          <w:tcPr>
            <w:tcW w:type="dxa" w:w="1154"/>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r>
        <w:tc>
          <w:tcPr>
            <w:tcW w:type="dxa" w:w="5134"/>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Financial Statements final (dissolução de DE LLC)</w:t>
            </w:r>
          </w:p>
        </w:tc>
        <w:tc>
          <w:tcPr>
            <w:tcW w:type="dxa" w:w="943"/>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Contábil</w:t>
            </w:r>
          </w:p>
        </w:tc>
        <w:tc>
          <w:tcPr>
            <w:tcW w:type="dxa" w:w="2515"/>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1.400</w:t>
            </w:r>
          </w:p>
        </w:tc>
        <w:tc>
          <w:tcPr>
            <w:tcW w:type="dxa" w:w="1154"/>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bl>
    <w:p>
      <w:pPr>
        <w:spacing w:after="200"/>
      </w:pPr>
      <w:r>
        <w:t xml:space="preserve"/>
      </w:r>
    </w:p>
    <w:p>
      <w:pPr>
        <w:pStyle w:val="Heading2"/>
        <w:spacing w:after="140" w:before="340"/>
      </w:pPr>
      <w:r>
        <w:rPr>
          <w:rFonts w:ascii="Calibri" w:cs="Calibri" w:eastAsia="Calibri" w:hAnsi="Calibri"/>
          <w:b/>
          <w:bCs/>
          <w:color w:val="1F3A5F"/>
          <w:sz w:val="26"/>
          <w:szCs w:val="26"/>
        </w:rPr>
        <w:t xml:space="preserve">1.3 O que já é entregue como cortesia</w:t>
      </w:r>
    </w:p>
    <w:p>
      <w:pPr>
        <w:spacing w:after="120" w:before="60"/>
      </w:pPr>
      <w:r>
        <w:rPr>
          <w:rFonts w:ascii="Calibri" w:cs="Calibri" w:eastAsia="Calibri" w:hAnsi="Calibri"/>
          <w:color w:val="000000"/>
          <w:sz w:val="20"/>
          <w:szCs w:val="20"/>
        </w:rPr>
        <w:t xml:space="preserve">Seis tipos de transferência aparecem na proposta com valor </w:t>
      </w:r>
      <w:r>
        <w:rPr>
          <w:rFonts w:ascii="Calibri" w:cs="Calibri" w:eastAsia="Calibri" w:hAnsi="Calibri"/>
          <w:b/>
          <w:bCs/>
          <w:color w:val="000000"/>
          <w:sz w:val="20"/>
          <w:szCs w:val="20"/>
        </w:rPr>
        <w:t xml:space="preserve">USD 0, marcados como "Cortesia"</w:t>
      </w:r>
      <w:r>
        <w:rPr>
          <w:rFonts w:ascii="Calibri" w:cs="Calibri" w:eastAsia="Calibri" w:hAnsi="Calibri"/>
          <w:color w:val="000000"/>
          <w:sz w:val="20"/>
          <w:szCs w:val="20"/>
        </w:rPr>
        <w:t xml:space="preserve">:</w:t>
      </w:r>
    </w:p>
    <w:p>
      <w:pPr>
        <w:spacing w:after="120" w:before="60"/>
      </w:pPr>
      <w:r>
        <w:rPr>
          <w:rFonts w:ascii="Calibri" w:cs="Calibri" w:eastAsia="Calibri" w:hAnsi="Calibri"/>
          <w:color w:val="000000"/>
          <w:sz w:val="20"/>
          <w:szCs w:val="20"/>
        </w:rPr>
        <w:t xml:space="preserve">transferência sem troca de agente registrado para BVI, Bahamas, Cayman, Nevis, Florida LLC e Delaware LLC.</w:t>
      </w:r>
    </w:p>
    <w:p>
      <w:pPr>
        <w:pBdr>
          <w:left w:val="single" w:color="B8C6D6" w:sz="14" w:space="10"/>
        </w:pBdr>
        <w:spacing w:after="0" w:before="120"/>
        <w:ind w:left="340"/>
      </w:pPr>
      <w:r>
        <w:rPr>
          <w:rFonts w:ascii="Calibri" w:cs="Calibri" w:eastAsia="Calibri" w:hAnsi="Calibri"/>
          <w:i/>
          <w:iCs/>
          <w:color w:val="595959"/>
          <w:sz w:val="19"/>
          <w:szCs w:val="19"/>
        </w:rPr>
        <w:t xml:space="preserve">Este é o único lugar da proposta atual onde a FGC mostra valor entregue sem cobrar.</w:t>
      </w:r>
    </w:p>
    <w:p>
      <w:pPr>
        <w:pBdr>
          <w:left w:val="single" w:color="B8C6D6" w:sz="14" w:space="10"/>
        </w:pBdr>
        <w:spacing w:after="160" w:before="0"/>
        <w:ind w:left="340"/>
      </w:pPr>
      <w:r>
        <w:rPr>
          <w:rFonts w:ascii="Calibri" w:cs="Calibri" w:eastAsia="Calibri" w:hAnsi="Calibri"/>
          <w:i/>
          <w:iCs/>
          <w:color w:val="595959"/>
          <w:sz w:val="19"/>
          <w:szCs w:val="19"/>
        </w:rPr>
        <w:t xml:space="preserve">É o precedente para tudo que vem na Parte 3.</w:t>
      </w:r>
    </w:p>
    <w:p>
      <w:pPr>
        <w:pBdr>
          <w:bottom w:val="single" w:color="C9D4E0" w:sz="6" w:space="1"/>
        </w:pBdr>
        <w:spacing w:after="200" w:before="160"/>
      </w:pPr>
      <w:r>
        <w:t xml:space="preserve"/>
      </w:r>
    </w:p>
    <w:p>
      <w:r>
        <w:br w:type="page"/>
      </w:r>
    </w:p>
    <w:p>
      <w:pPr>
        <w:pStyle w:val="Heading1"/>
        <w:spacing w:after="200" w:before="240"/>
      </w:pPr>
      <w:r>
        <w:rPr>
          <w:rFonts w:ascii="Calibri" w:cs="Calibri" w:eastAsia="Calibri" w:hAnsi="Calibri"/>
          <w:b/>
          <w:bCs/>
          <w:color w:val="1F3A5F"/>
          <w:sz w:val="34"/>
          <w:szCs w:val="34"/>
        </w:rPr>
        <w:t xml:space="preserve">PARTE 2 — O que não tem preço hoje</w:t>
      </w:r>
    </w:p>
    <w:p>
      <w:pPr>
        <w:pBdr>
          <w:bottom w:val="single" w:color="2E6DA4" w:sz="12" w:space="2"/>
        </w:pBdr>
        <w:spacing w:after="200"/>
      </w:pPr>
      <w:r>
        <w:t xml:space="preserve"/>
      </w:r>
    </w:p>
    <w:p>
      <w:pPr>
        <w:spacing w:after="120" w:before="60"/>
      </w:pPr>
      <w:r>
        <w:rPr>
          <w:rFonts w:ascii="Calibri" w:cs="Calibri" w:eastAsia="Calibri" w:hAnsi="Calibri"/>
          <w:color w:val="000000"/>
          <w:sz w:val="20"/>
          <w:szCs w:val="20"/>
        </w:rPr>
        <w:t xml:space="preserve">Estes serviços estão no gerador mas saem sem valor. Na prática significa que são</w:t>
      </w:r>
    </w:p>
    <w:p>
      <w:pPr>
        <w:spacing w:after="120" w:before="60"/>
      </w:pPr>
      <w:r>
        <w:rPr>
          <w:rFonts w:ascii="Calibri" w:cs="Calibri" w:eastAsia="Calibri" w:hAnsi="Calibri"/>
          <w:color w:val="000000"/>
          <w:sz w:val="20"/>
          <w:szCs w:val="20"/>
        </w:rPr>
        <w:t xml:space="preserve">cotados na hora — diferente entre Claudia, Fabiana e Meire — ou absorvidos.</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8207"/>
        <w:gridCol w:w="1539"/>
      </w:tblGrid>
      <w:tr>
        <w:trPr>
          <w:tblHeader/>
        </w:trPr>
        <w:tc>
          <w:tcPr>
            <w:tcW w:type="dxa" w:w="8207"/>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Serviço</w:t>
            </w:r>
          </w:p>
        </w:tc>
        <w:tc>
          <w:tcPr>
            <w:tcW w:type="dxa" w:w="1539"/>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Situação</w:t>
            </w:r>
          </w:p>
        </w:tc>
      </w:tr>
      <w:tr>
        <w:tc>
          <w:tcPr>
            <w:tcW w:type="dxa" w:w="820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Inclusão / exclusão de diretor</w:t>
            </w:r>
          </w:p>
        </w:tc>
        <w:tc>
          <w:tcPr>
            <w:tcW w:type="dxa" w:w="153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Sem preço</w:t>
            </w:r>
          </w:p>
        </w:tc>
      </w:tr>
      <w:tr>
        <w:tc>
          <w:tcPr>
            <w:tcW w:type="dxa" w:w="820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Inclusão / exclusão de sócio</w:t>
            </w:r>
          </w:p>
        </w:tc>
        <w:tc>
          <w:tcPr>
            <w:tcW w:type="dxa" w:w="153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Sem preço</w:t>
            </w:r>
          </w:p>
        </w:tc>
      </w:tr>
      <w:tr>
        <w:tc>
          <w:tcPr>
            <w:tcW w:type="dxa" w:w="820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Share Certificate</w:t>
            </w:r>
          </w:p>
        </w:tc>
        <w:tc>
          <w:tcPr>
            <w:tcW w:type="dxa" w:w="153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Sem preço</w:t>
            </w:r>
          </w:p>
        </w:tc>
      </w:tr>
      <w:tr>
        <w:tc>
          <w:tcPr>
            <w:tcW w:type="dxa" w:w="820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Inclusão de Joint Tenancy</w:t>
            </w:r>
          </w:p>
        </w:tc>
        <w:tc>
          <w:tcPr>
            <w:tcW w:type="dxa" w:w="153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Sem preço</w:t>
            </w:r>
          </w:p>
        </w:tc>
      </w:tr>
      <w:tr>
        <w:tc>
          <w:tcPr>
            <w:tcW w:type="dxa" w:w="820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Governança corporativa</w:t>
            </w:r>
          </w:p>
        </w:tc>
        <w:tc>
          <w:tcPr>
            <w:tcW w:type="dxa" w:w="153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Sem preço</w:t>
            </w:r>
          </w:p>
        </w:tc>
      </w:tr>
      <w:tr>
        <w:tc>
          <w:tcPr>
            <w:tcW w:type="dxa" w:w="820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Criação ou alteração de classe de ações</w:t>
            </w:r>
          </w:p>
        </w:tc>
        <w:tc>
          <w:tcPr>
            <w:tcW w:type="dxa" w:w="153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Sem preço</w:t>
            </w:r>
          </w:p>
        </w:tc>
      </w:tr>
      <w:tr>
        <w:tc>
          <w:tcPr>
            <w:tcW w:type="dxa" w:w="820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Reestruturação em múltiplas jurisdições</w:t>
            </w:r>
          </w:p>
        </w:tc>
        <w:tc>
          <w:tcPr>
            <w:tcW w:type="dxa" w:w="153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Sem preço</w:t>
            </w:r>
          </w:p>
        </w:tc>
      </w:tr>
      <w:tr>
        <w:tc>
          <w:tcPr>
            <w:tcW w:type="dxa" w:w="820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Entrada de novo sócio / investidor</w:t>
            </w:r>
          </w:p>
        </w:tc>
        <w:tc>
          <w:tcPr>
            <w:tcW w:type="dxa" w:w="153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Sem preço</w:t>
            </w:r>
          </w:p>
        </w:tc>
      </w:tr>
      <w:tr>
        <w:tc>
          <w:tcPr>
            <w:tcW w:type="dxa" w:w="820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DCBE</w:t>
            </w:r>
          </w:p>
        </w:tc>
        <w:tc>
          <w:tcPr>
            <w:tcW w:type="dxa" w:w="153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Sem preço</w:t>
            </w:r>
          </w:p>
        </w:tc>
      </w:tr>
      <w:tr>
        <w:tc>
          <w:tcPr>
            <w:tcW w:type="dxa" w:w="820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FS / TR elaborados por terceiros (só submissão)</w:t>
            </w:r>
          </w:p>
        </w:tc>
        <w:tc>
          <w:tcPr>
            <w:tcW w:type="dxa" w:w="153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Sem preço</w:t>
            </w:r>
          </w:p>
        </w:tc>
      </w:tr>
      <w:tr>
        <w:tc>
          <w:tcPr>
            <w:tcW w:type="dxa" w:w="820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Jurisdição personalizada (offshore ou estado US)</w:t>
            </w:r>
          </w:p>
        </w:tc>
        <w:tc>
          <w:tcPr>
            <w:tcW w:type="dxa" w:w="153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Sem preço</w:t>
            </w:r>
          </w:p>
        </w:tc>
      </w:tr>
    </w:tbl>
    <w:p>
      <w:pPr>
        <w:spacing w:after="200"/>
      </w:pPr>
      <w:r>
        <w:t xml:space="preserve"/>
      </w:r>
    </w:p>
    <w:p>
      <w:pPr>
        <w:spacing w:after="120" w:before="60"/>
      </w:pPr>
      <w:r>
        <w:rPr>
          <w:rFonts w:ascii="Calibri" w:cs="Calibri" w:eastAsia="Calibri" w:hAnsi="Calibri"/>
          <w:b/>
          <w:bCs/>
          <w:color w:val="000000"/>
          <w:sz w:val="20"/>
          <w:szCs w:val="20"/>
        </w:rPr>
        <w:t xml:space="preserve">São 8 serviços de reestruturação societária sem tabela.</w:t>
      </w:r>
      <w:r>
        <w:rPr>
          <w:rFonts w:ascii="Calibri" w:cs="Calibri" w:eastAsia="Calibri" w:hAnsi="Calibri"/>
          <w:color w:val="000000"/>
          <w:sz w:val="20"/>
          <w:szCs w:val="20"/>
        </w:rPr>
        <w:t xml:space="preserve"> É o buraco mais óbvio:</w:t>
      </w:r>
    </w:p>
    <w:p>
      <w:pPr>
        <w:spacing w:after="120" w:before="60"/>
      </w:pPr>
      <w:r>
        <w:rPr>
          <w:rFonts w:ascii="Calibri" w:cs="Calibri" w:eastAsia="Calibri" w:hAnsi="Calibri"/>
          <w:color w:val="000000"/>
          <w:sz w:val="20"/>
          <w:szCs w:val="20"/>
        </w:rPr>
        <w:t xml:space="preserve">trabalho técnico, demorado, e que hoje não tem âncora de preço nenhuma.</w:t>
      </w:r>
    </w:p>
    <w:p>
      <w:pPr>
        <w:pBdr>
          <w:bottom w:val="single" w:color="C9D4E0" w:sz="6" w:space="1"/>
        </w:pBdr>
        <w:spacing w:after="200" w:before="160"/>
      </w:pPr>
      <w:r>
        <w:t xml:space="preserve"/>
      </w:r>
    </w:p>
    <w:p>
      <w:r>
        <w:br w:type="page"/>
      </w:r>
    </w:p>
    <w:p>
      <w:pPr>
        <w:pStyle w:val="Heading1"/>
        <w:spacing w:after="200" w:before="240"/>
      </w:pPr>
      <w:r>
        <w:rPr>
          <w:rFonts w:ascii="Calibri" w:cs="Calibri" w:eastAsia="Calibri" w:hAnsi="Calibri"/>
          <w:b/>
          <w:bCs/>
          <w:color w:val="1F3A5F"/>
          <w:sz w:val="34"/>
          <w:szCs w:val="34"/>
        </w:rPr>
        <w:t xml:space="preserve">PARTE 3 — Serviços invisíveis (o concierge)</w:t>
      </w:r>
    </w:p>
    <w:p>
      <w:pPr>
        <w:pBdr>
          <w:bottom w:val="single" w:color="2E6DA4" w:sz="12" w:space="2"/>
        </w:pBdr>
        <w:spacing w:after="200"/>
      </w:pPr>
      <w:r>
        <w:t xml:space="preserve"/>
      </w:r>
    </w:p>
    <w:p>
      <w:pPr>
        <w:spacing w:after="120" w:before="60"/>
      </w:pPr>
      <w:r>
        <w:rPr>
          <w:rFonts w:ascii="Calibri" w:cs="Calibri" w:eastAsia="Calibri" w:hAnsi="Calibri"/>
          <w:color w:val="000000"/>
          <w:sz w:val="20"/>
          <w:szCs w:val="20"/>
        </w:rPr>
        <w:t xml:space="preserve">Nada do que está abaixo existe no gerador. É entregue, não é cobrado, e — por não</w:t>
      </w:r>
    </w:p>
    <w:p>
      <w:pPr>
        <w:spacing w:after="120" w:before="60"/>
      </w:pPr>
      <w:r>
        <w:rPr>
          <w:rFonts w:ascii="Calibri" w:cs="Calibri" w:eastAsia="Calibri" w:hAnsi="Calibri"/>
          <w:color w:val="000000"/>
          <w:sz w:val="20"/>
          <w:szCs w:val="20"/>
        </w:rPr>
        <w:t xml:space="preserve">estar escrito em lugar nenhum — o cliente não sabe que recebe.</w:t>
      </w:r>
    </w:p>
    <w:p>
      <w:pPr>
        <w:spacing w:after="120" w:before="60"/>
      </w:pPr>
      <w:r>
        <w:rPr>
          <w:rFonts w:ascii="Calibri" w:cs="Calibri" w:eastAsia="Calibri" w:hAnsi="Calibri"/>
          <w:b/>
          <w:bCs/>
          <w:color w:val="000000"/>
          <w:sz w:val="20"/>
          <w:szCs w:val="20"/>
        </w:rPr>
        <w:t xml:space="preserve">Esta lista precisa ser preenchida pela Claudia, Fabiana e Meire.</w:t>
      </w:r>
      <w:r>
        <w:rPr>
          <w:rFonts w:ascii="Calibri" w:cs="Calibri" w:eastAsia="Calibri" w:hAnsi="Calibri"/>
          <w:color w:val="000000"/>
          <w:sz w:val="20"/>
          <w:szCs w:val="20"/>
        </w:rPr>
        <w:t xml:space="preserve"> É o único</w:t>
      </w:r>
    </w:p>
    <w:p>
      <w:pPr>
        <w:spacing w:after="120" w:before="60"/>
      </w:pPr>
      <w:r>
        <w:rPr>
          <w:rFonts w:ascii="Calibri" w:cs="Calibri" w:eastAsia="Calibri" w:hAnsi="Calibri"/>
          <w:color w:val="000000"/>
          <w:sz w:val="20"/>
          <w:szCs w:val="20"/>
        </w:rPr>
        <w:t xml:space="preserve">insumo que falta para montar os planos.</w:t>
      </w:r>
    </w:p>
    <w:p>
      <w:pPr>
        <w:pStyle w:val="Heading2"/>
        <w:spacing w:after="140" w:before="340"/>
      </w:pPr>
      <w:r>
        <w:rPr>
          <w:rFonts w:ascii="Calibri" w:cs="Calibri" w:eastAsia="Calibri" w:hAnsi="Calibri"/>
          <w:b/>
          <w:bCs/>
          <w:color w:val="1F3A5F"/>
          <w:sz w:val="26"/>
          <w:szCs w:val="26"/>
        </w:rPr>
        <w:t xml:space="preserve">3.1 A lista para marcar</w:t>
      </w:r>
    </w:p>
    <w:p>
      <w:pPr>
        <w:pStyle w:val="Heading3"/>
        <w:spacing w:after="110" w:before="260"/>
      </w:pPr>
      <w:r>
        <w:rPr>
          <w:rFonts w:ascii="Calibri" w:cs="Calibri" w:eastAsia="Calibri" w:hAnsi="Calibri"/>
          <w:b/>
          <w:bCs/>
          <w:color w:val="2E6DA4"/>
          <w:sz w:val="22"/>
          <w:szCs w:val="22"/>
        </w:rPr>
        <w:t xml:space="preserve">A. Relacionamento</w:t>
      </w:r>
    </w:p>
    <w:p>
      <w:pPr>
        <w:pStyle w:val="ListParagraph"/>
        <w:numPr>
          <w:ilvl w:val="0"/>
          <w:numId w:val="2"/>
        </w:numPr>
        <w:spacing w:after="20" w:before="20"/>
      </w:pPr>
      <w:r>
        <w:rPr>
          <w:rFonts w:ascii="Calibri" w:cs="Calibri" w:eastAsia="Calibri" w:hAnsi="Calibri"/>
          <w:color w:val="000000"/>
          <w:sz w:val="20"/>
          <w:szCs w:val="20"/>
        </w:rPr>
        <w:t xml:space="preserve">[ ] Reunião de onboarding da estrutura</w:t>
      </w:r>
    </w:p>
    <w:p>
      <w:pPr>
        <w:pStyle w:val="ListParagraph"/>
        <w:numPr>
          <w:ilvl w:val="0"/>
          <w:numId w:val="2"/>
        </w:numPr>
        <w:spacing w:after="20" w:before="20"/>
      </w:pPr>
      <w:r>
        <w:rPr>
          <w:rFonts w:ascii="Calibri" w:cs="Calibri" w:eastAsia="Calibri" w:hAnsi="Calibri"/>
          <w:color w:val="000000"/>
          <w:sz w:val="20"/>
          <w:szCs w:val="20"/>
        </w:rPr>
        <w:t xml:space="preserve">[ ] Reunião anual de revisão</w:t>
      </w:r>
    </w:p>
    <w:p>
      <w:pPr>
        <w:pStyle w:val="ListParagraph"/>
        <w:numPr>
          <w:ilvl w:val="0"/>
          <w:numId w:val="2"/>
        </w:numPr>
        <w:spacing w:after="20" w:before="20"/>
      </w:pPr>
      <w:r>
        <w:rPr>
          <w:rFonts w:ascii="Calibri" w:cs="Calibri" w:eastAsia="Calibri" w:hAnsi="Calibri"/>
          <w:color w:val="000000"/>
          <w:sz w:val="20"/>
          <w:szCs w:val="20"/>
        </w:rPr>
        <w:t xml:space="preserve">[ ] Reuniões ad hoc (dúvida, mudança de vida, novo investimento)</w:t>
      </w:r>
    </w:p>
    <w:p>
      <w:pPr>
        <w:pStyle w:val="ListParagraph"/>
        <w:numPr>
          <w:ilvl w:val="0"/>
          <w:numId w:val="2"/>
        </w:numPr>
        <w:spacing w:after="20" w:before="20"/>
      </w:pPr>
      <w:r>
        <w:rPr>
          <w:rFonts w:ascii="Calibri" w:cs="Calibri" w:eastAsia="Calibri" w:hAnsi="Calibri"/>
          <w:color w:val="000000"/>
          <w:sz w:val="20"/>
          <w:szCs w:val="20"/>
        </w:rPr>
        <w:t xml:space="preserve">[ ] WhatsApp e telefone fora de escopo</w:t>
      </w:r>
    </w:p>
    <w:p>
      <w:pPr>
        <w:pStyle w:val="ListParagraph"/>
        <w:numPr>
          <w:ilvl w:val="0"/>
          <w:numId w:val="2"/>
        </w:numPr>
        <w:spacing w:after="20" w:before="20"/>
      </w:pPr>
      <w:r>
        <w:rPr>
          <w:rFonts w:ascii="Calibri" w:cs="Calibri" w:eastAsia="Calibri" w:hAnsi="Calibri"/>
          <w:color w:val="000000"/>
          <w:sz w:val="20"/>
          <w:szCs w:val="20"/>
        </w:rPr>
        <w:t xml:space="preserve">[ ] E-mails de dúvida geral</w:t>
      </w:r>
    </w:p>
    <w:p>
      <w:pPr>
        <w:pStyle w:val="ListParagraph"/>
        <w:numPr>
          <w:ilvl w:val="0"/>
          <w:numId w:val="2"/>
        </w:numPr>
        <w:spacing w:after="20" w:before="20"/>
      </w:pPr>
      <w:r>
        <w:rPr>
          <w:rFonts w:ascii="Calibri" w:cs="Calibri" w:eastAsia="Calibri" w:hAnsi="Calibri"/>
          <w:color w:val="000000"/>
          <w:sz w:val="20"/>
          <w:szCs w:val="20"/>
        </w:rPr>
        <w:t xml:space="preserve">[ ] Follow-up proativo de prazos (AFR, Tax Return, renovação)</w:t>
      </w:r>
    </w:p>
    <w:p>
      <w:pPr>
        <w:pStyle w:val="ListParagraph"/>
        <w:numPr>
          <w:ilvl w:val="0"/>
          <w:numId w:val="2"/>
        </w:numPr>
        <w:spacing w:after="20" w:before="20"/>
      </w:pPr>
      <w:r>
        <w:rPr>
          <w:rFonts w:ascii="Calibri" w:cs="Calibri" w:eastAsia="Calibri" w:hAnsi="Calibri"/>
          <w:color w:val="000000"/>
          <w:sz w:val="20"/>
          <w:szCs w:val="20"/>
        </w:rPr>
        <w:t xml:space="preserve">[ ] Cobrança de documentos ao cliente</w:t>
      </w:r>
    </w:p>
    <w:p>
      <w:pPr>
        <w:pStyle w:val="Heading3"/>
        <w:spacing w:after="110" w:before="260"/>
      </w:pPr>
      <w:r>
        <w:rPr>
          <w:rFonts w:ascii="Calibri" w:cs="Calibri" w:eastAsia="Calibri" w:hAnsi="Calibri"/>
          <w:b/>
          <w:bCs/>
          <w:color w:val="2E6DA4"/>
          <w:sz w:val="22"/>
          <w:szCs w:val="22"/>
        </w:rPr>
        <w:t xml:space="preserve">B. Coordenação com terceiros</w:t>
      </w:r>
    </w:p>
    <w:p>
      <w:pPr>
        <w:pStyle w:val="ListParagraph"/>
        <w:numPr>
          <w:ilvl w:val="0"/>
          <w:numId w:val="2"/>
        </w:numPr>
        <w:spacing w:after="20" w:before="20"/>
      </w:pPr>
      <w:r>
        <w:rPr>
          <w:rFonts w:ascii="Calibri" w:cs="Calibri" w:eastAsia="Calibri" w:hAnsi="Calibri"/>
          <w:color w:val="000000"/>
          <w:sz w:val="20"/>
          <w:szCs w:val="20"/>
        </w:rPr>
        <w:t xml:space="preserve">[ ] Contador brasileiro do cliente</w:t>
      </w:r>
    </w:p>
    <w:p>
      <w:pPr>
        <w:pStyle w:val="ListParagraph"/>
        <w:numPr>
          <w:ilvl w:val="0"/>
          <w:numId w:val="2"/>
        </w:numPr>
        <w:spacing w:after="20" w:before="20"/>
      </w:pPr>
      <w:r>
        <w:rPr>
          <w:rFonts w:ascii="Calibri" w:cs="Calibri" w:eastAsia="Calibri" w:hAnsi="Calibri"/>
          <w:color w:val="000000"/>
          <w:sz w:val="20"/>
          <w:szCs w:val="20"/>
        </w:rPr>
        <w:t xml:space="preserve">[ ] Explicar a estrutura ao contador (todo ano, de novo)</w:t>
      </w:r>
    </w:p>
    <w:p>
      <w:pPr>
        <w:pStyle w:val="ListParagraph"/>
        <w:numPr>
          <w:ilvl w:val="0"/>
          <w:numId w:val="2"/>
        </w:numPr>
        <w:spacing w:after="20" w:before="20"/>
      </w:pPr>
      <w:r>
        <w:rPr>
          <w:rFonts w:ascii="Calibri" w:cs="Calibri" w:eastAsia="Calibri" w:hAnsi="Calibri"/>
          <w:color w:val="000000"/>
          <w:sz w:val="20"/>
          <w:szCs w:val="20"/>
        </w:rPr>
        <w:t xml:space="preserve">[ ] Suporte ao DCBE e declarações no Brasil</w:t>
      </w:r>
    </w:p>
    <w:p>
      <w:pPr>
        <w:pStyle w:val="ListParagraph"/>
        <w:numPr>
          <w:ilvl w:val="0"/>
          <w:numId w:val="2"/>
        </w:numPr>
        <w:spacing w:after="20" w:before="20"/>
      </w:pPr>
      <w:r>
        <w:rPr>
          <w:rFonts w:ascii="Calibri" w:cs="Calibri" w:eastAsia="Calibri" w:hAnsi="Calibri"/>
          <w:color w:val="000000"/>
          <w:sz w:val="20"/>
          <w:szCs w:val="20"/>
        </w:rPr>
        <w:t xml:space="preserve">[ ] Advogado tributarista</w:t>
      </w:r>
    </w:p>
    <w:p>
      <w:pPr>
        <w:pStyle w:val="ListParagraph"/>
        <w:numPr>
          <w:ilvl w:val="0"/>
          <w:numId w:val="2"/>
        </w:numPr>
        <w:spacing w:after="20" w:before="20"/>
      </w:pPr>
      <w:r>
        <w:rPr>
          <w:rFonts w:ascii="Calibri" w:cs="Calibri" w:eastAsia="Calibri" w:hAnsi="Calibri"/>
          <w:color w:val="000000"/>
          <w:sz w:val="20"/>
          <w:szCs w:val="20"/>
        </w:rPr>
        <w:t xml:space="preserve">[ ] Advogado sucessório</w:t>
      </w:r>
    </w:p>
    <w:p>
      <w:pPr>
        <w:pStyle w:val="ListParagraph"/>
        <w:numPr>
          <w:ilvl w:val="0"/>
          <w:numId w:val="2"/>
        </w:numPr>
        <w:spacing w:after="20" w:before="20"/>
      </w:pPr>
      <w:r>
        <w:rPr>
          <w:rFonts w:ascii="Calibri" w:cs="Calibri" w:eastAsia="Calibri" w:hAnsi="Calibri"/>
          <w:color w:val="000000"/>
          <w:sz w:val="20"/>
          <w:szCs w:val="20"/>
        </w:rPr>
        <w:t xml:space="preserve">[ ] Banco / private banking (abertura, KYC, refresh)</w:t>
      </w:r>
    </w:p>
    <w:p>
      <w:pPr>
        <w:pStyle w:val="ListParagraph"/>
        <w:numPr>
          <w:ilvl w:val="0"/>
          <w:numId w:val="2"/>
        </w:numPr>
        <w:spacing w:after="20" w:before="20"/>
      </w:pPr>
      <w:r>
        <w:rPr>
          <w:rFonts w:ascii="Calibri" w:cs="Calibri" w:eastAsia="Calibri" w:hAnsi="Calibri"/>
          <w:color w:val="000000"/>
          <w:sz w:val="20"/>
          <w:szCs w:val="20"/>
        </w:rPr>
        <w:t xml:space="preserve">[ ] Formulários bancários (W-8, FATCA, CRS)</w:t>
      </w:r>
    </w:p>
    <w:p>
      <w:pPr>
        <w:pStyle w:val="ListParagraph"/>
        <w:numPr>
          <w:ilvl w:val="0"/>
          <w:numId w:val="2"/>
        </w:numPr>
        <w:spacing w:after="20" w:before="20"/>
      </w:pPr>
      <w:r>
        <w:rPr>
          <w:rFonts w:ascii="Calibri" w:cs="Calibri" w:eastAsia="Calibri" w:hAnsi="Calibri"/>
          <w:color w:val="000000"/>
          <w:sz w:val="20"/>
          <w:szCs w:val="20"/>
        </w:rPr>
        <w:t xml:space="preserve">[ ] Gestora, corretora, family office</w:t>
      </w:r>
    </w:p>
    <w:p>
      <w:pPr>
        <w:pStyle w:val="Heading3"/>
        <w:spacing w:after="110" w:before="260"/>
      </w:pPr>
      <w:r>
        <w:rPr>
          <w:rFonts w:ascii="Calibri" w:cs="Calibri" w:eastAsia="Calibri" w:hAnsi="Calibri"/>
          <w:b/>
          <w:bCs/>
          <w:color w:val="2E6DA4"/>
          <w:sz w:val="22"/>
          <w:szCs w:val="22"/>
        </w:rPr>
        <w:t xml:space="preserve">C. Documentos avulsos</w:t>
      </w:r>
    </w:p>
    <w:p>
      <w:pPr>
        <w:pStyle w:val="ListParagraph"/>
        <w:numPr>
          <w:ilvl w:val="0"/>
          <w:numId w:val="2"/>
        </w:numPr>
        <w:spacing w:after="20" w:before="20"/>
      </w:pPr>
      <w:r>
        <w:rPr>
          <w:rFonts w:ascii="Calibri" w:cs="Calibri" w:eastAsia="Calibri" w:hAnsi="Calibri"/>
          <w:color w:val="000000"/>
          <w:sz w:val="20"/>
          <w:szCs w:val="20"/>
        </w:rPr>
        <w:t xml:space="preserve">[ ] Certificate of Good Standing</w:t>
      </w:r>
    </w:p>
    <w:p>
      <w:pPr>
        <w:pStyle w:val="ListParagraph"/>
        <w:numPr>
          <w:ilvl w:val="0"/>
          <w:numId w:val="2"/>
        </w:numPr>
        <w:spacing w:after="20" w:before="20"/>
      </w:pPr>
      <w:r>
        <w:rPr>
          <w:rFonts w:ascii="Calibri" w:cs="Calibri" w:eastAsia="Calibri" w:hAnsi="Calibri"/>
          <w:color w:val="000000"/>
          <w:sz w:val="20"/>
          <w:szCs w:val="20"/>
        </w:rPr>
        <w:t xml:space="preserve">[ ] Certificate of Incumbency</w:t>
      </w:r>
    </w:p>
    <w:p>
      <w:pPr>
        <w:pStyle w:val="ListParagraph"/>
        <w:numPr>
          <w:ilvl w:val="0"/>
          <w:numId w:val="2"/>
        </w:numPr>
        <w:spacing w:after="20" w:before="20"/>
      </w:pPr>
      <w:r>
        <w:rPr>
          <w:rFonts w:ascii="Calibri" w:cs="Calibri" w:eastAsia="Calibri" w:hAnsi="Calibri"/>
          <w:color w:val="000000"/>
          <w:sz w:val="20"/>
          <w:szCs w:val="20"/>
        </w:rPr>
        <w:t xml:space="preserve">[ ] Elaboração de atas (aporte, redução de capital, distribuição)</w:t>
      </w:r>
    </w:p>
    <w:p>
      <w:pPr>
        <w:pStyle w:val="ListParagraph"/>
        <w:numPr>
          <w:ilvl w:val="0"/>
          <w:numId w:val="2"/>
        </w:numPr>
        <w:spacing w:after="20" w:before="20"/>
      </w:pPr>
      <w:r>
        <w:rPr>
          <w:rFonts w:ascii="Calibri" w:cs="Calibri" w:eastAsia="Calibri" w:hAnsi="Calibri"/>
          <w:color w:val="000000"/>
          <w:sz w:val="20"/>
          <w:szCs w:val="20"/>
        </w:rPr>
        <w:t xml:space="preserve">[ ] Segunda via de documentos societários</w:t>
      </w:r>
    </w:p>
    <w:p>
      <w:pPr>
        <w:pStyle w:val="ListParagraph"/>
        <w:numPr>
          <w:ilvl w:val="0"/>
          <w:numId w:val="2"/>
        </w:numPr>
        <w:spacing w:after="20" w:before="20"/>
      </w:pPr>
      <w:r>
        <w:rPr>
          <w:rFonts w:ascii="Calibri" w:cs="Calibri" w:eastAsia="Calibri" w:hAnsi="Calibri"/>
          <w:color w:val="000000"/>
          <w:sz w:val="20"/>
          <w:szCs w:val="20"/>
        </w:rPr>
        <w:t xml:space="preserve">[ ] Cartas e declarações a pedido do banco</w:t>
      </w:r>
    </w:p>
    <w:p>
      <w:pPr>
        <w:pStyle w:val="ListParagraph"/>
        <w:numPr>
          <w:ilvl w:val="0"/>
          <w:numId w:val="2"/>
        </w:numPr>
        <w:spacing w:after="20" w:before="20"/>
      </w:pPr>
      <w:r>
        <w:rPr>
          <w:rFonts w:ascii="Calibri" w:cs="Calibri" w:eastAsia="Calibri" w:hAnsi="Calibri"/>
          <w:color w:val="000000"/>
          <w:sz w:val="20"/>
          <w:szCs w:val="20"/>
        </w:rPr>
        <w:t xml:space="preserve">[ ] Courier e postagem</w:t>
      </w:r>
    </w:p>
    <w:p>
      <w:pPr>
        <w:pBdr>
          <w:left w:val="single" w:color="B8C6D6" w:sz="14" w:space="10"/>
        </w:pBdr>
        <w:spacing w:after="0" w:before="120"/>
        <w:ind w:left="340"/>
      </w:pPr>
      <w:r>
        <w:rPr>
          <w:rFonts w:ascii="Calibri" w:cs="Calibri" w:eastAsia="Calibri" w:hAnsi="Calibri"/>
          <w:b/>
          <w:bCs/>
          <w:i/>
          <w:iCs/>
          <w:color w:val="595959"/>
          <w:sz w:val="19"/>
          <w:szCs w:val="19"/>
        </w:rPr>
        <w:t xml:space="preserve">Atenção:</w:t>
      </w:r>
      <w:r>
        <w:rPr>
          <w:rFonts w:ascii="Calibri" w:cs="Calibri" w:eastAsia="Calibri" w:hAnsi="Calibri"/>
          <w:i/>
          <w:iCs/>
          <w:color w:val="595959"/>
          <w:sz w:val="19"/>
          <w:szCs w:val="19"/>
        </w:rPr>
        <w:t xml:space="preserve"> os itens da família C </w:t>
      </w:r>
      <w:r>
        <w:rPr>
          <w:rFonts w:ascii="Calibri" w:cs="Calibri" w:eastAsia="Calibri" w:hAnsi="Calibri"/>
          <w:b/>
          <w:bCs/>
          <w:i/>
          <w:iCs/>
          <w:color w:val="595959"/>
          <w:sz w:val="19"/>
          <w:szCs w:val="19"/>
        </w:rPr>
        <w:t xml:space="preserve">já estão</w:t>
      </w:r>
      <w:r>
        <w:rPr>
          <w:rFonts w:ascii="Calibri" w:cs="Calibri" w:eastAsia="Calibri" w:hAnsi="Calibri"/>
          <w:i/>
          <w:iCs/>
          <w:color w:val="595959"/>
          <w:sz w:val="19"/>
          <w:szCs w:val="19"/>
        </w:rPr>
        <w:t xml:space="preserve"> na cláusula "Não está incluído</w:t>
      </w:r>
    </w:p>
    <w:p>
      <w:pPr>
        <w:pBdr>
          <w:left w:val="single" w:color="B8C6D6" w:sz="14" w:space="10"/>
        </w:pBdr>
        <w:spacing w:after="0" w:before="0"/>
        <w:ind w:left="340"/>
      </w:pPr>
      <w:r>
        <w:rPr>
          <w:rFonts w:ascii="Calibri" w:cs="Calibri" w:eastAsia="Calibri" w:hAnsi="Calibri"/>
          <w:i/>
          <w:iCs/>
          <w:color w:val="595959"/>
          <w:sz w:val="19"/>
          <w:szCs w:val="19"/>
        </w:rPr>
        <w:t xml:space="preserve">nesta proposta". A FGC já declarou que não estão inclusos — só nunca colocou</w:t>
      </w:r>
    </w:p>
    <w:p>
      <w:pPr>
        <w:pBdr>
          <w:left w:val="single" w:color="B8C6D6" w:sz="14" w:space="10"/>
        </w:pBdr>
        <w:spacing w:after="160" w:before="0"/>
        <w:ind w:left="340"/>
      </w:pPr>
      <w:r>
        <w:rPr>
          <w:rFonts w:ascii="Calibri" w:cs="Calibri" w:eastAsia="Calibri" w:hAnsi="Calibri"/>
          <w:i/>
          <w:iCs/>
          <w:color w:val="595959"/>
          <w:sz w:val="19"/>
          <w:szCs w:val="19"/>
        </w:rPr>
        <w:t xml:space="preserve">preço. É o primeiro lugar onde dá para cobrar sem mudar nada de política.</w:t>
      </w:r>
    </w:p>
    <w:p>
      <w:pPr>
        <w:pStyle w:val="Heading3"/>
        <w:spacing w:after="110" w:before="260"/>
      </w:pPr>
      <w:r>
        <w:rPr>
          <w:rFonts w:ascii="Calibri" w:cs="Calibri" w:eastAsia="Calibri" w:hAnsi="Calibri"/>
          <w:b/>
          <w:bCs/>
          <w:color w:val="2E6DA4"/>
          <w:sz w:val="22"/>
          <w:szCs w:val="22"/>
        </w:rPr>
        <w:t xml:space="preserve">D. Compliance contínuo</w:t>
      </w:r>
    </w:p>
    <w:p>
      <w:pPr>
        <w:pStyle w:val="ListParagraph"/>
        <w:numPr>
          <w:ilvl w:val="0"/>
          <w:numId w:val="2"/>
        </w:numPr>
        <w:spacing w:after="20" w:before="20"/>
      </w:pPr>
      <w:r>
        <w:rPr>
          <w:rFonts w:ascii="Calibri" w:cs="Calibri" w:eastAsia="Calibri" w:hAnsi="Calibri"/>
          <w:color w:val="000000"/>
          <w:sz w:val="20"/>
          <w:szCs w:val="20"/>
        </w:rPr>
        <w:t xml:space="preserve">[ ] Monitorar mudanças regulatórias na jurisdição</w:t>
      </w:r>
    </w:p>
    <w:p>
      <w:pPr>
        <w:pStyle w:val="ListParagraph"/>
        <w:numPr>
          <w:ilvl w:val="0"/>
          <w:numId w:val="2"/>
        </w:numPr>
        <w:spacing w:after="20" w:before="20"/>
      </w:pPr>
      <w:r>
        <w:rPr>
          <w:rFonts w:ascii="Calibri" w:cs="Calibri" w:eastAsia="Calibri" w:hAnsi="Calibri"/>
          <w:color w:val="000000"/>
          <w:sz w:val="20"/>
          <w:szCs w:val="20"/>
        </w:rPr>
        <w:t xml:space="preserve">[ ] Avisar o cliente quando a lei muda</w:t>
      </w:r>
    </w:p>
    <w:p>
      <w:pPr>
        <w:pStyle w:val="ListParagraph"/>
        <w:numPr>
          <w:ilvl w:val="0"/>
          <w:numId w:val="2"/>
        </w:numPr>
        <w:spacing w:after="20" w:before="20"/>
      </w:pPr>
      <w:r>
        <w:rPr>
          <w:rFonts w:ascii="Calibri" w:cs="Calibri" w:eastAsia="Calibri" w:hAnsi="Calibri"/>
          <w:color w:val="000000"/>
          <w:sz w:val="20"/>
          <w:szCs w:val="20"/>
        </w:rPr>
        <w:t xml:space="preserve">[ ] Reclassificar Substância Econômica quando a atividade muda</w:t>
      </w:r>
    </w:p>
    <w:p>
      <w:pPr>
        <w:pStyle w:val="ListParagraph"/>
        <w:numPr>
          <w:ilvl w:val="0"/>
          <w:numId w:val="2"/>
        </w:numPr>
        <w:spacing w:after="20" w:before="20"/>
      </w:pPr>
      <w:r>
        <w:rPr>
          <w:rFonts w:ascii="Calibri" w:cs="Calibri" w:eastAsia="Calibri" w:hAnsi="Calibri"/>
          <w:color w:val="000000"/>
          <w:sz w:val="20"/>
          <w:szCs w:val="20"/>
        </w:rPr>
        <w:t xml:space="preserve">[ ] Refresh periódico de due diligence / KYC</w:t>
      </w:r>
    </w:p>
    <w:p>
      <w:pPr>
        <w:pStyle w:val="ListParagraph"/>
        <w:numPr>
          <w:ilvl w:val="0"/>
          <w:numId w:val="2"/>
        </w:numPr>
        <w:spacing w:after="20" w:before="20"/>
      </w:pPr>
      <w:r>
        <w:rPr>
          <w:rFonts w:ascii="Calibri" w:cs="Calibri" w:eastAsia="Calibri" w:hAnsi="Calibri"/>
          <w:color w:val="000000"/>
          <w:sz w:val="20"/>
          <w:szCs w:val="20"/>
        </w:rPr>
        <w:t xml:space="preserve">[ ] Atualização cadastral</w:t>
      </w:r>
    </w:p>
    <w:p>
      <w:pPr>
        <w:pStyle w:val="Heading3"/>
        <w:spacing w:after="110" w:before="260"/>
      </w:pPr>
      <w:r>
        <w:rPr>
          <w:rFonts w:ascii="Calibri" w:cs="Calibri" w:eastAsia="Calibri" w:hAnsi="Calibri"/>
          <w:b/>
          <w:bCs/>
          <w:color w:val="2E6DA4"/>
          <w:sz w:val="22"/>
          <w:szCs w:val="22"/>
        </w:rPr>
        <w:t xml:space="preserve">E. Eventos de vida do cliente</w:t>
      </w:r>
    </w:p>
    <w:p>
      <w:pPr>
        <w:pStyle w:val="ListParagraph"/>
        <w:numPr>
          <w:ilvl w:val="0"/>
          <w:numId w:val="2"/>
        </w:numPr>
        <w:spacing w:after="20" w:before="20"/>
      </w:pPr>
      <w:r>
        <w:rPr>
          <w:rFonts w:ascii="Calibri" w:cs="Calibri" w:eastAsia="Calibri" w:hAnsi="Calibri"/>
          <w:color w:val="000000"/>
          <w:sz w:val="20"/>
          <w:szCs w:val="20"/>
        </w:rPr>
        <w:t xml:space="preserve">[ ] Mudança de residência fiscal</w:t>
      </w:r>
    </w:p>
    <w:p>
      <w:pPr>
        <w:pStyle w:val="ListParagraph"/>
        <w:numPr>
          <w:ilvl w:val="0"/>
          <w:numId w:val="2"/>
        </w:numPr>
        <w:spacing w:after="20" w:before="20"/>
      </w:pPr>
      <w:r>
        <w:rPr>
          <w:rFonts w:ascii="Calibri" w:cs="Calibri" w:eastAsia="Calibri" w:hAnsi="Calibri"/>
          <w:color w:val="000000"/>
          <w:sz w:val="20"/>
          <w:szCs w:val="20"/>
        </w:rPr>
        <w:t xml:space="preserve">[ ] Casamento, divórcio, nascimento</w:t>
      </w:r>
    </w:p>
    <w:p>
      <w:pPr>
        <w:pStyle w:val="ListParagraph"/>
        <w:numPr>
          <w:ilvl w:val="0"/>
          <w:numId w:val="2"/>
        </w:numPr>
        <w:spacing w:after="20" w:before="20"/>
      </w:pPr>
      <w:r>
        <w:rPr>
          <w:rFonts w:ascii="Calibri" w:cs="Calibri" w:eastAsia="Calibri" w:hAnsi="Calibri"/>
          <w:color w:val="000000"/>
          <w:sz w:val="20"/>
          <w:szCs w:val="20"/>
        </w:rPr>
        <w:t xml:space="preserve">[ ] Falecimento — acionar sucessão e apoiar herdeiros</w:t>
      </w:r>
    </w:p>
    <w:p>
      <w:pPr>
        <w:pStyle w:val="ListParagraph"/>
        <w:numPr>
          <w:ilvl w:val="0"/>
          <w:numId w:val="2"/>
        </w:numPr>
        <w:spacing w:after="20" w:before="20"/>
      </w:pPr>
      <w:r>
        <w:rPr>
          <w:rFonts w:ascii="Calibri" w:cs="Calibri" w:eastAsia="Calibri" w:hAnsi="Calibri"/>
          <w:color w:val="000000"/>
          <w:sz w:val="20"/>
          <w:szCs w:val="20"/>
        </w:rPr>
        <w:t xml:space="preserve">[ ] Venda de ativo / evento de liquidez</w:t>
      </w:r>
    </w:p>
    <w:p>
      <w:pPr>
        <w:pStyle w:val="Heading3"/>
        <w:spacing w:after="110" w:before="260"/>
      </w:pPr>
      <w:r>
        <w:rPr>
          <w:rFonts w:ascii="Calibri" w:cs="Calibri" w:eastAsia="Calibri" w:hAnsi="Calibri"/>
          <w:b/>
          <w:bCs/>
          <w:color w:val="2E6DA4"/>
          <w:sz w:val="22"/>
          <w:szCs w:val="22"/>
        </w:rPr>
        <w:t xml:space="preserve">F. Educação</w:t>
      </w:r>
    </w:p>
    <w:p>
      <w:pPr>
        <w:pStyle w:val="ListParagraph"/>
        <w:numPr>
          <w:ilvl w:val="0"/>
          <w:numId w:val="2"/>
        </w:numPr>
        <w:spacing w:after="20" w:before="20"/>
      </w:pPr>
      <w:r>
        <w:rPr>
          <w:rFonts w:ascii="Calibri" w:cs="Calibri" w:eastAsia="Calibri" w:hAnsi="Calibri"/>
          <w:color w:val="000000"/>
          <w:sz w:val="20"/>
          <w:szCs w:val="20"/>
        </w:rPr>
        <w:t xml:space="preserve">[ ] Explicar a estrutura ao cliente e à família</w:t>
      </w:r>
    </w:p>
    <w:p>
      <w:pPr>
        <w:pStyle w:val="ListParagraph"/>
        <w:numPr>
          <w:ilvl w:val="0"/>
          <w:numId w:val="2"/>
        </w:numPr>
        <w:spacing w:after="20" w:before="20"/>
      </w:pPr>
      <w:r>
        <w:rPr>
          <w:rFonts w:ascii="Calibri" w:cs="Calibri" w:eastAsia="Calibri" w:hAnsi="Calibri"/>
          <w:color w:val="000000"/>
          <w:sz w:val="20"/>
          <w:szCs w:val="20"/>
        </w:rPr>
        <w:t xml:space="preserve">[ ] Reunião com filhos e herdeiros</w:t>
      </w:r>
    </w:p>
    <w:p>
      <w:pPr>
        <w:pStyle w:val="ListParagraph"/>
        <w:numPr>
          <w:ilvl w:val="0"/>
          <w:numId w:val="2"/>
        </w:numPr>
        <w:spacing w:after="20" w:before="20"/>
      </w:pPr>
      <w:r>
        <w:rPr>
          <w:rFonts w:ascii="Calibri" w:cs="Calibri" w:eastAsia="Calibri" w:hAnsi="Calibri"/>
          <w:color w:val="000000"/>
          <w:sz w:val="20"/>
          <w:szCs w:val="20"/>
        </w:rPr>
        <w:t xml:space="preserve">[ ] Organogramas e material explicativo</w:t>
      </w:r>
    </w:p>
    <w:p>
      <w:pPr>
        <w:pStyle w:val="Heading2"/>
        <w:spacing w:after="140" w:before="340"/>
      </w:pPr>
      <w:r>
        <w:rPr>
          <w:rFonts w:ascii="Calibri" w:cs="Calibri" w:eastAsia="Calibri" w:hAnsi="Calibri"/>
          <w:b/>
          <w:bCs/>
          <w:color w:val="1F3A5F"/>
          <w:sz w:val="26"/>
          <w:szCs w:val="26"/>
        </w:rPr>
        <w:t xml:space="preserve">3.2 O que medir em cada item marcado</w:t>
      </w:r>
    </w:p>
    <w:p>
      <w:pPr>
        <w:spacing w:after="120" w:before="60"/>
      </w:pPr>
      <w:r>
        <w:rPr>
          <w:rFonts w:ascii="Calibri" w:cs="Calibri" w:eastAsia="Calibri" w:hAnsi="Calibri"/>
          <w:color w:val="000000"/>
          <w:sz w:val="20"/>
          <w:szCs w:val="20"/>
        </w:rPr>
        <w:t xml:space="preserve">Para cada caixa marcada, responder cinco coisas:</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5775"/>
        <w:gridCol w:w="3971"/>
      </w:tblGrid>
      <w:tr>
        <w:trPr>
          <w:tblHeader/>
        </w:trPr>
        <w:tc>
          <w:tcPr>
            <w:tcW w:type="dxa" w:w="5775"/>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Pergunta</w:t>
            </w:r>
          </w:p>
        </w:tc>
        <w:tc>
          <w:tcPr>
            <w:tcW w:type="dxa" w:w="3971"/>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Por que importa</w:t>
            </w:r>
          </w:p>
        </w:tc>
      </w:tr>
      <w:tr>
        <w:tc>
          <w:tcPr>
            <w:tcW w:type="dxa" w:w="5775"/>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Quem faz? (Claudia / Fabiana / Meire / terceiro)</w:t>
            </w:r>
          </w:p>
        </w:tc>
        <w:tc>
          <w:tcPr>
            <w:tcW w:type="dxa" w:w="3971"/>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Define o custo-hora</w:t>
            </w:r>
          </w:p>
        </w:tc>
      </w:tr>
      <w:tr>
        <w:tc>
          <w:tcPr>
            <w:tcW w:type="dxa" w:w="5775"/>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Quanto tempo leva por vez?</w:t>
            </w:r>
          </w:p>
        </w:tc>
        <w:tc>
          <w:tcPr>
            <w:tcW w:type="dxa" w:w="3971"/>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Base do custo</w:t>
            </w:r>
          </w:p>
        </w:tc>
      </w:tr>
      <w:tr>
        <w:tc>
          <w:tcPr>
            <w:tcW w:type="dxa" w:w="5775"/>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Quantas vezes por ano, por cliente?</w:t>
            </w:r>
          </w:p>
        </w:tc>
        <w:tc>
          <w:tcPr>
            <w:tcW w:type="dxa" w:w="3971"/>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Vira custo anual</w:t>
            </w:r>
          </w:p>
        </w:tc>
      </w:tr>
      <w:tr>
        <w:tc>
          <w:tcPr>
            <w:tcW w:type="dxa" w:w="5775"/>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Quantos % dos clientes usam?</w:t>
            </w:r>
          </w:p>
        </w:tc>
        <w:tc>
          <w:tcPr>
            <w:tcW w:type="dxa" w:w="3971"/>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Separa o universal do excepcional</w:t>
            </w:r>
          </w:p>
        </w:tc>
      </w:tr>
      <w:tr>
        <w:tc>
          <w:tcPr>
            <w:tcW w:type="dxa" w:w="5775"/>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Quem puxa: o cliente, a FGC, ou a lei?</w:t>
            </w:r>
          </w:p>
        </w:tc>
        <w:tc>
          <w:tcPr>
            <w:tcW w:type="dxa" w:w="3971"/>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Diz se dá para controlar o volume</w:t>
            </w:r>
          </w:p>
        </w:tc>
      </w:tr>
    </w:tbl>
    <w:p>
      <w:pPr>
        <w:spacing w:after="200"/>
      </w:pPr>
      <w:r>
        <w:t xml:space="preserve"/>
      </w:r>
    </w:p>
    <w:p>
      <w:pPr>
        <w:spacing w:after="120" w:before="60"/>
      </w:pPr>
      <w:r>
        <w:rPr>
          <w:rFonts w:ascii="Calibri" w:cs="Calibri" w:eastAsia="Calibri" w:hAnsi="Calibri"/>
          <w:b/>
          <w:bCs/>
          <w:color w:val="000000"/>
          <w:sz w:val="20"/>
          <w:szCs w:val="20"/>
        </w:rPr>
        <w:t xml:space="preserve">Custo oculto por cliente/ano = Σ (tempo × frequência × custo-hora)</w:t>
      </w:r>
    </w:p>
    <w:p>
      <w:pPr>
        <w:spacing w:after="120" w:before="60"/>
      </w:pPr>
      <w:r>
        <w:rPr>
          <w:rFonts w:ascii="Calibri" w:cs="Calibri" w:eastAsia="Calibri" w:hAnsi="Calibri"/>
          <w:color w:val="000000"/>
          <w:sz w:val="20"/>
          <w:szCs w:val="20"/>
        </w:rPr>
        <w:t xml:space="preserve">Esse número é a resposta para "quanto estamos deixando na mesa" — e é o que</w:t>
      </w:r>
    </w:p>
    <w:p>
      <w:pPr>
        <w:spacing w:after="120" w:before="60"/>
      </w:pPr>
      <w:r>
        <w:rPr>
          <w:rFonts w:ascii="Calibri" w:cs="Calibri" w:eastAsia="Calibri" w:hAnsi="Calibri"/>
          <w:color w:val="000000"/>
          <w:sz w:val="20"/>
          <w:szCs w:val="20"/>
        </w:rPr>
        <w:t xml:space="preserve">justifica o preço do plano.</w:t>
      </w:r>
    </w:p>
    <w:p>
      <w:pPr>
        <w:pStyle w:val="Heading2"/>
        <w:spacing w:after="140" w:before="340"/>
      </w:pPr>
      <w:r>
        <w:rPr>
          <w:rFonts w:ascii="Calibri" w:cs="Calibri" w:eastAsia="Calibri" w:hAnsi="Calibri"/>
          <w:b/>
          <w:bCs/>
          <w:color w:val="1F3A5F"/>
          <w:sz w:val="26"/>
          <w:szCs w:val="26"/>
        </w:rPr>
        <w:t xml:space="preserve">3.3 Onde cada serviço vai parar</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3480"/>
        <w:gridCol w:w="6266"/>
      </w:tblGrid>
      <w:tr>
        <w:trPr>
          <w:tblHeader/>
        </w:trPr>
        <w:tc>
          <w:tcPr>
            <w:tcW w:type="dxa" w:w="3480"/>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Destino</w:t>
            </w:r>
          </w:p>
        </w:tc>
        <w:tc>
          <w:tcPr>
            <w:tcW w:type="dxa" w:w="6266"/>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Critério</w:t>
            </w:r>
          </w:p>
        </w:tc>
      </w:tr>
      <w:tr>
        <w:tc>
          <w:tcPr>
            <w:tcW w:type="dxa" w:w="3480"/>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Incluído no plano base</w:t>
            </w:r>
          </w:p>
        </w:tc>
        <w:tc>
          <w:tcPr>
            <w:tcW w:type="dxa" w:w="626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Frequente, barato, todo cliente espera</w:t>
            </w:r>
          </w:p>
        </w:tc>
      </w:tr>
      <w:tr>
        <w:tc>
          <w:tcPr>
            <w:tcW w:type="dxa" w:w="3480"/>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Incluído em plano superior</w:t>
            </w:r>
          </w:p>
        </w:tc>
        <w:tc>
          <w:tcPr>
            <w:tcW w:type="dxa" w:w="626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Custo médio, é diferenciador, nem todo cliente precisa</w:t>
            </w:r>
          </w:p>
        </w:tc>
      </w:tr>
      <w:tr>
        <w:tc>
          <w:tcPr>
            <w:tcW w:type="dxa" w:w="3480"/>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Cobrado sempre à parte</w:t>
            </w:r>
          </w:p>
        </w:tc>
        <w:tc>
          <w:tcPr>
            <w:tcW w:type="dxa" w:w="626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Caro, esporádico, o gatilho é externo</w:t>
            </w:r>
          </w:p>
        </w:tc>
      </w:tr>
    </w:tbl>
    <w:p>
      <w:pPr>
        <w:spacing w:after="200"/>
      </w:pPr>
      <w:r>
        <w:t xml:space="preserve"/>
      </w:r>
    </w:p>
    <w:p>
      <w:pPr>
        <w:spacing w:after="120" w:before="60"/>
      </w:pPr>
      <w:r>
        <w:rPr>
          <w:rFonts w:ascii="Calibri" w:cs="Calibri" w:eastAsia="Calibri" w:hAnsi="Calibri"/>
          <w:b/>
          <w:bCs/>
          <w:color w:val="000000"/>
          <w:sz w:val="20"/>
          <w:szCs w:val="20"/>
        </w:rPr>
        <w:t xml:space="preserve">A analogia da Claudia, aplicada:</w:t>
      </w:r>
      <w:r>
        <w:rPr>
          <w:rFonts w:ascii="Calibri" w:cs="Calibri" w:eastAsia="Calibri" w:hAnsi="Calibri"/>
          <w:color w:val="000000"/>
          <w:sz w:val="20"/>
          <w:szCs w:val="20"/>
        </w:rPr>
        <w:t xml:space="preserve"> plano base são as aulas — todo mundo tem,</w:t>
      </w:r>
    </w:p>
    <w:p>
      <w:pPr>
        <w:spacing w:after="120" w:before="60"/>
      </w:pPr>
      <w:r>
        <w:rPr>
          <w:rFonts w:ascii="Calibri" w:cs="Calibri" w:eastAsia="Calibri" w:hAnsi="Calibri"/>
          <w:color w:val="000000"/>
          <w:sz w:val="20"/>
          <w:szCs w:val="20"/>
        </w:rPr>
        <w:t xml:space="preserve">está no preço. Plano superior é a sauna inclusa. Avulso é a sauna comprada por</w:t>
      </w:r>
    </w:p>
    <w:p>
      <w:pPr>
        <w:spacing w:after="120" w:before="60"/>
      </w:pPr>
      <w:r>
        <w:rPr>
          <w:rFonts w:ascii="Calibri" w:cs="Calibri" w:eastAsia="Calibri" w:hAnsi="Calibri"/>
          <w:color w:val="000000"/>
          <w:sz w:val="20"/>
          <w:szCs w:val="20"/>
        </w:rPr>
        <w:t xml:space="preserve">dia. O ponto não é cobrar mais de todo mundo. É deixar visível, para que quem</w:t>
      </w:r>
    </w:p>
    <w:p>
      <w:pPr>
        <w:spacing w:after="120" w:before="60"/>
      </w:pPr>
      <w:r>
        <w:rPr>
          <w:rFonts w:ascii="Calibri" w:cs="Calibri" w:eastAsia="Calibri" w:hAnsi="Calibri"/>
          <w:color w:val="000000"/>
          <w:sz w:val="20"/>
          <w:szCs w:val="20"/>
        </w:rPr>
        <w:t xml:space="preserve">usa mais pague mais e quem usa pouco perceba que economiza.</w:t>
      </w:r>
    </w:p>
    <w:p>
      <w:pPr>
        <w:pBdr>
          <w:bottom w:val="single" w:color="C9D4E0" w:sz="6" w:space="1"/>
        </w:pBdr>
        <w:spacing w:after="200" w:before="160"/>
      </w:pPr>
      <w:r>
        <w:t xml:space="preserve"/>
      </w:r>
    </w:p>
    <w:p>
      <w:r>
        <w:br w:type="page"/>
      </w:r>
    </w:p>
    <w:p>
      <w:pPr>
        <w:pStyle w:val="Heading1"/>
        <w:spacing w:after="200" w:before="240"/>
      </w:pPr>
      <w:r>
        <w:rPr>
          <w:rFonts w:ascii="Calibri" w:cs="Calibri" w:eastAsia="Calibri" w:hAnsi="Calibri"/>
          <w:b/>
          <w:bCs/>
          <w:color w:val="1F3A5F"/>
          <w:sz w:val="34"/>
          <w:szCs w:val="34"/>
        </w:rPr>
        <w:t xml:space="preserve">PARTE 4 — O prompt</w:t>
      </w:r>
    </w:p>
    <w:p>
      <w:pPr>
        <w:pBdr>
          <w:bottom w:val="single" w:color="2E6DA4" w:sz="12" w:space="2"/>
        </w:pBdr>
        <w:spacing w:after="200"/>
      </w:pPr>
      <w:r>
        <w:t xml:space="preserve"/>
      </w:r>
    </w:p>
    <w:p>
      <w:pPr>
        <w:spacing w:after="120" w:before="60"/>
      </w:pPr>
      <w:r>
        <w:rPr>
          <w:rFonts w:ascii="Calibri" w:cs="Calibri" w:eastAsia="Calibri" w:hAnsi="Calibri"/>
          <w:color w:val="000000"/>
          <w:sz w:val="20"/>
          <w:szCs w:val="20"/>
        </w:rPr>
        <w:t xml:space="preserve">Colar no Claude junto com este documento, </w:t>
      </w:r>
      <w:r>
        <w:rPr>
          <w:rFonts w:ascii="Calibri" w:cs="Calibri" w:eastAsia="Calibri" w:hAnsi="Calibri"/>
          <w:b/>
          <w:bCs/>
          <w:color w:val="000000"/>
          <w:sz w:val="20"/>
          <w:szCs w:val="20"/>
        </w:rPr>
        <w:t xml:space="preserve">depois</w:t>
      </w:r>
      <w:r>
        <w:rPr>
          <w:rFonts w:ascii="Calibri" w:cs="Calibri" w:eastAsia="Calibri" w:hAnsi="Calibri"/>
          <w:color w:val="000000"/>
          <w:sz w:val="20"/>
          <w:szCs w:val="20"/>
        </w:rPr>
        <w:t xml:space="preserve"> que a Parte 3.1 estiver</w:t>
      </w:r>
    </w:p>
    <w:p>
      <w:pPr>
        <w:spacing w:after="120" w:before="60"/>
      </w:pPr>
      <w:r>
        <w:rPr>
          <w:rFonts w:ascii="Calibri" w:cs="Calibri" w:eastAsia="Calibri" w:hAnsi="Calibri"/>
          <w:color w:val="000000"/>
          <w:sz w:val="20"/>
          <w:szCs w:val="20"/>
        </w:rPr>
        <w:t xml:space="preserve">preenchida.</w:t>
      </w:r>
    </w:p>
    <w:p>
      <w:pPr>
        <w:pBdr>
          <w:left w:val="single" w:color="2E6DA4" w:sz="12" w:space="6"/>
        </w:pBdr>
        <w:shd w:fill="F6F8FA" w:color="auto" w:val="clear"/>
        <w:spacing w:after="0" w:before="120"/>
        <w:ind w:left="240" w:right="240"/>
      </w:pPr>
      <w:r>
        <w:rPr>
          <w:rFonts w:ascii="Consolas" w:cs="Consolas" w:eastAsia="Consolas" w:hAnsi="Consolas"/>
          <w:color w:val="24292E"/>
          <w:sz w:val="16"/>
          <w:szCs w:val="16"/>
        </w:rPr>
        <w:t xml:space="preserve">Você é consultor de pricing e packaging da FGC Advisors, empresa de estruturação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societária internacional (BVI, Bahamas, Cayman, Nevis e LLCs americanas) que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atende famílias e empresários brasileiros.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ANEXO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Documento com: (1) a matriz de preços atual da FGC, (2) os serviços que hoje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saem sem preço, (3) a lista de serviços invisíveis preenchida por nós, com</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tempo, frequência e quem executa.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O PROBLEMA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Hoje vendemos serviço avulso com preço por item. Existe um conjunto grande de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trabalho relacional — acompanhamento, reuniões, coordenação com contador 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advogado, certidões, atas — que entregamos e não cobramos. O cliente recebe,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não sabe que recebe, e por isso não atribui valor. Além disso, 8 serviços de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reestruturação não têm preço nenhum e são cotados na hora.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O OBJETIVO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Planos em níveis onde fique explícito o que está incluído E o que não está.</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A analogia: academia. O plano básico dá acesso às aulas. A sauna é do plano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superior ou se paga à parte. O importante é o cliente enxergar o que não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comprou — é daí que vem o valor percebido.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ENTREGÁVEIS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1. ALOCAÇÃO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Distribuir todos os serviços — os da matriz e os invisíveis — entre três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destinos: incluso no plano base, incluso em nível superior, ou sempre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avulso. Justificar cada um com o dado de custo e frequência que te dei.</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2. TRÊS PLANOS (sugestão: Essencial / Avançado / Private)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Para cada um:</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 Serviços inclusos, lista fechada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 Concierge incluso: quantas reuniões, qual tempo de resposta, quantas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horas de coordenação com terceiros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 O que explicitamente NÃO está incluso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 Preço anual em USD, com a conta que chega nele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 Qual perfil da nossa base se encaixa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3. PREÇO DO CONCIERGE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Metodologia, não chute. Custo em horas, valor percebido, e o modelo: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embutido no plano, taxa de acesso, ou pacote de horas. Mostre a conta.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4. OS 8 SERVIÇOS SEM PREÇO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Propor faixa de preço para cada reestruturação, ou transformar em</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benefício de nível superior.</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5. A SEÇÃO "NÃO INCLUÍDO"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Hoje é uma cláusula genérica de 6 linhas no fim da proposta, que só nos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protege juridicamente. Reescrever como tabela comparativa por nível, para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o cliente ver o que está deixando na mesa.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6. RISCOS E TRANSIÇÃO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Onde isso gera atrito com a base atual. Como migrar quem já é cliente.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O que responder para quem reclamar de pagar por algo que era de graça.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REGRAS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Não invente número que não esteja no anexo. Se faltar dado, pergunte.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Seja específico: USD, número de reuniões, prazo em dias úteis.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Nossa base é brasileira e sensível a preço, mas compra estruturas de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USD 3.000 a USD 15.000+.</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Pense em receita recorrente. O dinheiro está na manutenção e na</w:t>
      </w:r>
    </w:p>
    <w:p>
      <w:pPr>
        <w:pBdr>
          <w:left w:val="single" w:color="2E6DA4" w:sz="12" w:space="6"/>
        </w:pBdr>
        <w:shd w:fill="F6F8FA" w:color="auto" w:val="clear"/>
        <w:spacing w:after="160" w:before="0"/>
        <w:ind w:left="240" w:right="240"/>
      </w:pPr>
      <w:r>
        <w:rPr>
          <w:rFonts w:ascii="Consolas" w:cs="Consolas" w:eastAsia="Consolas" w:hAnsi="Consolas"/>
          <w:color w:val="24292E"/>
          <w:sz w:val="16"/>
          <w:szCs w:val="16"/>
        </w:rPr>
        <w:t xml:space="preserve">  contabilidade, não na constituição.</w:t>
      </w:r>
    </w:p>
    <w:p>
      <w:pPr>
        <w:pBdr>
          <w:bottom w:val="single" w:color="C9D4E0" w:sz="6" w:space="1"/>
        </w:pBdr>
        <w:spacing w:after="200" w:before="160"/>
      </w:pPr>
      <w:r>
        <w:t xml:space="preserve"/>
      </w:r>
    </w:p>
    <w:p>
      <w:pPr>
        <w:pStyle w:val="Heading2"/>
        <w:spacing w:after="140" w:before="340"/>
      </w:pPr>
      <w:r>
        <w:rPr>
          <w:rFonts w:ascii="Calibri" w:cs="Calibri" w:eastAsia="Calibri" w:hAnsi="Calibri"/>
          <w:b/>
          <w:bCs/>
          <w:color w:val="1F3A5F"/>
          <w:sz w:val="26"/>
          <w:szCs w:val="26"/>
        </w:rPr>
        <w:t xml:space="preserve">Sequência</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657"/>
        <w:gridCol w:w="6570"/>
        <w:gridCol w:w="2519"/>
      </w:tblGrid>
      <w:tr>
        <w:trPr>
          <w:tblHeader/>
        </w:trPr>
        <w:tc>
          <w:tcPr>
            <w:tcW w:type="dxa" w:w="657"/>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w:t>
            </w:r>
          </w:p>
        </w:tc>
        <w:tc>
          <w:tcPr>
            <w:tcW w:type="dxa" w:w="6570"/>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Etapa</w:t>
            </w:r>
          </w:p>
        </w:tc>
        <w:tc>
          <w:tcPr>
            <w:tcW w:type="dxa" w:w="2519"/>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Quem</w:t>
            </w:r>
          </w:p>
        </w:tc>
      </w:tr>
      <w:tr>
        <w:tc>
          <w:tcPr>
            <w:tcW w:type="dxa" w:w="65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1</w:t>
            </w:r>
          </w:p>
        </w:tc>
        <w:tc>
          <w:tcPr>
            <w:tcW w:type="dxa" w:w="657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Preencher a lista da Parte 3.1 — cada uma separadamente, depois cruzar</w:t>
            </w:r>
          </w:p>
        </w:tc>
        <w:tc>
          <w:tcPr>
            <w:tcW w:type="dxa" w:w="251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Claudia, Fabiana, Meire</w:t>
            </w:r>
          </w:p>
        </w:tc>
      </w:tr>
      <w:tr>
        <w:tc>
          <w:tcPr>
            <w:tcW w:type="dxa" w:w="65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2</w:t>
            </w:r>
          </w:p>
        </w:tc>
        <w:tc>
          <w:tcPr>
            <w:tcW w:type="dxa" w:w="657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Medir os 5 campos da Parte 3.2 para tudo que foi marcado</w:t>
            </w:r>
          </w:p>
        </w:tc>
        <w:tc>
          <w:tcPr>
            <w:tcW w:type="dxa" w:w="251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As três juntas</w:t>
            </w:r>
          </w:p>
        </w:tc>
      </w:tr>
      <w:tr>
        <w:tc>
          <w:tcPr>
            <w:tcW w:type="dxa" w:w="65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3</w:t>
            </w:r>
          </w:p>
        </w:tc>
        <w:tc>
          <w:tcPr>
            <w:tcW w:type="dxa" w:w="657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Levantar nº de clientes, ticket anual, e quem consome mais concierge</w:t>
            </w:r>
          </w:p>
        </w:tc>
        <w:tc>
          <w:tcPr>
            <w:tcW w:type="dxa" w:w="251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Claudia</w:t>
            </w:r>
          </w:p>
        </w:tc>
      </w:tr>
      <w:tr>
        <w:tc>
          <w:tcPr>
            <w:tcW w:type="dxa" w:w="65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4</w:t>
            </w:r>
          </w:p>
        </w:tc>
        <w:tc>
          <w:tcPr>
            <w:tcW w:type="dxa" w:w="657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Rodar o prompt da Parte 4</w:t>
            </w:r>
          </w:p>
        </w:tc>
        <w:tc>
          <w:tcPr>
            <w:tcW w:type="dxa" w:w="251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Sessão com Claude</w:t>
            </w:r>
          </w:p>
        </w:tc>
      </w:tr>
    </w:tbl>
    <w:p>
      <w:pPr>
        <w:spacing w:after="200"/>
      </w:pPr>
      <w:r>
        <w:t xml:space="preserve"/>
      </w:r>
    </w:p>
    <w:p>
      <w:pPr>
        <w:spacing w:after="120" w:before="60"/>
      </w:pPr>
      <w:r>
        <w:rPr>
          <w:rFonts w:ascii="Calibri" w:cs="Calibri" w:eastAsia="Calibri" w:hAnsi="Calibri"/>
          <w:color w:val="000000"/>
          <w:sz w:val="20"/>
          <w:szCs w:val="20"/>
        </w:rPr>
        <w:t xml:space="preserve">As etapas 1 a 3 dependem só da FGC. **Sem elas, o prompt da etapa 4 devolve</w:t>
      </w:r>
    </w:p>
    <w:p>
      <w:pPr>
        <w:spacing w:after="120" w:before="60"/>
      </w:pPr>
      <w:r>
        <w:rPr>
          <w:rFonts w:ascii="Calibri" w:cs="Calibri" w:eastAsia="Calibri" w:hAnsi="Calibri"/>
          <w:color w:val="000000"/>
          <w:sz w:val="20"/>
          <w:szCs w:val="20"/>
        </w:rPr>
        <w:t xml:space="preserve">número inventado.**</w:t>
      </w:r>
    </w:p>
    <w:p>
      <w:pPr>
        <w:pBdr>
          <w:bottom w:val="single" w:color="C9D4E0" w:sz="6" w:space="1"/>
        </w:pBdr>
        <w:spacing w:after="200" w:before="160"/>
      </w:pPr>
      <w:r>
        <w:t xml:space="preserve"/>
      </w:r>
    </w:p>
    <w:p>
      <w:r>
        <w:br w:type="page"/>
      </w:r>
    </w:p>
    <w:p>
      <w:pPr>
        <w:pStyle w:val="Heading1"/>
        <w:spacing w:after="200" w:before="240"/>
      </w:pPr>
      <w:r>
        <w:rPr>
          <w:rFonts w:ascii="Calibri" w:cs="Calibri" w:eastAsia="Calibri" w:hAnsi="Calibri"/>
          <w:b/>
          <w:bCs/>
          <w:color w:val="1F3A5F"/>
          <w:sz w:val="34"/>
          <w:szCs w:val="34"/>
        </w:rPr>
        <w:t xml:space="preserve">PARTE 5 — Escopo detalhado de cada serviço</w:t>
      </w:r>
    </w:p>
    <w:p>
      <w:pPr>
        <w:pBdr>
          <w:bottom w:val="single" w:color="2E6DA4" w:sz="12" w:space="2"/>
        </w:pBdr>
        <w:spacing w:after="200"/>
      </w:pPr>
      <w:r>
        <w:t xml:space="preserve"/>
      </w:r>
    </w:p>
    <w:p>
      <w:pPr>
        <w:spacing w:after="120" w:before="60"/>
      </w:pPr>
      <w:r>
        <w:rPr>
          <w:rFonts w:ascii="Calibri" w:cs="Calibri" w:eastAsia="Calibri" w:hAnsi="Calibri"/>
          <w:color w:val="000000"/>
          <w:sz w:val="20"/>
          <w:szCs w:val="20"/>
        </w:rPr>
        <w:t xml:space="preserve">O que está incluído item a item — é o texto que sai na proposta. Use para decidir</w:t>
      </w:r>
    </w:p>
    <w:p>
      <w:pPr>
        <w:spacing w:after="120" w:before="60"/>
      </w:pPr>
      <w:r>
        <w:rPr>
          <w:rFonts w:ascii="Calibri" w:cs="Calibri" w:eastAsia="Calibri" w:hAnsi="Calibri"/>
          <w:color w:val="000000"/>
          <w:sz w:val="20"/>
          <w:szCs w:val="20"/>
        </w:rPr>
        <w:t xml:space="preserve">o que entra em cada plano.</w:t>
      </w:r>
    </w:p>
    <w:p>
      <w:pPr>
        <w:pStyle w:val="Heading2"/>
        <w:spacing w:after="140" w:before="340"/>
      </w:pPr>
      <w:r>
        <w:rPr>
          <w:rFonts w:ascii="Calibri" w:cs="Calibri" w:eastAsia="Calibri" w:hAnsi="Calibri"/>
          <w:b/>
          <w:bCs/>
          <w:color w:val="1F3A5F"/>
          <w:sz w:val="26"/>
          <w:szCs w:val="26"/>
        </w:rPr>
        <w:t xml:space="preserve">1. Constituição de Empresas</w:t>
      </w:r>
    </w:p>
    <w:p>
      <w:pPr>
        <w:pStyle w:val="Heading3"/>
        <w:spacing w:after="110" w:before="260"/>
      </w:pPr>
      <w:r>
        <w:rPr>
          <w:rFonts w:ascii="Calibri" w:cs="Calibri" w:eastAsia="Calibri" w:hAnsi="Calibri"/>
          <w:b/>
          <w:bCs/>
          <w:color w:val="2E6DA4"/>
          <w:sz w:val="22"/>
          <w:szCs w:val="22"/>
        </w:rPr>
        <w:t xml:space="preserve">1.1 PIC / Offshore (pagamento na aceitação)</w:t>
      </w:r>
    </w:p>
    <w:p>
      <w:pPr>
        <w:pStyle w:val="Heading4"/>
        <w:spacing w:after="80" w:before="200"/>
      </w:pPr>
      <w:r>
        <w:rPr>
          <w:rFonts w:ascii="Calibri" w:cs="Calibri" w:eastAsia="Calibri" w:hAnsi="Calibri"/>
          <w:b/>
          <w:bCs/>
          <w:color w:val="000000"/>
          <w:sz w:val="20"/>
          <w:szCs w:val="20"/>
        </w:rPr>
        <w:t xml:space="preserve">Constituição BVI Company — </w:t>
      </w:r>
      <w:r>
        <w:rPr>
          <w:rFonts w:ascii="Calibri" w:cs="Calibri" w:eastAsia="Calibri" w:hAnsi="Calibri"/>
          <w:b/>
          <w:bCs/>
          <w:color w:val="000000"/>
          <w:sz w:val="20"/>
          <w:szCs w:val="20"/>
        </w:rPr>
        <w:t xml:space="preserve">USD 2,900</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aplicáveis no momento do registro</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 com estrutura simples (uma classe de ações ordinárias)</w:t>
      </w:r>
    </w:p>
    <w:p>
      <w:pPr>
        <w:pStyle w:val="ListParagraph"/>
        <w:numPr>
          <w:ilvl w:val="0"/>
          <w:numId w:val="2"/>
        </w:numPr>
        <w:spacing w:after="20" w:before="20"/>
      </w:pPr>
      <w:r>
        <w:rPr>
          <w:rFonts w:ascii="Calibri" w:cs="Calibri" w:eastAsia="Calibri" w:hAnsi="Calibri"/>
          <w:color w:val="000000"/>
          <w:sz w:val="20"/>
          <w:szCs w:val="20"/>
        </w:rPr>
        <w:t xml:space="preserve">Registro de Diretores e Acionistas</w:t>
      </w:r>
    </w:p>
    <w:p>
      <w:pPr>
        <w:pStyle w:val="ListParagraph"/>
        <w:numPr>
          <w:ilvl w:val="0"/>
          <w:numId w:val="2"/>
        </w:numPr>
        <w:spacing w:after="20" w:before="20"/>
      </w:pPr>
      <w:r>
        <w:rPr>
          <w:rFonts w:ascii="Calibri" w:cs="Calibri" w:eastAsia="Calibri" w:hAnsi="Calibri"/>
          <w:color w:val="000000"/>
          <w:sz w:val="20"/>
          <w:szCs w:val="20"/>
        </w:rPr>
        <w:t xml:space="preserve">Classificação inicial para Substância Econômica</w:t>
      </w:r>
    </w:p>
    <w:p>
      <w:pPr>
        <w:pStyle w:val="ListParagraph"/>
        <w:numPr>
          <w:ilvl w:val="0"/>
          <w:numId w:val="2"/>
        </w:numPr>
        <w:spacing w:after="20" w:before="20"/>
      </w:pPr>
      <w:r>
        <w:rPr>
          <w:rFonts w:ascii="Calibri" w:cs="Calibri" w:eastAsia="Calibri" w:hAnsi="Calibri"/>
          <w:color w:val="000000"/>
          <w:sz w:val="20"/>
          <w:szCs w:val="20"/>
        </w:rPr>
        <w:t xml:space="preserve">Corporate Seal</w:t>
      </w:r>
    </w:p>
    <w:p>
      <w:pPr>
        <w:pStyle w:val="ListParagraph"/>
        <w:numPr>
          <w:ilvl w:val="0"/>
          <w:numId w:val="2"/>
        </w:numPr>
        <w:spacing w:after="20" w:before="20"/>
      </w:pPr>
      <w:r>
        <w:rPr>
          <w:rFonts w:ascii="Calibri" w:cs="Calibri" w:eastAsia="Calibri" w:hAnsi="Calibri"/>
          <w:color w:val="000000"/>
          <w:sz w:val="20"/>
          <w:szCs w:val="20"/>
        </w:rPr>
        <w:t xml:space="preserve">Agente Registrado e Escritório Registrado</w:t>
      </w:r>
    </w:p>
    <w:p>
      <w:pPr>
        <w:pStyle w:val="ListParagraph"/>
        <w:numPr>
          <w:ilvl w:val="0"/>
          <w:numId w:val="2"/>
        </w:numPr>
        <w:spacing w:after="20" w:before="20"/>
      </w:pPr>
      <w:r>
        <w:rPr>
          <w:rFonts w:ascii="Calibri" w:cs="Calibri" w:eastAsia="Calibri" w:hAnsi="Calibri"/>
          <w:color w:val="000000"/>
          <w:sz w:val="20"/>
          <w:szCs w:val="20"/>
        </w:rPr>
        <w:t xml:space="preserve">Preenchimento de formulário W-8 (se necessário)</w:t>
      </w:r>
    </w:p>
    <w:p>
      <w:pPr>
        <w:pStyle w:val="ListParagraph"/>
        <w:numPr>
          <w:ilvl w:val="0"/>
          <w:numId w:val="2"/>
        </w:numPr>
        <w:spacing w:after="20" w:before="20"/>
      </w:pPr>
      <w:r>
        <w:rPr>
          <w:rFonts w:ascii="Calibri" w:cs="Calibri" w:eastAsia="Calibri" w:hAnsi="Calibri"/>
          <w:color w:val="000000"/>
          <w:sz w:val="20"/>
          <w:szCs w:val="20"/>
        </w:rPr>
        <w:t xml:space="preserve">Fornecimento dos documentos em formato digital</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serviços propostos são aplicáveis exclusivamente a sociedades autorizadas a emitir até 50.000 ações/shares. Caso a quantidade de ações seja superior, outros valores serão aplicados e deverão ser discutidos oportunamente.  </w:t>
      </w:r>
    </w:p>
    <w:p>
      <w:pPr>
        <w:pBdr>
          <w:left w:val="single" w:color="B8C6D6" w:sz="14" w:space="10"/>
        </w:pBdr>
        <w:spacing w:after="160" w:before="0"/>
        <w:ind w:left="340"/>
      </w:pPr>
      <w:r>
        <w:rPr>
          <w:rFonts w:ascii="Calibri" w:cs="Calibri" w:eastAsia="Calibri" w:hAnsi="Calibri"/>
          <w:i/>
          <w:iCs/>
          <w:color w:val="595959"/>
          <w:sz w:val="19"/>
          <w:szCs w:val="19"/>
        </w:rPr>
        <w:t xml:space="preserve">A proposta contempla exclusivamente uma estrutura simples, sem previsão de planejamento sucessório ou personalizações. Caso haja necessidade de ajustes ou serviços adicionais, novos valores serão discutidos.</w:t>
      </w:r>
    </w:p>
    <w:p>
      <w:pPr>
        <w:pStyle w:val="Heading4"/>
        <w:spacing w:after="80" w:before="200"/>
      </w:pPr>
      <w:r>
        <w:rPr>
          <w:rFonts w:ascii="Calibri" w:cs="Calibri" w:eastAsia="Calibri" w:hAnsi="Calibri"/>
          <w:b/>
          <w:bCs/>
          <w:color w:val="000000"/>
          <w:sz w:val="20"/>
          <w:szCs w:val="20"/>
        </w:rPr>
        <w:t xml:space="preserve">Constituição Bahamas Company — </w:t>
      </w:r>
      <w:r>
        <w:rPr>
          <w:rFonts w:ascii="Calibri" w:cs="Calibri" w:eastAsia="Calibri" w:hAnsi="Calibri"/>
          <w:b/>
          <w:bCs/>
          <w:color w:val="000000"/>
          <w:sz w:val="20"/>
          <w:szCs w:val="20"/>
        </w:rPr>
        <w:t xml:space="preserve">USD 2,900</w:t>
      </w:r>
    </w:p>
    <w:p>
      <w:pPr>
        <w:pStyle w:val="ListParagraph"/>
        <w:numPr>
          <w:ilvl w:val="0"/>
          <w:numId w:val="2"/>
        </w:numPr>
        <w:spacing w:after="20" w:before="20"/>
      </w:pPr>
      <w:r>
        <w:rPr>
          <w:rFonts w:ascii="Calibri" w:cs="Calibri" w:eastAsia="Calibri" w:hAnsi="Calibri"/>
          <w:color w:val="000000"/>
          <w:sz w:val="20"/>
          <w:szCs w:val="20"/>
        </w:rPr>
        <w:t xml:space="preserve">Pesquisa de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(vigentes na data de constituição)</w:t>
      </w:r>
    </w:p>
    <w:p>
      <w:pPr>
        <w:pStyle w:val="ListParagraph"/>
        <w:numPr>
          <w:ilvl w:val="0"/>
          <w:numId w:val="2"/>
        </w:numPr>
        <w:spacing w:after="20" w:before="20"/>
      </w:pPr>
      <w:r>
        <w:rPr>
          <w:rFonts w:ascii="Calibri" w:cs="Calibri" w:eastAsia="Calibri" w:hAnsi="Calibri"/>
          <w:color w:val="000000"/>
          <w:sz w:val="20"/>
          <w:szCs w:val="20"/>
        </w:rPr>
        <w:t xml:space="preserve">Documentos de constituição</w:t>
      </w:r>
    </w:p>
    <w:p>
      <w:pPr>
        <w:pStyle w:val="ListParagraph"/>
        <w:numPr>
          <w:ilvl w:val="0"/>
          <w:numId w:val="2"/>
        </w:numPr>
        <w:spacing w:after="20" w:before="20"/>
      </w:pPr>
      <w:r>
        <w:rPr>
          <w:rFonts w:ascii="Calibri" w:cs="Calibri" w:eastAsia="Calibri" w:hAnsi="Calibri"/>
          <w:color w:val="000000"/>
          <w:sz w:val="20"/>
          <w:szCs w:val="20"/>
        </w:rPr>
        <w:t xml:space="preserve">Registro da empresa junto ao Registrar General das Bahamas</w:t>
      </w:r>
    </w:p>
    <w:p>
      <w:pPr>
        <w:pStyle w:val="ListParagraph"/>
        <w:numPr>
          <w:ilvl w:val="0"/>
          <w:numId w:val="2"/>
        </w:numPr>
        <w:spacing w:after="20" w:before="20"/>
      </w:pPr>
      <w:r>
        <w:rPr>
          <w:rFonts w:ascii="Calibri" w:cs="Calibri" w:eastAsia="Calibri" w:hAnsi="Calibri"/>
          <w:color w:val="000000"/>
          <w:sz w:val="20"/>
          <w:szCs w:val="20"/>
        </w:rPr>
        <w:t xml:space="preserve">Certificado de Constituição</w:t>
      </w:r>
    </w:p>
    <w:p>
      <w:pPr>
        <w:pStyle w:val="ListParagraph"/>
        <w:numPr>
          <w:ilvl w:val="0"/>
          <w:numId w:val="2"/>
        </w:numPr>
        <w:spacing w:after="20" w:before="20"/>
      </w:pPr>
      <w:r>
        <w:rPr>
          <w:rFonts w:ascii="Calibri" w:cs="Calibri" w:eastAsia="Calibri" w:hAnsi="Calibri"/>
          <w:color w:val="000000"/>
          <w:sz w:val="20"/>
          <w:szCs w:val="20"/>
        </w:rPr>
        <w:t xml:space="preserve">Designação de Agente Registrado Local (primeiro ano incluído)</w:t>
      </w:r>
    </w:p>
    <w:p>
      <w:pPr>
        <w:pStyle w:val="Heading4"/>
        <w:spacing w:after="80" w:before="200"/>
      </w:pPr>
      <w:r>
        <w:rPr>
          <w:rFonts w:ascii="Calibri" w:cs="Calibri" w:eastAsia="Calibri" w:hAnsi="Calibri"/>
          <w:b/>
          <w:bCs/>
          <w:color w:val="000000"/>
          <w:sz w:val="20"/>
          <w:szCs w:val="20"/>
        </w:rPr>
        <w:t xml:space="preserve">Constituição Cayman Company — </w:t>
      </w:r>
      <w:r>
        <w:rPr>
          <w:rFonts w:ascii="Calibri" w:cs="Calibri" w:eastAsia="Calibri" w:hAnsi="Calibri"/>
          <w:b/>
          <w:bCs/>
          <w:color w:val="000000"/>
          <w:sz w:val="20"/>
          <w:szCs w:val="20"/>
        </w:rPr>
        <w:t xml:space="preserve">USD 6,700</w:t>
      </w:r>
    </w:p>
    <w:p>
      <w:pPr>
        <w:pStyle w:val="ListParagraph"/>
        <w:numPr>
          <w:ilvl w:val="0"/>
          <w:numId w:val="2"/>
        </w:numPr>
        <w:spacing w:after="20" w:before="20"/>
      </w:pPr>
      <w:r>
        <w:rPr>
          <w:rFonts w:ascii="Calibri" w:cs="Calibri" w:eastAsia="Calibri" w:hAnsi="Calibri"/>
          <w:color w:val="000000"/>
          <w:sz w:val="20"/>
          <w:szCs w:val="20"/>
        </w:rPr>
        <w:t xml:space="preserve">Pesquisa de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(vigentes na data de constituição)</w:t>
      </w:r>
    </w:p>
    <w:p>
      <w:pPr>
        <w:pStyle w:val="ListParagraph"/>
        <w:numPr>
          <w:ilvl w:val="0"/>
          <w:numId w:val="2"/>
        </w:numPr>
        <w:spacing w:after="20" w:before="20"/>
      </w:pPr>
      <w:r>
        <w:rPr>
          <w:rFonts w:ascii="Calibri" w:cs="Calibri" w:eastAsia="Calibri" w:hAnsi="Calibri"/>
          <w:color w:val="000000"/>
          <w:sz w:val="20"/>
          <w:szCs w:val="20"/>
        </w:rPr>
        <w:t xml:space="preserve">Documentos de constituição</w:t>
      </w:r>
    </w:p>
    <w:p>
      <w:pPr>
        <w:pStyle w:val="ListParagraph"/>
        <w:numPr>
          <w:ilvl w:val="0"/>
          <w:numId w:val="2"/>
        </w:numPr>
        <w:spacing w:after="20" w:before="20"/>
      </w:pPr>
      <w:r>
        <w:rPr>
          <w:rFonts w:ascii="Calibri" w:cs="Calibri" w:eastAsia="Calibri" w:hAnsi="Calibri"/>
          <w:color w:val="000000"/>
          <w:sz w:val="20"/>
          <w:szCs w:val="20"/>
        </w:rPr>
        <w:t xml:space="preserve">Registro da empresa junto ao Cayman Islands Registrar</w:t>
      </w:r>
    </w:p>
    <w:p>
      <w:pPr>
        <w:pStyle w:val="ListParagraph"/>
        <w:numPr>
          <w:ilvl w:val="0"/>
          <w:numId w:val="2"/>
        </w:numPr>
        <w:spacing w:after="20" w:before="20"/>
      </w:pPr>
      <w:r>
        <w:rPr>
          <w:rFonts w:ascii="Calibri" w:cs="Calibri" w:eastAsia="Calibri" w:hAnsi="Calibri"/>
          <w:color w:val="000000"/>
          <w:sz w:val="20"/>
          <w:szCs w:val="20"/>
        </w:rPr>
        <w:t xml:space="preserve">Certificado de Constituição</w:t>
      </w:r>
    </w:p>
    <w:p>
      <w:pPr>
        <w:pStyle w:val="ListParagraph"/>
        <w:numPr>
          <w:ilvl w:val="0"/>
          <w:numId w:val="2"/>
        </w:numPr>
        <w:spacing w:after="20" w:before="20"/>
      </w:pPr>
      <w:r>
        <w:rPr>
          <w:rFonts w:ascii="Calibri" w:cs="Calibri" w:eastAsia="Calibri" w:hAnsi="Calibri"/>
          <w:color w:val="000000"/>
          <w:sz w:val="20"/>
          <w:szCs w:val="20"/>
        </w:rPr>
        <w:t xml:space="preserve">Designação de Agente Registrado Local (primeiro ano incluído)</w:t>
      </w:r>
    </w:p>
    <w:p>
      <w:pPr>
        <w:pStyle w:val="Heading4"/>
        <w:spacing w:after="80" w:before="200"/>
      </w:pPr>
      <w:r>
        <w:rPr>
          <w:rFonts w:ascii="Calibri" w:cs="Calibri" w:eastAsia="Calibri" w:hAnsi="Calibri"/>
          <w:b/>
          <w:bCs/>
          <w:color w:val="000000"/>
          <w:sz w:val="20"/>
          <w:szCs w:val="20"/>
        </w:rPr>
        <w:t xml:space="preserve">Constituição Nevis Company — </w:t>
      </w:r>
      <w:r>
        <w:rPr>
          <w:rFonts w:ascii="Calibri" w:cs="Calibri" w:eastAsia="Calibri" w:hAnsi="Calibri"/>
          <w:b/>
          <w:bCs/>
          <w:color w:val="000000"/>
          <w:sz w:val="20"/>
          <w:szCs w:val="20"/>
        </w:rPr>
        <w:t xml:space="preserve">USD 2,900</w:t>
      </w:r>
    </w:p>
    <w:p>
      <w:pPr>
        <w:pStyle w:val="ListParagraph"/>
        <w:numPr>
          <w:ilvl w:val="0"/>
          <w:numId w:val="2"/>
        </w:numPr>
        <w:spacing w:after="20" w:before="20"/>
      </w:pPr>
      <w:r>
        <w:rPr>
          <w:rFonts w:ascii="Calibri" w:cs="Calibri" w:eastAsia="Calibri" w:hAnsi="Calibri"/>
          <w:color w:val="000000"/>
          <w:sz w:val="20"/>
          <w:szCs w:val="20"/>
        </w:rPr>
        <w:t xml:space="preserve">Pesquisa de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(vigentes na data de constituição)</w:t>
      </w:r>
    </w:p>
    <w:p>
      <w:pPr>
        <w:pStyle w:val="ListParagraph"/>
        <w:numPr>
          <w:ilvl w:val="0"/>
          <w:numId w:val="2"/>
        </w:numPr>
        <w:spacing w:after="20" w:before="20"/>
      </w:pPr>
      <w:r>
        <w:rPr>
          <w:rFonts w:ascii="Calibri" w:cs="Calibri" w:eastAsia="Calibri" w:hAnsi="Calibri"/>
          <w:color w:val="000000"/>
          <w:sz w:val="20"/>
          <w:szCs w:val="20"/>
        </w:rPr>
        <w:t xml:space="preserve">Documentos de constituição</w:t>
      </w:r>
    </w:p>
    <w:p>
      <w:pPr>
        <w:pStyle w:val="ListParagraph"/>
        <w:numPr>
          <w:ilvl w:val="0"/>
          <w:numId w:val="2"/>
        </w:numPr>
        <w:spacing w:after="20" w:before="20"/>
      </w:pPr>
      <w:r>
        <w:rPr>
          <w:rFonts w:ascii="Calibri" w:cs="Calibri" w:eastAsia="Calibri" w:hAnsi="Calibri"/>
          <w:color w:val="000000"/>
          <w:sz w:val="20"/>
          <w:szCs w:val="20"/>
        </w:rPr>
        <w:t xml:space="preserve">Registro da empresa junto ao Nevis Registrar</w:t>
      </w:r>
    </w:p>
    <w:p>
      <w:pPr>
        <w:pStyle w:val="ListParagraph"/>
        <w:numPr>
          <w:ilvl w:val="0"/>
          <w:numId w:val="2"/>
        </w:numPr>
        <w:spacing w:after="20" w:before="20"/>
      </w:pPr>
      <w:r>
        <w:rPr>
          <w:rFonts w:ascii="Calibri" w:cs="Calibri" w:eastAsia="Calibri" w:hAnsi="Calibri"/>
          <w:color w:val="000000"/>
          <w:sz w:val="20"/>
          <w:szCs w:val="20"/>
        </w:rPr>
        <w:t xml:space="preserve">Certificado de Constituição</w:t>
      </w:r>
    </w:p>
    <w:p>
      <w:pPr>
        <w:pStyle w:val="ListParagraph"/>
        <w:numPr>
          <w:ilvl w:val="0"/>
          <w:numId w:val="2"/>
        </w:numPr>
        <w:spacing w:after="20" w:before="20"/>
      </w:pPr>
      <w:r>
        <w:rPr>
          <w:rFonts w:ascii="Calibri" w:cs="Calibri" w:eastAsia="Calibri" w:hAnsi="Calibri"/>
          <w:color w:val="000000"/>
          <w:sz w:val="20"/>
          <w:szCs w:val="20"/>
        </w:rPr>
        <w:t xml:space="preserve">Designação de Agente Registrado Local (primeiro ano incluído)</w:t>
      </w:r>
    </w:p>
    <w:p>
      <w:pPr>
        <w:pStyle w:val="Heading4"/>
        <w:spacing w:after="80" w:before="200"/>
      </w:pPr>
      <w:r>
        <w:rPr>
          <w:rFonts w:ascii="Calibri" w:cs="Calibri" w:eastAsia="Calibri" w:hAnsi="Calibri"/>
          <w:b/>
          <w:bCs/>
          <w:color w:val="000000"/>
          <w:sz w:val="20"/>
          <w:szCs w:val="20"/>
        </w:rPr>
        <w:t xml:space="preserve">Outra jurisdição offshore (campo livre) — </w:t>
      </w:r>
      <w:r>
        <w:rPr>
          <w:rFonts w:ascii="Calibri" w:cs="Calibri" w:eastAsia="Calibri" w:hAnsi="Calibri"/>
          <w:b/>
          <w:bCs/>
          <w:color w:val="000000"/>
          <w:sz w:val="20"/>
          <w:szCs w:val="20"/>
        </w:rPr>
        <w:t xml:space="preserve">A definir (caso a caso)</w:t>
      </w:r>
    </w:p>
    <w:p>
      <w:pPr>
        <w:pStyle w:val="Heading3"/>
        <w:spacing w:after="110" w:before="260"/>
      </w:pPr>
      <w:r>
        <w:rPr>
          <w:rFonts w:ascii="Calibri" w:cs="Calibri" w:eastAsia="Calibri" w:hAnsi="Calibri"/>
          <w:b/>
          <w:bCs/>
          <w:color w:val="2E6DA4"/>
          <w:sz w:val="22"/>
          <w:szCs w:val="22"/>
        </w:rPr>
        <w:t xml:space="preserve">1.2 US LLC (pagamento na aceitação)</w:t>
      </w:r>
    </w:p>
    <w:p>
      <w:pPr>
        <w:pStyle w:val="Heading4"/>
        <w:spacing w:after="80" w:before="200"/>
      </w:pPr>
      <w:r>
        <w:rPr>
          <w:rFonts w:ascii="Calibri" w:cs="Calibri" w:eastAsia="Calibri" w:hAnsi="Calibri"/>
          <w:b/>
          <w:bCs/>
          <w:color w:val="000000"/>
          <w:sz w:val="20"/>
          <w:szCs w:val="20"/>
        </w:rPr>
        <w:t xml:space="preserve">Constituição Florida LLC — </w:t>
      </w:r>
      <w:r>
        <w:rPr>
          <w:rFonts w:ascii="Calibri" w:cs="Calibri" w:eastAsia="Calibri" w:hAnsi="Calibri"/>
          <w:b/>
          <w:bCs/>
          <w:color w:val="000000"/>
          <w:sz w:val="20"/>
          <w:szCs w:val="20"/>
        </w:rPr>
        <w:t xml:space="preserve">USD 1,900</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Delaware LLC — </w:t>
      </w:r>
      <w:r>
        <w:rPr>
          <w:rFonts w:ascii="Calibri" w:cs="Calibri" w:eastAsia="Calibri" w:hAnsi="Calibri"/>
          <w:b/>
          <w:bCs/>
          <w:color w:val="000000"/>
          <w:sz w:val="20"/>
          <w:szCs w:val="20"/>
        </w:rPr>
        <w:t xml:space="preserve">USD 1,900</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New York LLC — </w:t>
      </w:r>
      <w:r>
        <w:rPr>
          <w:rFonts w:ascii="Calibri" w:cs="Calibri" w:eastAsia="Calibri" w:hAnsi="Calibri"/>
          <w:b/>
          <w:bCs/>
          <w:color w:val="000000"/>
          <w:sz w:val="20"/>
          <w:szCs w:val="20"/>
        </w:rPr>
        <w:t xml:space="preserve">USD 1,900</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South Dakota LLC — </w:t>
      </w:r>
      <w:r>
        <w:rPr>
          <w:rFonts w:ascii="Calibri" w:cs="Calibri" w:eastAsia="Calibri" w:hAnsi="Calibri"/>
          <w:b/>
          <w:bCs/>
          <w:color w:val="000000"/>
          <w:sz w:val="20"/>
          <w:szCs w:val="20"/>
        </w:rPr>
        <w:t xml:space="preserve">USD 1,900</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Wisconsin LLC — </w:t>
      </w:r>
      <w:r>
        <w:rPr>
          <w:rFonts w:ascii="Calibri" w:cs="Calibri" w:eastAsia="Calibri" w:hAnsi="Calibri"/>
          <w:b/>
          <w:bCs/>
          <w:color w:val="000000"/>
          <w:sz w:val="20"/>
          <w:szCs w:val="20"/>
        </w:rPr>
        <w:t xml:space="preserve">USD 1,900</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Minnesota LLC — </w:t>
      </w:r>
      <w:r>
        <w:rPr>
          <w:rFonts w:ascii="Calibri" w:cs="Calibri" w:eastAsia="Calibri" w:hAnsi="Calibri"/>
          <w:b/>
          <w:bCs/>
          <w:color w:val="000000"/>
          <w:sz w:val="20"/>
          <w:szCs w:val="20"/>
        </w:rPr>
        <w:t xml:space="preserve">USD 1,900</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Outro estado americano (campo livre) — </w:t>
      </w:r>
      <w:r>
        <w:rPr>
          <w:rFonts w:ascii="Calibri" w:cs="Calibri" w:eastAsia="Calibri" w:hAnsi="Calibri"/>
          <w:b/>
          <w:bCs/>
          <w:color w:val="000000"/>
          <w:sz w:val="20"/>
          <w:szCs w:val="20"/>
        </w:rPr>
        <w:t xml:space="preserve">A definir (caso a caso)</w:t>
      </w:r>
    </w:p>
    <w:p>
      <w:pPr>
        <w:pStyle w:val="Heading2"/>
        <w:spacing w:after="140" w:before="340"/>
      </w:pPr>
      <w:r>
        <w:rPr>
          <w:rFonts w:ascii="Calibri" w:cs="Calibri" w:eastAsia="Calibri" w:hAnsi="Calibri"/>
          <w:b/>
          <w:bCs/>
          <w:color w:val="1F3A5F"/>
          <w:sz w:val="26"/>
          <w:szCs w:val="26"/>
        </w:rPr>
        <w:t xml:space="preserve">2. Manutenção Anual (recorrente — a partir do ano 2)</w:t>
      </w:r>
    </w:p>
    <w:p>
      <w:pPr>
        <w:pStyle w:val="Heading4"/>
        <w:spacing w:after="80" w:before="200"/>
      </w:pPr>
      <w:r>
        <w:rPr>
          <w:rFonts w:ascii="Calibri" w:cs="Calibri" w:eastAsia="Calibri" w:hAnsi="Calibri"/>
          <w:b/>
          <w:bCs/>
          <w:color w:val="000000"/>
          <w:sz w:val="20"/>
          <w:szCs w:val="20"/>
        </w:rPr>
        <w:t xml:space="preserve">Manutenção Anual BVI Company — </w:t>
      </w:r>
      <w:r>
        <w:rPr>
          <w:rFonts w:ascii="Calibri" w:cs="Calibri" w:eastAsia="Calibri" w:hAnsi="Calibri"/>
          <w:b/>
          <w:bCs/>
          <w:color w:val="000000"/>
          <w:sz w:val="20"/>
          <w:szCs w:val="20"/>
        </w:rPr>
        <w:t xml:space="preserve">USD 1,900</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 organização e atualização contínua dos registros empresariais, assegurando que a documentação da empresa esteja completa e atualizada</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Style w:val="ListParagraph"/>
        <w:numPr>
          <w:ilvl w:val="0"/>
          <w:numId w:val="2"/>
        </w:numPr>
        <w:spacing w:after="20" w:before="20"/>
      </w:pPr>
      <w:r>
        <w:rPr>
          <w:rFonts w:ascii="Calibri" w:cs="Calibri" w:eastAsia="Calibri" w:hAnsi="Calibri"/>
          <w:color w:val="000000"/>
          <w:sz w:val="20"/>
          <w:szCs w:val="20"/>
        </w:rPr>
        <w:t xml:space="preserve">Reporte de Substância Econômica*</w:t>
      </w:r>
    </w:p>
    <w:p>
      <w:pPr>
        <w:pStyle w:val="ListParagraph"/>
        <w:numPr>
          <w:ilvl w:val="0"/>
          <w:numId w:val="2"/>
        </w:numPr>
        <w:spacing w:after="20" w:before="20"/>
      </w:pPr>
      <w:r>
        <w:rPr>
          <w:rFonts w:ascii="Calibri" w:cs="Calibri" w:eastAsia="Calibri" w:hAnsi="Calibri"/>
          <w:color w:val="000000"/>
          <w:sz w:val="20"/>
          <w:szCs w:val="20"/>
        </w:rPr>
        <w:t xml:space="preserve">Relatório Anual (Annual Financial Return)</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classificação para fins de substância econômica pressupõe que a empresa não esteja dentro do escopo da Lei. Caso as premissas sejam diferentes ou alteradas, os fees serão revisados com base na atividade desenvolvida.  </w:t>
      </w:r>
    </w:p>
    <w:p>
      <w:pPr>
        <w:pBdr>
          <w:left w:val="single" w:color="B8C6D6" w:sz="14" w:space="10"/>
        </w:pBdr>
        <w:spacing w:after="160" w:before="0"/>
        <w:ind w:left="340"/>
      </w:pPr>
      <w:r>
        <w:rPr>
          <w:rFonts w:ascii="Calibri" w:cs="Calibri" w:eastAsia="Calibri" w:hAnsi="Calibri"/>
          <w:i/>
          <w:iCs/>
          <w:color w:val="595959"/>
          <w:sz w:val="19"/>
          <w:szCs w:val="19"/>
        </w:rPr>
        <w:t xml:space="preserve">A elaboração das demonstrações financeiras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Bahamas Company — </w:t>
      </w:r>
      <w:r>
        <w:rPr>
          <w:rFonts w:ascii="Calibri" w:cs="Calibri" w:eastAsia="Calibri" w:hAnsi="Calibri"/>
          <w:b/>
          <w:bCs/>
          <w:color w:val="000000"/>
          <w:sz w:val="20"/>
          <w:szCs w:val="20"/>
        </w:rPr>
        <w:t xml:space="preserve">USD 1,900</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anuais exigidas pelo Registrar General das Bahamas</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Renovação anual do serviço de agente registrado nas Bahamas</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atualização e arquivamento dos documentos corporativos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todas as obrigações regulatórias anuais perante as autoridades das Bahamas</w:t>
      </w:r>
    </w:p>
    <w:p>
      <w:pPr>
        <w:pStyle w:val="Heading4"/>
        <w:spacing w:after="80" w:before="200"/>
      </w:pPr>
      <w:r>
        <w:rPr>
          <w:rFonts w:ascii="Calibri" w:cs="Calibri" w:eastAsia="Calibri" w:hAnsi="Calibri"/>
          <w:b/>
          <w:bCs/>
          <w:color w:val="000000"/>
          <w:sz w:val="20"/>
          <w:szCs w:val="20"/>
        </w:rPr>
        <w:t xml:space="preserve">Manutenção Anual Cayman Company — </w:t>
      </w:r>
      <w:r>
        <w:rPr>
          <w:rFonts w:ascii="Calibri" w:cs="Calibri" w:eastAsia="Calibri" w:hAnsi="Calibri"/>
          <w:b/>
          <w:bCs/>
          <w:color w:val="000000"/>
          <w:sz w:val="20"/>
          <w:szCs w:val="20"/>
        </w:rPr>
        <w:t xml:space="preserve">USD 4,400</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anuais exigidas pelo Cayman Islands Registrar</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Renovação anual do serviço de agente registrado nas Ilhas Cayman</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atualização e arquivamento dos documentos corporativos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todas as obrigações regulatórias anuais perante as autoridades das Ilhas Cayman</w:t>
      </w:r>
    </w:p>
    <w:p>
      <w:pPr>
        <w:pStyle w:val="Heading4"/>
        <w:spacing w:after="80" w:before="200"/>
      </w:pPr>
      <w:r>
        <w:rPr>
          <w:rFonts w:ascii="Calibri" w:cs="Calibri" w:eastAsia="Calibri" w:hAnsi="Calibri"/>
          <w:b/>
          <w:bCs/>
          <w:color w:val="000000"/>
          <w:sz w:val="20"/>
          <w:szCs w:val="20"/>
        </w:rPr>
        <w:t xml:space="preserve">Manutenção Anual Nevis Company — </w:t>
      </w:r>
      <w:r>
        <w:rPr>
          <w:rFonts w:ascii="Calibri" w:cs="Calibri" w:eastAsia="Calibri" w:hAnsi="Calibri"/>
          <w:b/>
          <w:bCs/>
          <w:color w:val="000000"/>
          <w:sz w:val="20"/>
          <w:szCs w:val="20"/>
        </w:rPr>
        <w:t xml:space="preserve">USD 1,900</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anuais exigidas pelo Nevis Registrar</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Renovação anual do serviço de agente registrado em Nevis</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atualização e arquivamento dos documentos corporativos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todas as obrigações regulatórias anuais perante as autoridades de Nevis</w:t>
      </w:r>
    </w:p>
    <w:p>
      <w:pPr>
        <w:pStyle w:val="Heading4"/>
        <w:spacing w:after="80" w:before="200"/>
      </w:pPr>
      <w:r>
        <w:rPr>
          <w:rFonts w:ascii="Calibri" w:cs="Calibri" w:eastAsia="Calibri" w:hAnsi="Calibri"/>
          <w:b/>
          <w:bCs/>
          <w:color w:val="000000"/>
          <w:sz w:val="20"/>
          <w:szCs w:val="20"/>
        </w:rPr>
        <w:t xml:space="preserve">Manutenção Anual Florida LLC — </w:t>
      </w:r>
      <w:r>
        <w:rPr>
          <w:rFonts w:ascii="Calibri" w:cs="Calibri" w:eastAsia="Calibri" w:hAnsi="Calibri"/>
          <w:b/>
          <w:bCs/>
          <w:color w:val="000000"/>
          <w:sz w:val="20"/>
          <w:szCs w:val="20"/>
        </w:rPr>
        <w:t xml:space="preserve">USD 750</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Delaware LLC — </w:t>
      </w:r>
      <w:r>
        <w:rPr>
          <w:rFonts w:ascii="Calibri" w:cs="Calibri" w:eastAsia="Calibri" w:hAnsi="Calibri"/>
          <w:b/>
          <w:bCs/>
          <w:color w:val="000000"/>
          <w:sz w:val="20"/>
          <w:szCs w:val="20"/>
        </w:rPr>
        <w:t xml:space="preserve">USD 1,100</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New York LLC — </w:t>
      </w:r>
      <w:r>
        <w:rPr>
          <w:rFonts w:ascii="Calibri" w:cs="Calibri" w:eastAsia="Calibri" w:hAnsi="Calibri"/>
          <w:b/>
          <w:bCs/>
          <w:color w:val="000000"/>
          <w:sz w:val="20"/>
          <w:szCs w:val="20"/>
        </w:rPr>
        <w:t xml:space="preserve">USD 900</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South Dakota LLC — </w:t>
      </w:r>
      <w:r>
        <w:rPr>
          <w:rFonts w:ascii="Calibri" w:cs="Calibri" w:eastAsia="Calibri" w:hAnsi="Calibri"/>
          <w:b/>
          <w:bCs/>
          <w:color w:val="000000"/>
          <w:sz w:val="20"/>
          <w:szCs w:val="20"/>
        </w:rPr>
        <w:t xml:space="preserve">USD 750</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Wisconsin LLC — </w:t>
      </w:r>
      <w:r>
        <w:rPr>
          <w:rFonts w:ascii="Calibri" w:cs="Calibri" w:eastAsia="Calibri" w:hAnsi="Calibri"/>
          <w:b/>
          <w:bCs/>
          <w:color w:val="000000"/>
          <w:sz w:val="20"/>
          <w:szCs w:val="20"/>
        </w:rPr>
        <w:t xml:space="preserve">USD 750</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Minnesota LLC — </w:t>
      </w:r>
      <w:r>
        <w:rPr>
          <w:rFonts w:ascii="Calibri" w:cs="Calibri" w:eastAsia="Calibri" w:hAnsi="Calibri"/>
          <w:b/>
          <w:bCs/>
          <w:color w:val="000000"/>
          <w:sz w:val="20"/>
          <w:szCs w:val="20"/>
        </w:rPr>
        <w:t xml:space="preserve">USD 750</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Share Trust — </w:t>
      </w:r>
      <w:r>
        <w:rPr>
          <w:rFonts w:ascii="Calibri" w:cs="Calibri" w:eastAsia="Calibri" w:hAnsi="Calibri"/>
          <w:b/>
          <w:bCs/>
          <w:color w:val="000000"/>
          <w:sz w:val="20"/>
          <w:szCs w:val="20"/>
        </w:rPr>
        <w:t xml:space="preserve">USD 1,400</w:t>
      </w:r>
    </w:p>
    <w:p>
      <w:pPr>
        <w:pStyle w:val="ListParagraph"/>
        <w:numPr>
          <w:ilvl w:val="0"/>
          <w:numId w:val="2"/>
        </w:numPr>
        <w:spacing w:after="20" w:before="20"/>
      </w:pPr>
      <w:r>
        <w:rPr>
          <w:rFonts w:ascii="Calibri" w:cs="Calibri" w:eastAsia="Calibri" w:hAnsi="Calibri"/>
          <w:color w:val="000000"/>
          <w:sz w:val="20"/>
          <w:szCs w:val="20"/>
        </w:rPr>
        <w:t xml:space="preserve">Honorários anuais do Trustee</w:t>
      </w:r>
    </w:p>
    <w:p>
      <w:pPr>
        <w:pStyle w:val="ListParagraph"/>
        <w:numPr>
          <w:ilvl w:val="0"/>
          <w:numId w:val="2"/>
        </w:numPr>
        <w:spacing w:after="20" w:before="20"/>
      </w:pPr>
      <w:r>
        <w:rPr>
          <w:rFonts w:ascii="Calibri" w:cs="Calibri" w:eastAsia="Calibri" w:hAnsi="Calibri"/>
          <w:color w:val="000000"/>
          <w:sz w:val="20"/>
          <w:szCs w:val="20"/>
        </w:rPr>
        <w:t xml:space="preserve">Serviços de Compliance anual</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manutenção não inclui a gestão de ativos do trust ou qualquer alteração na estrutura do trust. Caso sejam necessários serviços adicionais, os honorários serão ajustados conforme necessidade.</w:t>
      </w:r>
    </w:p>
    <w:p>
      <w:pPr>
        <w:pStyle w:val="Heading2"/>
        <w:spacing w:after="140" w:before="340"/>
      </w:pPr>
      <w:r>
        <w:rPr>
          <w:rFonts w:ascii="Calibri" w:cs="Calibri" w:eastAsia="Calibri" w:hAnsi="Calibri"/>
          <w:b/>
          <w:bCs/>
          <w:color w:val="1F3A5F"/>
          <w:sz w:val="26"/>
          <w:szCs w:val="26"/>
        </w:rPr>
        <w:t xml:space="preserve">3. Transferência de Agente Registrado</w:t>
      </w:r>
    </w:p>
    <w:p>
      <w:pPr>
        <w:pStyle w:val="Heading3"/>
        <w:spacing w:after="110" w:before="260"/>
      </w:pPr>
      <w:r>
        <w:rPr>
          <w:rFonts w:ascii="Calibri" w:cs="Calibri" w:eastAsia="Calibri" w:hAnsi="Calibri"/>
          <w:b/>
          <w:bCs/>
          <w:color w:val="2E6DA4"/>
          <w:sz w:val="22"/>
          <w:szCs w:val="22"/>
        </w:rPr>
        <w:t xml:space="preserve">3.1 PIC / Offshore</w:t>
      </w:r>
    </w:p>
    <w:p>
      <w:pPr>
        <w:pStyle w:val="Heading4"/>
        <w:spacing w:after="80" w:before="200"/>
      </w:pPr>
      <w:r>
        <w:rPr>
          <w:rFonts w:ascii="Calibri" w:cs="Calibri" w:eastAsia="Calibri" w:hAnsi="Calibri"/>
          <w:b/>
          <w:bCs/>
          <w:color w:val="000000"/>
          <w:sz w:val="20"/>
          <w:szCs w:val="20"/>
        </w:rPr>
        <w:t xml:space="preserve">Transferência de Agente BVI — </w:t>
      </w:r>
      <w:r>
        <w:rPr>
          <w:rFonts w:ascii="Calibri" w:cs="Calibri" w:eastAsia="Calibri" w:hAnsi="Calibri"/>
          <w:b/>
          <w:bCs/>
          <w:color w:val="000000"/>
          <w:sz w:val="20"/>
          <w:szCs w:val="20"/>
        </w:rPr>
        <w:t xml:space="preserve">USD 1,200</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Bahamas — </w:t>
      </w:r>
      <w:r>
        <w:rPr>
          <w:rFonts w:ascii="Calibri" w:cs="Calibri" w:eastAsia="Calibri" w:hAnsi="Calibri"/>
          <w:b/>
          <w:bCs/>
          <w:color w:val="000000"/>
          <w:sz w:val="20"/>
          <w:szCs w:val="20"/>
        </w:rPr>
        <w:t xml:space="preserve">USD 1,200</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Cayman — </w:t>
      </w:r>
      <w:r>
        <w:rPr>
          <w:rFonts w:ascii="Calibri" w:cs="Calibri" w:eastAsia="Calibri" w:hAnsi="Calibri"/>
          <w:b/>
          <w:bCs/>
          <w:color w:val="000000"/>
          <w:sz w:val="20"/>
          <w:szCs w:val="20"/>
        </w:rPr>
        <w:t xml:space="preserve">USD 1,200</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Nevis — </w:t>
      </w:r>
      <w:r>
        <w:rPr>
          <w:rFonts w:ascii="Calibri" w:cs="Calibri" w:eastAsia="Calibri" w:hAnsi="Calibri"/>
          <w:b/>
          <w:bCs/>
          <w:color w:val="000000"/>
          <w:sz w:val="20"/>
          <w:szCs w:val="20"/>
        </w:rPr>
        <w:t xml:space="preserve">USD 1,200</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3"/>
        <w:spacing w:after="110" w:before="260"/>
      </w:pPr>
      <w:r>
        <w:rPr>
          <w:rFonts w:ascii="Calibri" w:cs="Calibri" w:eastAsia="Calibri" w:hAnsi="Calibri"/>
          <w:b/>
          <w:bCs/>
          <w:color w:val="2E6DA4"/>
          <w:sz w:val="22"/>
          <w:szCs w:val="22"/>
        </w:rPr>
        <w:t xml:space="preserve">3.2 US LLC</w:t>
      </w:r>
    </w:p>
    <w:p>
      <w:pPr>
        <w:pStyle w:val="Heading4"/>
        <w:spacing w:after="80" w:before="200"/>
      </w:pPr>
      <w:r>
        <w:rPr>
          <w:rFonts w:ascii="Calibri" w:cs="Calibri" w:eastAsia="Calibri" w:hAnsi="Calibri"/>
          <w:b/>
          <w:bCs/>
          <w:color w:val="000000"/>
          <w:sz w:val="20"/>
          <w:szCs w:val="20"/>
        </w:rPr>
        <w:t xml:space="preserve">Transferência de Agente Florida LLC — </w:t>
      </w:r>
      <w:r>
        <w:rPr>
          <w:rFonts w:ascii="Calibri" w:cs="Calibri" w:eastAsia="Calibri" w:hAnsi="Calibri"/>
          <w:b/>
          <w:bCs/>
          <w:color w:val="000000"/>
          <w:sz w:val="20"/>
          <w:szCs w:val="20"/>
        </w:rPr>
        <w:t xml:space="preserve">USD 800</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Delaware LLC — </w:t>
      </w:r>
      <w:r>
        <w:rPr>
          <w:rFonts w:ascii="Calibri" w:cs="Calibri" w:eastAsia="Calibri" w:hAnsi="Calibri"/>
          <w:b/>
          <w:bCs/>
          <w:color w:val="000000"/>
          <w:sz w:val="20"/>
          <w:szCs w:val="20"/>
        </w:rPr>
        <w:t xml:space="preserve">USD 800</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New York LLC — </w:t>
      </w:r>
      <w:r>
        <w:rPr>
          <w:rFonts w:ascii="Calibri" w:cs="Calibri" w:eastAsia="Calibri" w:hAnsi="Calibri"/>
          <w:b/>
          <w:bCs/>
          <w:color w:val="000000"/>
          <w:sz w:val="20"/>
          <w:szCs w:val="20"/>
        </w:rPr>
        <w:t xml:space="preserve">USD 800</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South Dakota LLC — </w:t>
      </w:r>
      <w:r>
        <w:rPr>
          <w:rFonts w:ascii="Calibri" w:cs="Calibri" w:eastAsia="Calibri" w:hAnsi="Calibri"/>
          <w:b/>
          <w:bCs/>
          <w:color w:val="000000"/>
          <w:sz w:val="20"/>
          <w:szCs w:val="20"/>
        </w:rPr>
        <w:t xml:space="preserve">USD 800</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Wisconsin LLC — </w:t>
      </w:r>
      <w:r>
        <w:rPr>
          <w:rFonts w:ascii="Calibri" w:cs="Calibri" w:eastAsia="Calibri" w:hAnsi="Calibri"/>
          <w:b/>
          <w:bCs/>
          <w:color w:val="000000"/>
          <w:sz w:val="20"/>
          <w:szCs w:val="20"/>
        </w:rPr>
        <w:t xml:space="preserve">USD 800</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Minnesota LLC — </w:t>
      </w:r>
      <w:r>
        <w:rPr>
          <w:rFonts w:ascii="Calibri" w:cs="Calibri" w:eastAsia="Calibri" w:hAnsi="Calibri"/>
          <w:b/>
          <w:bCs/>
          <w:color w:val="000000"/>
          <w:sz w:val="20"/>
          <w:szCs w:val="20"/>
        </w:rPr>
        <w:t xml:space="preserve">USD 800</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3"/>
        <w:spacing w:after="110" w:before="260"/>
      </w:pPr>
      <w:r>
        <w:rPr>
          <w:rFonts w:ascii="Calibri" w:cs="Calibri" w:eastAsia="Calibri" w:hAnsi="Calibri"/>
          <w:b/>
          <w:bCs/>
          <w:color w:val="2E6DA4"/>
          <w:sz w:val="22"/>
          <w:szCs w:val="22"/>
        </w:rPr>
        <w:t xml:space="preserve">3.3 Transferência sem troca de agente (cortesia — USD 0)</w:t>
      </w:r>
    </w:p>
    <w:p>
      <w:pPr>
        <w:pStyle w:val="Heading4"/>
        <w:spacing w:after="80" w:before="200"/>
      </w:pPr>
      <w:r>
        <w:rPr>
          <w:rFonts w:ascii="Calibri" w:cs="Calibri" w:eastAsia="Calibri" w:hAnsi="Calibri"/>
          <w:b/>
          <w:bCs/>
          <w:color w:val="000000"/>
          <w:sz w:val="20"/>
          <w:szCs w:val="20"/>
        </w:rPr>
        <w:t xml:space="preserve">Transferência BVI (sem troca de agente) — </w:t>
      </w:r>
      <w:r>
        <w:rPr>
          <w:rFonts w:ascii="Calibri" w:cs="Calibri" w:eastAsia="Calibri" w:hAnsi="Calibri"/>
          <w:b/>
          <w:bCs/>
          <w:color w:val="000000"/>
          <w:sz w:val="20"/>
          <w:szCs w:val="20"/>
        </w:rPr>
        <w:t xml:space="preserve">Cortesia (USD 0)</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Bahamas (sem troca de agente) — </w:t>
      </w:r>
      <w:r>
        <w:rPr>
          <w:rFonts w:ascii="Calibri" w:cs="Calibri" w:eastAsia="Calibri" w:hAnsi="Calibri"/>
          <w:b/>
          <w:bCs/>
          <w:color w:val="000000"/>
          <w:sz w:val="20"/>
          <w:szCs w:val="20"/>
        </w:rPr>
        <w:t xml:space="preserve">Cortesia (USD 0)</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Cayman (sem troca de agente) — </w:t>
      </w:r>
      <w:r>
        <w:rPr>
          <w:rFonts w:ascii="Calibri" w:cs="Calibri" w:eastAsia="Calibri" w:hAnsi="Calibri"/>
          <w:b/>
          <w:bCs/>
          <w:color w:val="000000"/>
          <w:sz w:val="20"/>
          <w:szCs w:val="20"/>
        </w:rPr>
        <w:t xml:space="preserve">Cortesia (USD 0)</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Nevis (sem troca de agente) — </w:t>
      </w:r>
      <w:r>
        <w:rPr>
          <w:rFonts w:ascii="Calibri" w:cs="Calibri" w:eastAsia="Calibri" w:hAnsi="Calibri"/>
          <w:b/>
          <w:bCs/>
          <w:color w:val="000000"/>
          <w:sz w:val="20"/>
          <w:szCs w:val="20"/>
        </w:rPr>
        <w:t xml:space="preserve">Cortesia (USD 0)</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FL LLC (sem troca de agente) — </w:t>
      </w:r>
      <w:r>
        <w:rPr>
          <w:rFonts w:ascii="Calibri" w:cs="Calibri" w:eastAsia="Calibri" w:hAnsi="Calibri"/>
          <w:b/>
          <w:bCs/>
          <w:color w:val="000000"/>
          <w:sz w:val="20"/>
          <w:szCs w:val="20"/>
        </w:rPr>
        <w:t xml:space="preserve">Cortesia (USD 0)</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DE LLC (sem troca de agente) — </w:t>
      </w:r>
      <w:r>
        <w:rPr>
          <w:rFonts w:ascii="Calibri" w:cs="Calibri" w:eastAsia="Calibri" w:hAnsi="Calibri"/>
          <w:b/>
          <w:bCs/>
          <w:color w:val="000000"/>
          <w:sz w:val="20"/>
          <w:szCs w:val="20"/>
        </w:rPr>
        <w:t xml:space="preserve">Cortesia (USD 0)</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Bdr>
          <w:left w:val="single" w:color="B8C6D6" w:sz="14" w:space="10"/>
        </w:pBdr>
        <w:spacing w:after="160" w:before="120"/>
        <w:ind w:left="340"/>
      </w:pPr>
      <w:r>
        <w:rPr>
          <w:rFonts w:ascii="Calibri" w:cs="Calibri" w:eastAsia="Calibri" w:hAnsi="Calibri"/>
          <w:i/>
          <w:iCs/>
          <w:color w:val="595959"/>
          <w:sz w:val="19"/>
          <w:szCs w:val="19"/>
        </w:rPr>
        <w:t xml:space="preserve">Serviço prestado sem cobrança. </w:t>
      </w:r>
      <w:r>
        <w:rPr>
          <w:rFonts w:ascii="Calibri" w:cs="Calibri" w:eastAsia="Calibri" w:hAnsi="Calibri"/>
          <w:b/>
          <w:bCs/>
          <w:i/>
          <w:iCs/>
          <w:color w:val="595959"/>
          <w:sz w:val="19"/>
          <w:szCs w:val="19"/>
        </w:rPr>
        <w:t xml:space="preserve">Aparece na proposta como "Cortesia".</w:t>
      </w:r>
    </w:p>
    <w:p>
      <w:pPr>
        <w:pStyle w:val="Heading2"/>
        <w:spacing w:after="140" w:before="340"/>
      </w:pPr>
      <w:r>
        <w:rPr>
          <w:rFonts w:ascii="Calibri" w:cs="Calibri" w:eastAsia="Calibri" w:hAnsi="Calibri"/>
          <w:b/>
          <w:bCs/>
          <w:color w:val="1F3A5F"/>
          <w:sz w:val="26"/>
          <w:szCs w:val="26"/>
        </w:rPr>
        <w:t xml:space="preserve">4. Sucessão</w:t>
      </w:r>
    </w:p>
    <w:p>
      <w:pPr>
        <w:pStyle w:val="Heading4"/>
        <w:spacing w:after="80" w:before="200"/>
      </w:pPr>
      <w:r>
        <w:rPr>
          <w:rFonts w:ascii="Calibri" w:cs="Calibri" w:eastAsia="Calibri" w:hAnsi="Calibri"/>
          <w:b/>
          <w:bCs/>
          <w:color w:val="000000"/>
          <w:sz w:val="20"/>
          <w:szCs w:val="20"/>
        </w:rPr>
        <w:t xml:space="preserve">Elaboração de Testamento BVI — </w:t>
      </w:r>
      <w:r>
        <w:rPr>
          <w:rFonts w:ascii="Calibri" w:cs="Calibri" w:eastAsia="Calibri" w:hAnsi="Calibri"/>
          <w:b/>
          <w:bCs/>
          <w:color w:val="000000"/>
          <w:sz w:val="20"/>
          <w:szCs w:val="20"/>
        </w:rPr>
        <w:t xml:space="preserve">USD 5,500</w:t>
      </w:r>
    </w:p>
    <w:p>
      <w:pPr>
        <w:pStyle w:val="ListParagraph"/>
        <w:numPr>
          <w:ilvl w:val="0"/>
          <w:numId w:val="2"/>
        </w:numPr>
        <w:spacing w:after="20" w:before="20"/>
      </w:pPr>
      <w:r>
        <w:rPr>
          <w:rFonts w:ascii="Calibri" w:cs="Calibri" w:eastAsia="Calibri" w:hAnsi="Calibri"/>
          <w:color w:val="000000"/>
          <w:sz w:val="20"/>
          <w:szCs w:val="20"/>
        </w:rPr>
        <w:t xml:space="preserve">Testamento (non-simple Will), contemplando até duas (2) rodadas de revisão. Caso as premissas iniciais sejam alteradas, exijam revisões adicionais ou haja necessidade de incluir disposições específicas e/ou mecanismos de sucessão, honorários adicionais serão aplicados e discutidos oportunamente.</w:t>
      </w:r>
    </w:p>
    <w:p>
      <w:pPr>
        <w:pStyle w:val="ListParagraph"/>
        <w:numPr>
          <w:ilvl w:val="0"/>
          <w:numId w:val="2"/>
        </w:numPr>
        <w:spacing w:after="20" w:before="20"/>
      </w:pPr>
      <w:r>
        <w:rPr>
          <w:rFonts w:ascii="Calibri" w:cs="Calibri" w:eastAsia="Calibri" w:hAnsi="Calibri"/>
          <w:color w:val="000000"/>
          <w:sz w:val="20"/>
          <w:szCs w:val="20"/>
        </w:rPr>
        <w:t xml:space="preserve">Obtenção de Certificate of Good Standing</w:t>
      </w:r>
    </w:p>
    <w:p>
      <w:pPr>
        <w:pStyle w:val="ListParagraph"/>
        <w:numPr>
          <w:ilvl w:val="0"/>
          <w:numId w:val="2"/>
        </w:numPr>
        <w:spacing w:after="20" w:before="20"/>
      </w:pPr>
      <w:r>
        <w:rPr>
          <w:rFonts w:ascii="Calibri" w:cs="Calibri" w:eastAsia="Calibri" w:hAnsi="Calibri"/>
          <w:color w:val="000000"/>
          <w:sz w:val="20"/>
          <w:szCs w:val="20"/>
        </w:rPr>
        <w:t xml:space="preserve">Obtenção de Certificate of Incumbency</w:t>
      </w:r>
    </w:p>
    <w:p>
      <w:pPr>
        <w:pStyle w:val="ListParagraph"/>
        <w:numPr>
          <w:ilvl w:val="0"/>
          <w:numId w:val="2"/>
        </w:numPr>
        <w:spacing w:after="20" w:before="20"/>
      </w:pPr>
      <w:r>
        <w:rPr>
          <w:rFonts w:ascii="Calibri" w:cs="Calibri" w:eastAsia="Calibri" w:hAnsi="Calibri"/>
          <w:color w:val="000000"/>
          <w:sz w:val="20"/>
          <w:szCs w:val="20"/>
        </w:rPr>
        <w:t xml:space="preserve">Entrega da versão final em formato digital e físico, acompanhada de orientações formais sobre assinatura e guarda do documento</w:t>
      </w:r>
    </w:p>
    <w:p>
      <w:pPr>
        <w:pStyle w:val="ListParagraph"/>
        <w:numPr>
          <w:ilvl w:val="0"/>
          <w:numId w:val="2"/>
        </w:numPr>
        <w:spacing w:after="20" w:before="20"/>
      </w:pPr>
      <w:r>
        <w:rPr>
          <w:rFonts w:ascii="Calibri" w:cs="Calibri" w:eastAsia="Calibri" w:hAnsi="Calibri"/>
          <w:color w:val="000000"/>
          <w:sz w:val="20"/>
          <w:szCs w:val="20"/>
        </w:rPr>
        <w:t xml:space="preserve">Quaisquer despesas incorridas no âmbito deste trabalho serão reembolsadas imediatamente.</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assinatura do Testamento deverá ocorrer no país de residência fiscal do testador, seguindo as formalidades locais.  </w:t>
      </w:r>
    </w:p>
    <w:p>
      <w:pPr>
        <w:pBdr>
          <w:left w:val="single" w:color="B8C6D6" w:sz="14" w:space="10"/>
        </w:pBdr>
        <w:spacing w:after="0" w:before="0"/>
        <w:ind w:left="340"/>
      </w:pPr>
      <w:r>
        <w:rPr>
          <w:rFonts w:ascii="Calibri" w:cs="Calibri" w:eastAsia="Calibri" w:hAnsi="Calibri"/>
          <w:i/>
          <w:iCs/>
          <w:color w:val="595959"/>
          <w:sz w:val="19"/>
          <w:szCs w:val="19"/>
        </w:rPr>
        <w:t xml:space="preserve">Não há registro público obrigatório nas BVI, mas recomenda-se informar os executores sobre o local de guarda do documento original.  </w:t>
      </w:r>
    </w:p>
    <w:p>
      <w:pPr>
        <w:pBdr>
          <w:left w:val="single" w:color="B8C6D6" w:sz="14" w:space="10"/>
        </w:pBdr>
        <w:spacing w:after="0" w:before="0"/>
        <w:ind w:left="340"/>
      </w:pPr>
      <w:r>
        <w:rPr>
          <w:rFonts w:ascii="Calibri" w:cs="Calibri" w:eastAsia="Calibri" w:hAnsi="Calibri"/>
          <w:i/>
          <w:iCs/>
          <w:color w:val="595959"/>
          <w:sz w:val="19"/>
          <w:szCs w:val="19"/>
        </w:rPr>
        <w:t xml:space="preserve">Add-on opcional: Affidavit of Witness — USD 1.000,00 adicional. Recomendamos que as testemunhas assinem o Affidavit of Witness com antecedência, documento obrigatório para fins de probate.  </w:t>
      </w:r>
    </w:p>
    <w:p>
      <w:pPr>
        <w:pBdr>
          <w:left w:val="single" w:color="B8C6D6" w:sz="14" w:space="10"/>
        </w:pBdr>
        <w:spacing w:after="160" w:before="0"/>
        <w:ind w:left="340"/>
      </w:pPr>
      <w:r>
        <w:rPr>
          <w:rFonts w:ascii="Calibri" w:cs="Calibri" w:eastAsia="Calibri" w:hAnsi="Calibri"/>
          <w:i/>
          <w:iCs/>
          <w:color w:val="595959"/>
          <w:sz w:val="19"/>
          <w:szCs w:val="19"/>
        </w:rPr>
        <w:t xml:space="preserve">Os honorários profissionais são estimados inicialmente em USD 5.500,00. Caso as premissas iniciais sejam alteradas ou haja necessidade de incluir disposições específicas e/ou mecanismos de sucessão adicionais, os honorários serão revisados e discutidos oportunamente.</w:t>
      </w:r>
    </w:p>
    <w:p>
      <w:pPr>
        <w:pStyle w:val="Heading2"/>
        <w:spacing w:after="140" w:before="340"/>
      </w:pPr>
      <w:r>
        <w:rPr>
          <w:rFonts w:ascii="Calibri" w:cs="Calibri" w:eastAsia="Calibri" w:hAnsi="Calibri"/>
          <w:b/>
          <w:bCs/>
          <w:color w:val="1F3A5F"/>
          <w:sz w:val="26"/>
          <w:szCs w:val="26"/>
        </w:rPr>
        <w:t xml:space="preserve">5. Add-ons</w:t>
      </w:r>
    </w:p>
    <w:p>
      <w:pPr>
        <w:pStyle w:val="Heading4"/>
        <w:spacing w:after="80" w:before="200"/>
      </w:pPr>
      <w:r>
        <w:rPr>
          <w:rFonts w:ascii="Calibri" w:cs="Calibri" w:eastAsia="Calibri" w:hAnsi="Calibri"/>
          <w:b/>
          <w:bCs/>
          <w:color w:val="000000"/>
          <w:sz w:val="20"/>
          <w:szCs w:val="20"/>
        </w:rPr>
        <w:t xml:space="preserve">Constituição Share Trust — </w:t>
      </w:r>
      <w:r>
        <w:rPr>
          <w:rFonts w:ascii="Calibri" w:cs="Calibri" w:eastAsia="Calibri" w:hAnsi="Calibri"/>
          <w:b/>
          <w:bCs/>
          <w:color w:val="000000"/>
          <w:sz w:val="20"/>
          <w:szCs w:val="20"/>
        </w:rPr>
        <w:t xml:space="preserve">USD 2,700</w:t>
      </w:r>
    </w:p>
    <w:p>
      <w:pPr>
        <w:pStyle w:val="ListParagraph"/>
        <w:numPr>
          <w:ilvl w:val="0"/>
          <w:numId w:val="2"/>
        </w:numPr>
        <w:spacing w:after="20" w:before="20"/>
      </w:pPr>
      <w:r>
        <w:rPr>
          <w:rFonts w:ascii="Calibri" w:cs="Calibri" w:eastAsia="Calibri" w:hAnsi="Calibri"/>
          <w:color w:val="000000"/>
          <w:sz w:val="20"/>
          <w:szCs w:val="20"/>
        </w:rPr>
        <w:t xml:space="preserve">Estruturação do Share Trust de acordo com as leis de British Virgin Islands</w:t>
      </w:r>
    </w:p>
    <w:p>
      <w:pPr>
        <w:pStyle w:val="ListParagraph"/>
        <w:numPr>
          <w:ilvl w:val="0"/>
          <w:numId w:val="2"/>
        </w:numPr>
        <w:spacing w:after="20" w:before="20"/>
      </w:pPr>
      <w:r>
        <w:rPr>
          <w:rFonts w:ascii="Calibri" w:cs="Calibri" w:eastAsia="Calibri" w:hAnsi="Calibri"/>
          <w:color w:val="000000"/>
          <w:sz w:val="20"/>
          <w:szCs w:val="20"/>
        </w:rPr>
        <w:t xml:space="preserve">Redação e personalização do Trust com direito a até duas (2) rodadas de revisão</w:t>
      </w:r>
    </w:p>
    <w:p>
      <w:pPr>
        <w:pStyle w:val="ListParagraph"/>
        <w:numPr>
          <w:ilvl w:val="0"/>
          <w:numId w:val="2"/>
        </w:numPr>
        <w:spacing w:after="20" w:before="20"/>
      </w:pPr>
      <w:r>
        <w:rPr>
          <w:rFonts w:ascii="Calibri" w:cs="Calibri" w:eastAsia="Calibri" w:hAnsi="Calibri"/>
          <w:color w:val="000000"/>
          <w:sz w:val="20"/>
          <w:szCs w:val="20"/>
        </w:rPr>
        <w:t xml:space="preserve">Obtenção da assinatura do Trustee, que será o próprio Agente Registrado</w:t>
      </w:r>
    </w:p>
    <w:p>
      <w:pPr>
        <w:pStyle w:val="ListParagraph"/>
        <w:numPr>
          <w:ilvl w:val="0"/>
          <w:numId w:val="2"/>
        </w:numPr>
        <w:spacing w:after="20" w:before="20"/>
      </w:pPr>
      <w:r>
        <w:rPr>
          <w:rFonts w:ascii="Calibri" w:cs="Calibri" w:eastAsia="Calibri" w:hAnsi="Calibri"/>
          <w:color w:val="000000"/>
          <w:sz w:val="20"/>
          <w:szCs w:val="20"/>
        </w:rPr>
        <w:t xml:space="preserve">Registro e conformidade com normas locais, se aplicável</w:t>
      </w:r>
    </w:p>
    <w:p>
      <w:pPr>
        <w:pStyle w:val="ListParagraph"/>
        <w:numPr>
          <w:ilvl w:val="0"/>
          <w:numId w:val="2"/>
        </w:numPr>
        <w:spacing w:after="20" w:before="20"/>
      </w:pPr>
      <w:r>
        <w:rPr>
          <w:rFonts w:ascii="Calibri" w:cs="Calibri" w:eastAsia="Calibri" w:hAnsi="Calibri"/>
          <w:color w:val="000000"/>
          <w:sz w:val="20"/>
          <w:szCs w:val="20"/>
        </w:rPr>
        <w:t xml:space="preserve">Digitalização e fornecimento dos documentos do Trust</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 trust será estruturado como um trust revogável, restrito exclusivamente às ações da BVI Company.  </w:t>
      </w:r>
    </w:p>
    <w:p>
      <w:pPr>
        <w:pBdr>
          <w:left w:val="single" w:color="B8C6D6" w:sz="14" w:space="10"/>
        </w:pBdr>
        <w:spacing w:after="160" w:before="0"/>
        <w:ind w:left="340"/>
      </w:pPr>
      <w:r>
        <w:rPr>
          <w:rFonts w:ascii="Calibri" w:cs="Calibri" w:eastAsia="Calibri" w:hAnsi="Calibri"/>
          <w:i/>
          <w:iCs/>
          <w:color w:val="595959"/>
          <w:sz w:val="19"/>
          <w:szCs w:val="19"/>
        </w:rPr>
        <w:t xml:space="preserve">Caso deseje incluir outros ativos, tornar o trust irrevogável, ou aplicar cláusulas específicas adicionais, será apresentado orçamento complementar.</w:t>
      </w:r>
    </w:p>
    <w:p>
      <w:pPr>
        <w:pStyle w:val="Heading4"/>
        <w:spacing w:after="80" w:before="200"/>
      </w:pPr>
      <w:r>
        <w:rPr>
          <w:rFonts w:ascii="Calibri" w:cs="Calibri" w:eastAsia="Calibri" w:hAnsi="Calibri"/>
          <w:b/>
          <w:bCs/>
          <w:color w:val="000000"/>
          <w:sz w:val="20"/>
          <w:szCs w:val="20"/>
        </w:rPr>
        <w:t xml:space="preserve">Notarização e Apostilamento — </w:t>
      </w:r>
      <w:r>
        <w:rPr>
          <w:rFonts w:ascii="Calibri" w:cs="Calibri" w:eastAsia="Calibri" w:hAnsi="Calibri"/>
          <w:b/>
          <w:bCs/>
          <w:color w:val="000000"/>
          <w:sz w:val="20"/>
          <w:szCs w:val="20"/>
        </w:rPr>
        <w:t xml:space="preserve">USD 1,500</w:t>
      </w:r>
    </w:p>
    <w:p>
      <w:pPr>
        <w:pStyle w:val="ListParagraph"/>
        <w:numPr>
          <w:ilvl w:val="0"/>
          <w:numId w:val="2"/>
        </w:numPr>
        <w:spacing w:after="20" w:before="20"/>
      </w:pPr>
      <w:r>
        <w:rPr>
          <w:rFonts w:ascii="Calibri" w:cs="Calibri" w:eastAsia="Calibri" w:hAnsi="Calibri"/>
          <w:color w:val="000000"/>
          <w:sz w:val="20"/>
          <w:szCs w:val="20"/>
        </w:rPr>
        <w:t xml:space="preserve">Adequação de formato ou conteúdo dos documentos, conforme exigências para notarização e apostilamento</w:t>
      </w:r>
    </w:p>
    <w:p>
      <w:pPr>
        <w:pStyle w:val="ListParagraph"/>
        <w:numPr>
          <w:ilvl w:val="0"/>
          <w:numId w:val="2"/>
        </w:numPr>
        <w:spacing w:after="20" w:before="20"/>
      </w:pPr>
      <w:r>
        <w:rPr>
          <w:rFonts w:ascii="Calibri" w:cs="Calibri" w:eastAsia="Calibri" w:hAnsi="Calibri"/>
          <w:color w:val="000000"/>
          <w:sz w:val="20"/>
          <w:szCs w:val="20"/>
        </w:rPr>
        <w:t xml:space="preserve">Gestão do processo de notarização e apostilamento junto ao órgão competente</w:t>
      </w:r>
    </w:p>
    <w:p>
      <w:pPr>
        <w:pStyle w:val="ListParagraph"/>
        <w:numPr>
          <w:ilvl w:val="0"/>
          <w:numId w:val="2"/>
        </w:numPr>
        <w:spacing w:after="20" w:before="20"/>
      </w:pPr>
      <w:r>
        <w:rPr>
          <w:rFonts w:ascii="Calibri" w:cs="Calibri" w:eastAsia="Calibri" w:hAnsi="Calibri"/>
          <w:color w:val="000000"/>
          <w:sz w:val="20"/>
          <w:szCs w:val="20"/>
        </w:rPr>
        <w:t xml:space="preserve">Envio dos documentos ao cliente final, via courier ou FedEx</w:t>
      </w:r>
    </w:p>
    <w:p>
      <w:pPr>
        <w:pStyle w:val="Heading4"/>
        <w:spacing w:after="80" w:before="200"/>
      </w:pPr>
      <w:r>
        <w:rPr>
          <w:rFonts w:ascii="Calibri" w:cs="Calibri" w:eastAsia="Calibri" w:hAnsi="Calibri"/>
          <w:b/>
          <w:bCs/>
          <w:color w:val="000000"/>
          <w:sz w:val="20"/>
          <w:szCs w:val="20"/>
        </w:rPr>
        <w:t xml:space="preserve">Mailing Address (Opcional) — </w:t>
      </w:r>
      <w:r>
        <w:rPr>
          <w:rFonts w:ascii="Calibri" w:cs="Calibri" w:eastAsia="Calibri" w:hAnsi="Calibri"/>
          <w:b/>
          <w:bCs/>
          <w:color w:val="000000"/>
          <w:sz w:val="20"/>
          <w:szCs w:val="20"/>
        </w:rPr>
        <w:t xml:space="preserve">USD 300</w:t>
      </w:r>
    </w:p>
    <w:p>
      <w:pPr>
        <w:pStyle w:val="ListParagraph"/>
        <w:numPr>
          <w:ilvl w:val="0"/>
          <w:numId w:val="2"/>
        </w:numPr>
        <w:spacing w:after="20" w:before="20"/>
      </w:pPr>
      <w:r>
        <w:rPr>
          <w:rFonts w:ascii="Calibri" w:cs="Calibri" w:eastAsia="Calibri" w:hAnsi="Calibri"/>
          <w:color w:val="000000"/>
          <w:sz w:val="20"/>
          <w:szCs w:val="20"/>
        </w:rPr>
        <w:t xml:space="preserve">Utilização do endereço da FGC como endereço oficial da empresa</w:t>
      </w:r>
    </w:p>
    <w:p>
      <w:pPr>
        <w:pStyle w:val="ListParagraph"/>
        <w:numPr>
          <w:ilvl w:val="0"/>
          <w:numId w:val="2"/>
        </w:numPr>
        <w:spacing w:after="20" w:before="20"/>
      </w:pPr>
      <w:r>
        <w:rPr>
          <w:rFonts w:ascii="Calibri" w:cs="Calibri" w:eastAsia="Calibri" w:hAnsi="Calibri"/>
          <w:color w:val="000000"/>
          <w:sz w:val="20"/>
          <w:szCs w:val="20"/>
        </w:rPr>
        <w:t xml:space="preserve">Recebimento das correspondências</w:t>
      </w:r>
    </w:p>
    <w:p>
      <w:pPr>
        <w:pStyle w:val="ListParagraph"/>
        <w:numPr>
          <w:ilvl w:val="0"/>
          <w:numId w:val="2"/>
        </w:numPr>
        <w:spacing w:after="20" w:before="20"/>
      </w:pPr>
      <w:r>
        <w:rPr>
          <w:rFonts w:ascii="Calibri" w:cs="Calibri" w:eastAsia="Calibri" w:hAnsi="Calibri"/>
          <w:color w:val="000000"/>
          <w:sz w:val="20"/>
          <w:szCs w:val="20"/>
        </w:rPr>
        <w:t xml:space="preserve">Digitalização e encaminhamento das correspondências recebidas por e-mail</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Qualquer correspondência recebida no endereço da FGC será armazenada por um período de até 30 dias. Após esse prazo, as correspondências serão descartadas, salvo instrução formal do cliente dentro desse período.</w:t>
      </w:r>
    </w:p>
    <w:p>
      <w:pPr>
        <w:pStyle w:val="Heading2"/>
        <w:spacing w:after="140" w:before="340"/>
      </w:pPr>
      <w:r>
        <w:rPr>
          <w:rFonts w:ascii="Calibri" w:cs="Calibri" w:eastAsia="Calibri" w:hAnsi="Calibri"/>
          <w:b/>
          <w:bCs/>
          <w:color w:val="1F3A5F"/>
          <w:sz w:val="26"/>
          <w:szCs w:val="26"/>
        </w:rPr>
        <w:t xml:space="preserve">6. Contabilidade e Obrigações Fiscais (recorrente)</w:t>
      </w:r>
    </w:p>
    <w:p>
      <w:pPr>
        <w:pStyle w:val="Heading4"/>
        <w:spacing w:after="80" w:before="200"/>
      </w:pPr>
      <w:r>
        <w:rPr>
          <w:rFonts w:ascii="Calibri" w:cs="Calibri" w:eastAsia="Calibri" w:hAnsi="Calibri"/>
          <w:b/>
          <w:bCs/>
          <w:color w:val="000000"/>
          <w:sz w:val="20"/>
          <w:szCs w:val="20"/>
        </w:rPr>
        <w:t xml:space="preserve">Financial Statements (Demonstrações Financeiras) — </w:t>
      </w:r>
      <w:r>
        <w:rPr>
          <w:rFonts w:ascii="Calibri" w:cs="Calibri" w:eastAsia="Calibri" w:hAnsi="Calibri"/>
          <w:b/>
          <w:bCs/>
          <w:color w:val="000000"/>
          <w:sz w:val="20"/>
          <w:szCs w:val="20"/>
        </w:rPr>
        <w:t xml:space="preserve">USD 1,400</w:t>
      </w:r>
    </w:p>
    <w:p>
      <w:pPr>
        <w:pStyle w:val="ListParagraph"/>
        <w:numPr>
          <w:ilvl w:val="0"/>
          <w:numId w:val="2"/>
        </w:numPr>
        <w:spacing w:after="20" w:before="20"/>
      </w:pPr>
      <w:r>
        <w:rPr>
          <w:rFonts w:ascii="Calibri" w:cs="Calibri" w:eastAsia="Calibri" w:hAnsi="Calibri"/>
          <w:color w:val="000000"/>
          <w:sz w:val="20"/>
          <w:szCs w:val="20"/>
        </w:rPr>
        <w:t xml:space="preserve">Demonstrações Financeiras</w:t>
      </w:r>
    </w:p>
    <w:p>
      <w:pPr>
        <w:pStyle w:val="ListParagraph"/>
        <w:numPr>
          <w:ilvl w:val="0"/>
          <w:numId w:val="2"/>
        </w:numPr>
        <w:spacing w:after="20" w:before="20"/>
      </w:pPr>
      <w:r>
        <w:rPr>
          <w:rFonts w:ascii="Calibri" w:cs="Calibri" w:eastAsia="Calibri" w:hAnsi="Calibri"/>
          <w:color w:val="000000"/>
          <w:sz w:val="20"/>
          <w:szCs w:val="20"/>
        </w:rPr>
        <w:t xml:space="preserve">Annual Financial Return (AFR)</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Caso o cliente opte por não contratar os serviços de elaboração contábil conforme previsto neste item, e as demonstrações financeiras forem preparadas por terceiros, o cliente deverá encaminhar à FGC, até o dia 1º de junho de cada ano:  </w:t>
      </w:r>
    </w:p>
    <w:p>
      <w:pPr>
        <w:pBdr>
          <w:left w:val="single" w:color="B8C6D6" w:sz="14" w:space="10"/>
        </w:pBdr>
        <w:spacing w:after="0" w:before="0"/>
        <w:ind w:left="340"/>
      </w:pPr>
      <w:r>
        <w:rPr>
          <w:rFonts w:ascii="Calibri" w:cs="Calibri" w:eastAsia="Calibri" w:hAnsi="Calibri"/>
          <w:i/>
          <w:iCs/>
          <w:color w:val="595959"/>
          <w:sz w:val="19"/>
          <w:szCs w:val="19"/>
        </w:rPr>
        <w:t xml:space="preserve">- Cópia das Demonstrações Financeiras;  </w:t>
      </w:r>
    </w:p>
    <w:p>
      <w:pPr>
        <w:pBdr>
          <w:left w:val="single" w:color="B8C6D6" w:sz="14" w:space="10"/>
        </w:pBdr>
        <w:spacing w:after="0" w:before="0"/>
        <w:ind w:left="340"/>
      </w:pPr>
      <w:r>
        <w:rPr>
          <w:rFonts w:ascii="Calibri" w:cs="Calibri" w:eastAsia="Calibri" w:hAnsi="Calibri"/>
          <w:i/>
          <w:iCs/>
          <w:color w:val="595959"/>
          <w:sz w:val="19"/>
          <w:szCs w:val="19"/>
        </w:rPr>
        <w:t xml:space="preserve">- Relatório preenchido no formato exigido para submissão às autoridades nas BVI.  </w:t>
      </w:r>
    </w:p>
    <w:p>
      <w:pPr>
        <w:pBdr>
          <w:left w:val="single" w:color="B8C6D6" w:sz="14" w:space="10"/>
        </w:pBdr>
        <w:spacing w:after="0" w:before="0"/>
        <w:ind w:left="340"/>
      </w:pPr>
      <w:r>
        <w:rPr>
          <w:rFonts w:ascii="Calibri" w:cs="Calibri" w:eastAsia="Calibri" w:hAnsi="Calibri"/>
          <w:i/>
          <w:iCs/>
          <w:color w:val="595959"/>
          <w:sz w:val="19"/>
          <w:szCs w:val="19"/>
        </w:rPr>
        <w:t xml:space="preserve">Nessa hipótese, a FGC atuará exclusivamente na função de submissão do AFR, sem qualquer responsabilidade sobre a veracidade, consistência ou validade das informações contábeis fornecidas.  </w:t>
      </w:r>
    </w:p>
    <w:p>
      <w:pPr>
        <w:pBdr>
          <w:left w:val="single" w:color="B8C6D6" w:sz="14" w:space="10"/>
        </w:pBdr>
        <w:spacing w:after="160" w:before="0"/>
        <w:ind w:left="340"/>
      </w:pPr>
      <w:r>
        <w:rPr>
          <w:rFonts w:ascii="Calibri" w:cs="Calibri" w:eastAsia="Calibri" w:hAnsi="Calibri"/>
          <w:i/>
          <w:iCs/>
          <w:color w:val="595959"/>
          <w:sz w:val="19"/>
          <w:szCs w:val="19"/>
        </w:rPr>
        <w:t xml:space="preserve">O não envio da documentação no prazo informado poderá resultar em penalidades por parte das autoridades locais, sendo o cliente integralmente responsável por tais consequências. A FGC estará isenta de qualquer obrigação ou responsabilidade decorrente da não entrega ou entrega incompleta.</w:t>
      </w:r>
    </w:p>
    <w:p>
      <w:pPr>
        <w:pStyle w:val="Heading4"/>
        <w:spacing w:after="80" w:before="200"/>
      </w:pPr>
      <w:r>
        <w:rPr>
          <w:rFonts w:ascii="Calibri" w:cs="Calibri" w:eastAsia="Calibri" w:hAnsi="Calibri"/>
          <w:b/>
          <w:bCs/>
          <w:color w:val="000000"/>
          <w:sz w:val="20"/>
          <w:szCs w:val="20"/>
        </w:rPr>
        <w:t xml:space="preserve">Tax Return (Declaração de Imposto de Renda) — </w:t>
      </w:r>
      <w:r>
        <w:rPr>
          <w:rFonts w:ascii="Calibri" w:cs="Calibri" w:eastAsia="Calibri" w:hAnsi="Calibri"/>
          <w:b/>
          <w:bCs/>
          <w:color w:val="000000"/>
          <w:sz w:val="20"/>
          <w:szCs w:val="20"/>
        </w:rPr>
        <w:t xml:space="preserve">USD 1,500</w:t>
      </w:r>
    </w:p>
    <w:p>
      <w:pPr>
        <w:pStyle w:val="ListParagraph"/>
        <w:numPr>
          <w:ilvl w:val="0"/>
          <w:numId w:val="2"/>
        </w:numPr>
        <w:spacing w:after="20" w:before="20"/>
      </w:pPr>
      <w:r>
        <w:rPr>
          <w:rFonts w:ascii="Calibri" w:cs="Calibri" w:eastAsia="Calibri" w:hAnsi="Calibri"/>
          <w:color w:val="000000"/>
          <w:sz w:val="20"/>
          <w:szCs w:val="20"/>
        </w:rPr>
        <w:t xml:space="preserve">Lançamentos contábeis com base nos documentos fornecidos (extratos bancários, faturas, contratos, etc.)</w:t>
      </w:r>
    </w:p>
    <w:p>
      <w:pPr>
        <w:pStyle w:val="ListParagraph"/>
        <w:numPr>
          <w:ilvl w:val="0"/>
          <w:numId w:val="2"/>
        </w:numPr>
        <w:spacing w:after="20" w:before="20"/>
      </w:pPr>
      <w:r>
        <w:rPr>
          <w:rFonts w:ascii="Calibri" w:cs="Calibri" w:eastAsia="Calibri" w:hAnsi="Calibri"/>
          <w:color w:val="000000"/>
          <w:sz w:val="20"/>
          <w:szCs w:val="20"/>
        </w:rPr>
        <w:t xml:space="preserve">Entrega e submissão aos órgãos competentes</w:t>
      </w:r>
    </w:p>
    <w:p>
      <w:pPr>
        <w:pStyle w:val="Heading4"/>
        <w:spacing w:after="80" w:before="200"/>
      </w:pPr>
      <w:r>
        <w:rPr>
          <w:rFonts w:ascii="Calibri" w:cs="Calibri" w:eastAsia="Calibri" w:hAnsi="Calibri"/>
          <w:b/>
          <w:bCs/>
          <w:color w:val="000000"/>
          <w:sz w:val="20"/>
          <w:szCs w:val="20"/>
        </w:rPr>
        <w:t xml:space="preserve">Preparação do Annual Financial Return (AFR) — </w:t>
      </w:r>
      <w:r>
        <w:rPr>
          <w:rFonts w:ascii="Calibri" w:cs="Calibri" w:eastAsia="Calibri" w:hAnsi="Calibri"/>
          <w:b/>
          <w:bCs/>
          <w:color w:val="000000"/>
          <w:sz w:val="20"/>
          <w:szCs w:val="20"/>
        </w:rPr>
        <w:t xml:space="preserve">USD 650</w:t>
      </w:r>
    </w:p>
    <w:p>
      <w:pPr>
        <w:pStyle w:val="ListParagraph"/>
        <w:numPr>
          <w:ilvl w:val="0"/>
          <w:numId w:val="2"/>
        </w:numPr>
        <w:spacing w:after="20" w:before="20"/>
      </w:pPr>
      <w:r>
        <w:rPr>
          <w:rFonts w:ascii="Calibri" w:cs="Calibri" w:eastAsia="Calibri" w:hAnsi="Calibri"/>
          <w:color w:val="000000"/>
          <w:sz w:val="20"/>
          <w:szCs w:val="20"/>
        </w:rPr>
        <w:t xml:space="preserve">Annual Financial Return — submissão</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Caso o cliente contrate terceiros para a preparação do AFR, a FGC deverá receber até 1º de junho de cada ano: Relatório no formato exigido pelas autoridades de BVI.  </w:t>
      </w:r>
    </w:p>
    <w:p>
      <w:pPr>
        <w:pBdr>
          <w:left w:val="single" w:color="B8C6D6" w:sz="14" w:space="10"/>
        </w:pBdr>
        <w:spacing w:after="160" w:before="0"/>
        <w:ind w:left="340"/>
      </w:pPr>
      <w:r>
        <w:rPr>
          <w:rFonts w:ascii="Calibri" w:cs="Calibri" w:eastAsia="Calibri" w:hAnsi="Calibri"/>
          <w:i/>
          <w:iCs/>
          <w:color w:val="595959"/>
          <w:sz w:val="19"/>
          <w:szCs w:val="19"/>
        </w:rPr>
        <w:t xml:space="preserve">Nessa hipótese, a responsabilidade da FGC será limitada exclusivamente à submissão do AFR. A FGC não assumirá responsabilidade sobre a veracidade, consistência ou validade das informações contábeis fornecidas. O não envio da documentação no prazo poderá resultar em penalidades, sendo o cliente integralmente responsável.</w:t>
      </w:r>
    </w:p>
    <w:p>
      <w:pPr>
        <w:pStyle w:val="Heading4"/>
        <w:spacing w:after="80" w:before="200"/>
      </w:pPr>
      <w:r>
        <w:rPr>
          <w:rFonts w:ascii="Calibri" w:cs="Calibri" w:eastAsia="Calibri" w:hAnsi="Calibri"/>
          <w:b/>
          <w:bCs/>
          <w:color w:val="000000"/>
          <w:sz w:val="20"/>
          <w:szCs w:val="20"/>
        </w:rPr>
        <w:t xml:space="preserve">Financial Statements — Prior Years (Anos Anteriores) — </w:t>
      </w:r>
      <w:r>
        <w:rPr>
          <w:rFonts w:ascii="Calibri" w:cs="Calibri" w:eastAsia="Calibri" w:hAnsi="Calibri"/>
          <w:b/>
          <w:bCs/>
          <w:color w:val="000000"/>
          <w:sz w:val="20"/>
          <w:szCs w:val="20"/>
        </w:rPr>
        <w:t xml:space="preserve">USD 1,400</w:t>
      </w:r>
    </w:p>
    <w:p>
      <w:pPr>
        <w:pStyle w:val="ListParagraph"/>
        <w:numPr>
          <w:ilvl w:val="0"/>
          <w:numId w:val="2"/>
        </w:numPr>
        <w:spacing w:after="20" w:before="20"/>
      </w:pPr>
      <w:r>
        <w:rPr>
          <w:rFonts w:ascii="Calibri" w:cs="Calibri" w:eastAsia="Calibri" w:hAnsi="Calibri"/>
          <w:color w:val="000000"/>
          <w:sz w:val="20"/>
          <w:szCs w:val="20"/>
        </w:rPr>
        <w:t xml:space="preserve">Demonstrações Financeiras referentes a exercícios fiscais anteriores</w:t>
      </w:r>
    </w:p>
    <w:p>
      <w:pPr>
        <w:pStyle w:val="ListParagraph"/>
        <w:numPr>
          <w:ilvl w:val="0"/>
          <w:numId w:val="2"/>
        </w:numPr>
        <w:spacing w:after="20" w:before="20"/>
      </w:pPr>
      <w:r>
        <w:rPr>
          <w:rFonts w:ascii="Calibri" w:cs="Calibri" w:eastAsia="Calibri" w:hAnsi="Calibri"/>
          <w:color w:val="000000"/>
          <w:sz w:val="20"/>
          <w:szCs w:val="20"/>
        </w:rPr>
        <w:t xml:space="preserve">Annual Financial Return (AFR) — exercícios anteriores</w:t>
      </w:r>
    </w:p>
    <w:p>
      <w:pPr>
        <w:pStyle w:val="Heading4"/>
        <w:spacing w:after="80" w:before="200"/>
      </w:pPr>
      <w:r>
        <w:rPr>
          <w:rFonts w:ascii="Calibri" w:cs="Calibri" w:eastAsia="Calibri" w:hAnsi="Calibri"/>
          <w:b/>
          <w:bCs/>
          <w:color w:val="000000"/>
          <w:sz w:val="20"/>
          <w:szCs w:val="20"/>
        </w:rPr>
        <w:t xml:space="preserve">Tax Return — Prior Years (Anos Anteriores) — </w:t>
      </w:r>
      <w:r>
        <w:rPr>
          <w:rFonts w:ascii="Calibri" w:cs="Calibri" w:eastAsia="Calibri" w:hAnsi="Calibri"/>
          <w:b/>
          <w:bCs/>
          <w:color w:val="000000"/>
          <w:sz w:val="20"/>
          <w:szCs w:val="20"/>
        </w:rPr>
        <w:t xml:space="preserve">USD 1,500</w:t>
      </w:r>
    </w:p>
    <w:p>
      <w:pPr>
        <w:pStyle w:val="ListParagraph"/>
        <w:numPr>
          <w:ilvl w:val="0"/>
          <w:numId w:val="2"/>
        </w:numPr>
        <w:spacing w:after="20" w:before="20"/>
      </w:pPr>
      <w:r>
        <w:rPr>
          <w:rFonts w:ascii="Calibri" w:cs="Calibri" w:eastAsia="Calibri" w:hAnsi="Calibri"/>
          <w:color w:val="000000"/>
          <w:sz w:val="20"/>
          <w:szCs w:val="20"/>
        </w:rPr>
        <w:t xml:space="preserve">Lançamentos contábeis referentes a exercícios fiscais anteriores, com base nos documentos fornecidos</w:t>
      </w:r>
    </w:p>
    <w:p>
      <w:pPr>
        <w:pStyle w:val="ListParagraph"/>
        <w:numPr>
          <w:ilvl w:val="0"/>
          <w:numId w:val="2"/>
        </w:numPr>
        <w:spacing w:after="20" w:before="20"/>
      </w:pPr>
      <w:r>
        <w:rPr>
          <w:rFonts w:ascii="Calibri" w:cs="Calibri" w:eastAsia="Calibri" w:hAnsi="Calibri"/>
          <w:color w:val="000000"/>
          <w:sz w:val="20"/>
          <w:szCs w:val="20"/>
        </w:rPr>
        <w:t xml:space="preserve">Entrega e submissão dos Tax Returns relativos aos exercícios anteriores aos órgãos competentes</w:t>
      </w:r>
    </w:p>
    <w:p>
      <w:pPr>
        <w:pStyle w:val="Heading4"/>
        <w:spacing w:after="80" w:before="200"/>
      </w:pPr>
      <w:r>
        <w:rPr>
          <w:rFonts w:ascii="Calibri" w:cs="Calibri" w:eastAsia="Calibri" w:hAnsi="Calibri"/>
          <w:b/>
          <w:bCs/>
          <w:color w:val="000000"/>
          <w:sz w:val="20"/>
          <w:szCs w:val="20"/>
        </w:rPr>
        <w:t xml:space="preserve">Demonstrações Financeiras — Elaboradas por Terceiros — </w:t>
      </w:r>
      <w:r>
        <w:rPr>
          <w:rFonts w:ascii="Calibri" w:cs="Calibri" w:eastAsia="Calibri" w:hAnsi="Calibri"/>
          <w:b/>
          <w:bCs/>
          <w:color w:val="000000"/>
          <w:sz w:val="20"/>
          <w:szCs w:val="20"/>
        </w:rPr>
        <w:t xml:space="preserve">A definir (caso a caso)</w:t>
      </w:r>
    </w:p>
    <w:p>
      <w:pPr>
        <w:pStyle w:val="ListParagraph"/>
        <w:numPr>
          <w:ilvl w:val="0"/>
          <w:numId w:val="2"/>
        </w:numPr>
        <w:spacing w:after="20" w:before="20"/>
      </w:pPr>
      <w:r>
        <w:rPr>
          <w:rFonts w:ascii="Calibri" w:cs="Calibri" w:eastAsia="Calibri" w:hAnsi="Calibri"/>
          <w:color w:val="000000"/>
          <w:sz w:val="20"/>
          <w:szCs w:val="20"/>
        </w:rPr>
        <w:t xml:space="preserve">Para as demonstrações financeiras preparadas por terceiros, o cliente deverá encaminhar à FGC, até o dia 1º de junho de cada ano, a documentação necessária para a submissão do AFR.</w:t>
      </w:r>
    </w:p>
    <w:p>
      <w:pPr>
        <w:pStyle w:val="ListParagraph"/>
        <w:numPr>
          <w:ilvl w:val="0"/>
          <w:numId w:val="2"/>
        </w:numPr>
        <w:spacing w:after="20" w:before="20"/>
      </w:pPr>
      <w:r>
        <w:rPr>
          <w:rFonts w:ascii="Calibri" w:cs="Calibri" w:eastAsia="Calibri" w:hAnsi="Calibri"/>
          <w:color w:val="000000"/>
          <w:sz w:val="20"/>
          <w:szCs w:val="20"/>
        </w:rPr>
        <w:t xml:space="preserve">Nessa hipótese, a FGC atuará exclusivamente na função de submissão do AFR, sem qualquer responsabilidade sobre a veracidade, consistência ou validade das informações contábeis fornecidas.</w:t>
      </w:r>
    </w:p>
    <w:p>
      <w:pPr>
        <w:pStyle w:val="ListParagraph"/>
        <w:numPr>
          <w:ilvl w:val="0"/>
          <w:numId w:val="2"/>
        </w:numPr>
        <w:spacing w:after="20" w:before="20"/>
      </w:pPr>
      <w:r>
        <w:rPr>
          <w:rFonts w:ascii="Calibri" w:cs="Calibri" w:eastAsia="Calibri" w:hAnsi="Calibri"/>
          <w:color w:val="000000"/>
          <w:sz w:val="20"/>
          <w:szCs w:val="20"/>
        </w:rPr>
        <w:t xml:space="preserve">O não envio da documentação no prazo informado poderá resultar em penalidades por parte das autoridades locais, sendo o cliente integralmente responsável por tais consequências. A FGC estará isenta de qualquer obrigação ou responsabilidade decorrente da não entrega ou entrega incompleta.</w:t>
      </w:r>
    </w:p>
    <w:p>
      <w:pPr>
        <w:pStyle w:val="Heading4"/>
        <w:spacing w:after="80" w:before="200"/>
      </w:pPr>
      <w:r>
        <w:rPr>
          <w:rFonts w:ascii="Calibri" w:cs="Calibri" w:eastAsia="Calibri" w:hAnsi="Calibri"/>
          <w:b/>
          <w:bCs/>
          <w:color w:val="000000"/>
          <w:sz w:val="20"/>
          <w:szCs w:val="20"/>
        </w:rPr>
        <w:t xml:space="preserve">Tax Return — Elaborado por Terceiros — </w:t>
      </w:r>
      <w:r>
        <w:rPr>
          <w:rFonts w:ascii="Calibri" w:cs="Calibri" w:eastAsia="Calibri" w:hAnsi="Calibri"/>
          <w:b/>
          <w:bCs/>
          <w:color w:val="000000"/>
          <w:sz w:val="20"/>
          <w:szCs w:val="20"/>
        </w:rPr>
        <w:t xml:space="preserve">A definir (caso a caso)</w:t>
      </w:r>
    </w:p>
    <w:p>
      <w:pPr>
        <w:pStyle w:val="ListParagraph"/>
        <w:numPr>
          <w:ilvl w:val="0"/>
          <w:numId w:val="2"/>
        </w:numPr>
        <w:spacing w:after="20" w:before="20"/>
      </w:pPr>
      <w:r>
        <w:rPr>
          <w:rFonts w:ascii="Calibri" w:cs="Calibri" w:eastAsia="Calibri" w:hAnsi="Calibri"/>
          <w:color w:val="000000"/>
          <w:sz w:val="20"/>
          <w:szCs w:val="20"/>
        </w:rPr>
        <w:t xml:space="preserve">Para o Tax Return preparado por terceiros, o cliente deverá encaminhar à FGC, até o dia 15 de março de cada ano, a documentação necessária para a submissão.</w:t>
      </w:r>
    </w:p>
    <w:p>
      <w:pPr>
        <w:pStyle w:val="ListParagraph"/>
        <w:numPr>
          <w:ilvl w:val="0"/>
          <w:numId w:val="2"/>
        </w:numPr>
        <w:spacing w:after="20" w:before="20"/>
      </w:pPr>
      <w:r>
        <w:rPr>
          <w:rFonts w:ascii="Calibri" w:cs="Calibri" w:eastAsia="Calibri" w:hAnsi="Calibri"/>
          <w:color w:val="000000"/>
          <w:sz w:val="20"/>
          <w:szCs w:val="20"/>
        </w:rPr>
        <w:t xml:space="preserve">Nessa hipótese, a FGC atuará exclusivamente na função de submissão do Tax Return, sem qualquer responsabilidade sobre a veracidade, consistência ou validade das informações fornecidas.</w:t>
      </w:r>
    </w:p>
    <w:p>
      <w:pPr>
        <w:pStyle w:val="ListParagraph"/>
        <w:numPr>
          <w:ilvl w:val="0"/>
          <w:numId w:val="2"/>
        </w:numPr>
        <w:spacing w:after="20" w:before="20"/>
      </w:pPr>
      <w:r>
        <w:rPr>
          <w:rFonts w:ascii="Calibri" w:cs="Calibri" w:eastAsia="Calibri" w:hAnsi="Calibri"/>
          <w:color w:val="000000"/>
          <w:sz w:val="20"/>
          <w:szCs w:val="20"/>
        </w:rPr>
        <w:t xml:space="preserve">O não envio da documentação no prazo informado poderá resultar em penalidades por parte das autoridades competentes, sendo o cliente integralmente responsável por tais consequências. A FGC estará isenta de qualquer obrigação ou responsabilidade decorrente da não entrega ou entrega incompleta.</w:t>
      </w:r>
    </w:p>
    <w:p>
      <w:pPr>
        <w:pStyle w:val="Heading4"/>
        <w:spacing w:after="80" w:before="200"/>
      </w:pPr>
      <w:r>
        <w:rPr>
          <w:rFonts w:ascii="Calibri" w:cs="Calibri" w:eastAsia="Calibri" w:hAnsi="Calibri"/>
          <w:b/>
          <w:bCs/>
          <w:color w:val="000000"/>
          <w:sz w:val="20"/>
          <w:szCs w:val="20"/>
        </w:rPr>
        <w:t xml:space="preserve">Transferência — FS ano corrente / Tax Return ano corrente</w:t>
      </w:r>
    </w:p>
    <w:p>
      <w:pPr>
        <w:pStyle w:val="ListParagraph"/>
        <w:numPr>
          <w:ilvl w:val="0"/>
          <w:numId w:val="2"/>
        </w:numPr>
        <w:spacing w:after="20" w:before="20"/>
      </w:pPr>
      <w:r>
        <w:rPr>
          <w:rFonts w:ascii="Calibri" w:cs="Calibri" w:eastAsia="Calibri" w:hAnsi="Calibri"/>
          <w:color w:val="000000"/>
          <w:sz w:val="20"/>
          <w:szCs w:val="20"/>
        </w:rPr>
        <w:t xml:space="preserve">Financial Statements (em transferência): </w:t>
      </w:r>
      <w:r>
        <w:rPr>
          <w:rFonts w:ascii="Calibri" w:cs="Calibri" w:eastAsia="Calibri" w:hAnsi="Calibri"/>
          <w:b/>
          <w:bCs/>
          <w:color w:val="000000"/>
          <w:sz w:val="20"/>
          <w:szCs w:val="20"/>
        </w:rPr>
        <w:t xml:space="preserve">USD 1,400</w:t>
      </w:r>
    </w:p>
    <w:p>
      <w:pPr>
        <w:pStyle w:val="ListParagraph"/>
        <w:numPr>
          <w:ilvl w:val="0"/>
          <w:numId w:val="2"/>
        </w:numPr>
        <w:spacing w:after="20" w:before="20"/>
      </w:pPr>
      <w:r>
        <w:rPr>
          <w:rFonts w:ascii="Calibri" w:cs="Calibri" w:eastAsia="Calibri" w:hAnsi="Calibri"/>
          <w:color w:val="000000"/>
          <w:sz w:val="20"/>
          <w:szCs w:val="20"/>
        </w:rPr>
        <w:t xml:space="preserve">Tax Return (em transferência): </w:t>
      </w:r>
      <w:r>
        <w:rPr>
          <w:rFonts w:ascii="Calibri" w:cs="Calibri" w:eastAsia="Calibri" w:hAnsi="Calibri"/>
          <w:b/>
          <w:bCs/>
          <w:color w:val="000000"/>
          <w:sz w:val="20"/>
          <w:szCs w:val="20"/>
        </w:rPr>
        <w:t xml:space="preserve">USD 1,500</w:t>
      </w:r>
    </w:p>
    <w:p>
      <w:pPr>
        <w:pStyle w:val="Heading2"/>
        <w:spacing w:after="140" w:before="340"/>
      </w:pPr>
      <w:r>
        <w:rPr>
          <w:rFonts w:ascii="Calibri" w:cs="Calibri" w:eastAsia="Calibri" w:hAnsi="Calibri"/>
          <w:b/>
          <w:bCs/>
          <w:color w:val="1F3A5F"/>
          <w:sz w:val="26"/>
          <w:szCs w:val="26"/>
        </w:rPr>
        <w:t xml:space="preserve">7. Dissolução (standalone)</w:t>
      </w:r>
    </w:p>
    <w:p>
      <w:pPr>
        <w:pStyle w:val="Heading4"/>
        <w:spacing w:after="80" w:before="200"/>
      </w:pPr>
      <w:r>
        <w:rPr>
          <w:rFonts w:ascii="Calibri" w:cs="Calibri" w:eastAsia="Calibri" w:hAnsi="Calibri"/>
          <w:b/>
          <w:bCs/>
          <w:color w:val="000000"/>
          <w:sz w:val="20"/>
          <w:szCs w:val="20"/>
        </w:rPr>
        <w:t xml:space="preserve">Dissolução BVI — </w:t>
      </w:r>
      <w:r>
        <w:rPr>
          <w:rFonts w:ascii="Calibri" w:cs="Calibri" w:eastAsia="Calibri" w:hAnsi="Calibri"/>
          <w:b/>
          <w:bCs/>
          <w:color w:val="000000"/>
          <w:sz w:val="20"/>
          <w:szCs w:val="20"/>
        </w:rPr>
        <w:t xml:space="preserve">USD 5,500</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BVI (BVI Registry of Corporate Affairs)</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 de BVI</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 A FGC não se responsabiliza por eventuais penalidades decorrentes de obrigações pendentes anteriores ao início do processo de dissolução.</w:t>
      </w:r>
    </w:p>
    <w:p>
      <w:pPr>
        <w:pStyle w:val="Heading4"/>
        <w:spacing w:after="80" w:before="200"/>
      </w:pPr>
      <w:r>
        <w:rPr>
          <w:rFonts w:ascii="Calibri" w:cs="Calibri" w:eastAsia="Calibri" w:hAnsi="Calibri"/>
          <w:b/>
          <w:bCs/>
          <w:color w:val="000000"/>
          <w:sz w:val="20"/>
          <w:szCs w:val="20"/>
        </w:rPr>
        <w:t xml:space="preserve">Dissolução Bahamas — </w:t>
      </w:r>
      <w:r>
        <w:rPr>
          <w:rFonts w:ascii="Calibri" w:cs="Calibri" w:eastAsia="Calibri" w:hAnsi="Calibri"/>
          <w:b/>
          <w:bCs/>
          <w:color w:val="000000"/>
          <w:sz w:val="20"/>
          <w:szCs w:val="20"/>
        </w:rPr>
        <w:t xml:space="preserve">USD 2,500</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Bahamas</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w:t>
      </w:r>
    </w:p>
    <w:p>
      <w:pPr>
        <w:pStyle w:val="Heading4"/>
        <w:spacing w:after="80" w:before="200"/>
      </w:pPr>
      <w:r>
        <w:rPr>
          <w:rFonts w:ascii="Calibri" w:cs="Calibri" w:eastAsia="Calibri" w:hAnsi="Calibri"/>
          <w:b/>
          <w:bCs/>
          <w:color w:val="000000"/>
          <w:sz w:val="20"/>
          <w:szCs w:val="20"/>
        </w:rPr>
        <w:t xml:space="preserve">Dissolução Cayman — </w:t>
      </w:r>
      <w:r>
        <w:rPr>
          <w:rFonts w:ascii="Calibri" w:cs="Calibri" w:eastAsia="Calibri" w:hAnsi="Calibri"/>
          <w:b/>
          <w:bCs/>
          <w:color w:val="000000"/>
          <w:sz w:val="20"/>
          <w:szCs w:val="20"/>
        </w:rPr>
        <w:t xml:space="preserve">USD 2,500</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Cayman</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w:t>
      </w:r>
    </w:p>
    <w:p>
      <w:pPr>
        <w:pStyle w:val="Heading4"/>
        <w:spacing w:after="80" w:before="200"/>
      </w:pPr>
      <w:r>
        <w:rPr>
          <w:rFonts w:ascii="Calibri" w:cs="Calibri" w:eastAsia="Calibri" w:hAnsi="Calibri"/>
          <w:b/>
          <w:bCs/>
          <w:color w:val="000000"/>
          <w:sz w:val="20"/>
          <w:szCs w:val="20"/>
        </w:rPr>
        <w:t xml:space="preserve">Dissolução Nevis — </w:t>
      </w:r>
      <w:r>
        <w:rPr>
          <w:rFonts w:ascii="Calibri" w:cs="Calibri" w:eastAsia="Calibri" w:hAnsi="Calibri"/>
          <w:b/>
          <w:bCs/>
          <w:color w:val="000000"/>
          <w:sz w:val="20"/>
          <w:szCs w:val="20"/>
        </w:rPr>
        <w:t xml:space="preserve">USD 2,500</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Nevis</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w:t>
      </w:r>
    </w:p>
    <w:p>
      <w:pPr>
        <w:pStyle w:val="Heading4"/>
        <w:spacing w:after="80" w:before="200"/>
      </w:pPr>
      <w:r>
        <w:rPr>
          <w:rFonts w:ascii="Calibri" w:cs="Calibri" w:eastAsia="Calibri" w:hAnsi="Calibri"/>
          <w:b/>
          <w:bCs/>
          <w:color w:val="000000"/>
          <w:sz w:val="20"/>
          <w:szCs w:val="20"/>
        </w:rPr>
        <w:t xml:space="preserve">Dissolução Florida LLC — </w:t>
      </w:r>
      <w:r>
        <w:rPr>
          <w:rFonts w:ascii="Calibri" w:cs="Calibri" w:eastAsia="Calibri" w:hAnsi="Calibri"/>
          <w:b/>
          <w:bCs/>
          <w:color w:val="000000"/>
          <w:sz w:val="20"/>
          <w:szCs w:val="20"/>
        </w:rPr>
        <w:t xml:space="preserve">USD 800</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da Florida</w:t>
      </w:r>
    </w:p>
    <w:p>
      <w:pPr>
        <w:pStyle w:val="Heading4"/>
        <w:spacing w:after="80" w:before="200"/>
      </w:pPr>
      <w:r>
        <w:rPr>
          <w:rFonts w:ascii="Calibri" w:cs="Calibri" w:eastAsia="Calibri" w:hAnsi="Calibri"/>
          <w:b/>
          <w:bCs/>
          <w:color w:val="000000"/>
          <w:sz w:val="20"/>
          <w:szCs w:val="20"/>
        </w:rPr>
        <w:t xml:space="preserve">Dissolução Delaware LLC — </w:t>
      </w:r>
      <w:r>
        <w:rPr>
          <w:rFonts w:ascii="Calibri" w:cs="Calibri" w:eastAsia="Calibri" w:hAnsi="Calibri"/>
          <w:b/>
          <w:bCs/>
          <w:color w:val="000000"/>
          <w:sz w:val="20"/>
          <w:szCs w:val="20"/>
        </w:rPr>
        <w:t xml:space="preserve">USD 2,000</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Delaware</w:t>
      </w:r>
    </w:p>
    <w:p>
      <w:pPr>
        <w:pStyle w:val="Heading4"/>
        <w:spacing w:after="80" w:before="200"/>
      </w:pPr>
      <w:r>
        <w:rPr>
          <w:rFonts w:ascii="Calibri" w:cs="Calibri" w:eastAsia="Calibri" w:hAnsi="Calibri"/>
          <w:b/>
          <w:bCs/>
          <w:color w:val="000000"/>
          <w:sz w:val="20"/>
          <w:szCs w:val="20"/>
        </w:rPr>
        <w:t xml:space="preserve">Dissolução New York LLC — </w:t>
      </w:r>
      <w:r>
        <w:rPr>
          <w:rFonts w:ascii="Calibri" w:cs="Calibri" w:eastAsia="Calibri" w:hAnsi="Calibri"/>
          <w:b/>
          <w:bCs/>
          <w:color w:val="000000"/>
          <w:sz w:val="20"/>
          <w:szCs w:val="20"/>
        </w:rPr>
        <w:t xml:space="preserve">USD 800</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New York</w:t>
      </w:r>
    </w:p>
    <w:p>
      <w:pPr>
        <w:pStyle w:val="Heading4"/>
        <w:spacing w:after="80" w:before="200"/>
      </w:pPr>
      <w:r>
        <w:rPr>
          <w:rFonts w:ascii="Calibri" w:cs="Calibri" w:eastAsia="Calibri" w:hAnsi="Calibri"/>
          <w:b/>
          <w:bCs/>
          <w:color w:val="000000"/>
          <w:sz w:val="20"/>
          <w:szCs w:val="20"/>
        </w:rPr>
        <w:t xml:space="preserve">Dissolução South Dakota LLC — </w:t>
      </w:r>
      <w:r>
        <w:rPr>
          <w:rFonts w:ascii="Calibri" w:cs="Calibri" w:eastAsia="Calibri" w:hAnsi="Calibri"/>
          <w:b/>
          <w:bCs/>
          <w:color w:val="000000"/>
          <w:sz w:val="20"/>
          <w:szCs w:val="20"/>
        </w:rPr>
        <w:t xml:space="preserve">USD 800</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South Dakota</w:t>
      </w:r>
    </w:p>
    <w:p>
      <w:pPr>
        <w:pStyle w:val="Heading4"/>
        <w:spacing w:after="80" w:before="200"/>
      </w:pPr>
      <w:r>
        <w:rPr>
          <w:rFonts w:ascii="Calibri" w:cs="Calibri" w:eastAsia="Calibri" w:hAnsi="Calibri"/>
          <w:b/>
          <w:bCs/>
          <w:color w:val="000000"/>
          <w:sz w:val="20"/>
          <w:szCs w:val="20"/>
        </w:rPr>
        <w:t xml:space="preserve">Dissolução Wisconsin LLC — </w:t>
      </w:r>
      <w:r>
        <w:rPr>
          <w:rFonts w:ascii="Calibri" w:cs="Calibri" w:eastAsia="Calibri" w:hAnsi="Calibri"/>
          <w:b/>
          <w:bCs/>
          <w:color w:val="000000"/>
          <w:sz w:val="20"/>
          <w:szCs w:val="20"/>
        </w:rPr>
        <w:t xml:space="preserve">USD 800</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Wisconsin</w:t>
      </w:r>
    </w:p>
    <w:p>
      <w:pPr>
        <w:pStyle w:val="Heading4"/>
        <w:spacing w:after="80" w:before="200"/>
      </w:pPr>
      <w:r>
        <w:rPr>
          <w:rFonts w:ascii="Calibri" w:cs="Calibri" w:eastAsia="Calibri" w:hAnsi="Calibri"/>
          <w:b/>
          <w:bCs/>
          <w:color w:val="000000"/>
          <w:sz w:val="20"/>
          <w:szCs w:val="20"/>
        </w:rPr>
        <w:t xml:space="preserve">Dissolução Minnesota LLC — </w:t>
      </w:r>
      <w:r>
        <w:rPr>
          <w:rFonts w:ascii="Calibri" w:cs="Calibri" w:eastAsia="Calibri" w:hAnsi="Calibri"/>
          <w:b/>
          <w:bCs/>
          <w:color w:val="000000"/>
          <w:sz w:val="20"/>
          <w:szCs w:val="20"/>
        </w:rPr>
        <w:t xml:space="preserve">USD 800</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Minnesota</w:t>
      </w:r>
    </w:p>
    <w:p>
      <w:pPr>
        <w:pStyle w:val="Heading4"/>
        <w:spacing w:after="80" w:before="200"/>
      </w:pPr>
      <w:r>
        <w:rPr>
          <w:rFonts w:ascii="Calibri" w:cs="Calibri" w:eastAsia="Calibri" w:hAnsi="Calibri"/>
          <w:b/>
          <w:bCs/>
          <w:color w:val="000000"/>
          <w:sz w:val="20"/>
          <w:szCs w:val="20"/>
        </w:rPr>
        <w:t xml:space="preserve">Tax Return Final (FL LLC) — </w:t>
      </w:r>
      <w:r>
        <w:rPr>
          <w:rFonts w:ascii="Calibri" w:cs="Calibri" w:eastAsia="Calibri" w:hAnsi="Calibri"/>
          <w:b/>
          <w:bCs/>
          <w:color w:val="000000"/>
          <w:sz w:val="20"/>
          <w:szCs w:val="20"/>
        </w:rPr>
        <w:t xml:space="preserve">USD 1,500</w:t>
      </w:r>
    </w:p>
    <w:p>
      <w:pPr>
        <w:pStyle w:val="ListParagraph"/>
        <w:numPr>
          <w:ilvl w:val="0"/>
          <w:numId w:val="2"/>
        </w:numPr>
        <w:spacing w:after="20" w:before="20"/>
      </w:pPr>
      <w:r>
        <w:rPr>
          <w:rFonts w:ascii="Calibri" w:cs="Calibri" w:eastAsia="Calibri" w:hAnsi="Calibri"/>
          <w:color w:val="000000"/>
          <w:sz w:val="20"/>
          <w:szCs w:val="20"/>
        </w:rPr>
        <w:t xml:space="preserve">Tax Return final referente ao período de operação da empresa até a data de dissolução</w:t>
      </w:r>
    </w:p>
    <w:p>
      <w:pPr>
        <w:pStyle w:val="Heading4"/>
        <w:spacing w:after="80" w:before="200"/>
      </w:pPr>
      <w:r>
        <w:rPr>
          <w:rFonts w:ascii="Calibri" w:cs="Calibri" w:eastAsia="Calibri" w:hAnsi="Calibri"/>
          <w:b/>
          <w:bCs/>
          <w:color w:val="000000"/>
          <w:sz w:val="20"/>
          <w:szCs w:val="20"/>
        </w:rPr>
        <w:t xml:space="preserve">Demonstrações Financeiras Final (DE) — </w:t>
      </w:r>
      <w:r>
        <w:rPr>
          <w:rFonts w:ascii="Calibri" w:cs="Calibri" w:eastAsia="Calibri" w:hAnsi="Calibri"/>
          <w:b/>
          <w:bCs/>
          <w:color w:val="000000"/>
          <w:sz w:val="20"/>
          <w:szCs w:val="20"/>
        </w:rPr>
        <w:t xml:space="preserve">USD 1,400</w:t>
      </w:r>
    </w:p>
    <w:p>
      <w:pPr>
        <w:pStyle w:val="ListParagraph"/>
        <w:numPr>
          <w:ilvl w:val="0"/>
          <w:numId w:val="2"/>
        </w:numPr>
        <w:spacing w:after="20" w:before="20"/>
      </w:pPr>
      <w:r>
        <w:rPr>
          <w:rFonts w:ascii="Calibri" w:cs="Calibri" w:eastAsia="Calibri" w:hAnsi="Calibri"/>
          <w:color w:val="000000"/>
          <w:sz w:val="20"/>
          <w:szCs w:val="20"/>
        </w:rPr>
        <w:t xml:space="preserve">Demonstrações Financeiras finais referentes ao período de operação da empresa até a data de dissolução</w:t>
      </w:r>
    </w:p>
    <w:p>
      <w:pPr>
        <w:pStyle w:val="Heading2"/>
        <w:spacing w:after="140" w:before="340"/>
      </w:pPr>
      <w:r>
        <w:rPr>
          <w:rFonts w:ascii="Calibri" w:cs="Calibri" w:eastAsia="Calibri" w:hAnsi="Calibri"/>
          <w:b/>
          <w:bCs/>
          <w:color w:val="1F3A5F"/>
          <w:sz w:val="26"/>
          <w:szCs w:val="26"/>
        </w:rPr>
        <w:t xml:space="preserve">8. Reestruturação Societária (standalone — todos sem preço fixo)</w:t>
      </w:r>
    </w:p>
    <w:p>
      <w:pPr>
        <w:pStyle w:val="Heading4"/>
        <w:spacing w:after="80" w:before="200"/>
      </w:pPr>
      <w:r>
        <w:rPr>
          <w:rFonts w:ascii="Calibri" w:cs="Calibri" w:eastAsia="Calibri" w:hAnsi="Calibri"/>
          <w:b/>
          <w:bCs/>
          <w:color w:val="000000"/>
          <w:sz w:val="20"/>
          <w:szCs w:val="20"/>
        </w:rPr>
        <w:t xml:space="preserve">Inclusão / Exclusão de Diretor — </w:t>
      </w:r>
      <w:r>
        <w:rPr>
          <w:rFonts w:ascii="Calibri" w:cs="Calibri" w:eastAsia="Calibri" w:hAnsi="Calibri"/>
          <w:b/>
          <w:bCs/>
          <w:color w:val="000000"/>
          <w:sz w:val="20"/>
          <w:szCs w:val="20"/>
        </w:rPr>
        <w:t xml:space="preserve">A definir (caso a caso)</w:t>
      </w:r>
    </w:p>
    <w:p>
      <w:pPr>
        <w:pStyle w:val="ListParagraph"/>
        <w:numPr>
          <w:ilvl w:val="0"/>
          <w:numId w:val="2"/>
        </w:numPr>
        <w:spacing w:after="20" w:before="20"/>
      </w:pPr>
      <w:r>
        <w:rPr>
          <w:rFonts w:ascii="Calibri" w:cs="Calibri" w:eastAsia="Calibri" w:hAnsi="Calibri"/>
          <w:color w:val="000000"/>
          <w:sz w:val="20"/>
          <w:szCs w:val="20"/>
        </w:rPr>
        <w:t xml:space="preserve">Inclusão ou exclusão de diretor da estrutura societária, incluindo atualização dos documentos corporativos, registros e demais procedimentos necessários para a formalização da alteração perante as autoridades competentes.</w:t>
      </w:r>
    </w:p>
    <w:p>
      <w:pPr>
        <w:pStyle w:val="Heading4"/>
        <w:spacing w:after="80" w:before="200"/>
      </w:pPr>
      <w:r>
        <w:rPr>
          <w:rFonts w:ascii="Calibri" w:cs="Calibri" w:eastAsia="Calibri" w:hAnsi="Calibri"/>
          <w:b/>
          <w:bCs/>
          <w:color w:val="000000"/>
          <w:sz w:val="20"/>
          <w:szCs w:val="20"/>
        </w:rPr>
        <w:t xml:space="preserve">Inclusão / Exclusão de Sócio — </w:t>
      </w:r>
      <w:r>
        <w:rPr>
          <w:rFonts w:ascii="Calibri" w:cs="Calibri" w:eastAsia="Calibri" w:hAnsi="Calibri"/>
          <w:b/>
          <w:bCs/>
          <w:color w:val="000000"/>
          <w:sz w:val="20"/>
          <w:szCs w:val="20"/>
        </w:rPr>
        <w:t xml:space="preserve">A definir (caso a caso)</w:t>
      </w:r>
    </w:p>
    <w:p>
      <w:pPr>
        <w:pStyle w:val="ListParagraph"/>
        <w:numPr>
          <w:ilvl w:val="0"/>
          <w:numId w:val="2"/>
        </w:numPr>
        <w:spacing w:after="20" w:before="20"/>
      </w:pPr>
      <w:r>
        <w:rPr>
          <w:rFonts w:ascii="Calibri" w:cs="Calibri" w:eastAsia="Calibri" w:hAnsi="Calibri"/>
          <w:color w:val="000000"/>
          <w:sz w:val="20"/>
          <w:szCs w:val="20"/>
        </w:rPr>
        <w:t xml:space="preserve">Inclusão ou exclusão de sócio da estrutura societária, com atualização dos documentos corporativos, registros e demais procedimentos necessários para a formalização da alteração.</w:t>
      </w:r>
    </w:p>
    <w:p>
      <w:pPr>
        <w:pStyle w:val="Heading4"/>
        <w:spacing w:after="80" w:before="200"/>
      </w:pPr>
      <w:r>
        <w:rPr>
          <w:rFonts w:ascii="Calibri" w:cs="Calibri" w:eastAsia="Calibri" w:hAnsi="Calibri"/>
          <w:b/>
          <w:bCs/>
          <w:color w:val="000000"/>
          <w:sz w:val="20"/>
          <w:szCs w:val="20"/>
        </w:rPr>
        <w:t xml:space="preserve">Share Certificate — </w:t>
      </w:r>
      <w:r>
        <w:rPr>
          <w:rFonts w:ascii="Calibri" w:cs="Calibri" w:eastAsia="Calibri" w:hAnsi="Calibri"/>
          <w:b/>
          <w:bCs/>
          <w:color w:val="000000"/>
          <w:sz w:val="20"/>
          <w:szCs w:val="20"/>
        </w:rPr>
        <w:t xml:space="preserve">A definir (caso a caso)</w:t>
      </w:r>
    </w:p>
    <w:p>
      <w:pPr>
        <w:pStyle w:val="ListParagraph"/>
        <w:numPr>
          <w:ilvl w:val="0"/>
          <w:numId w:val="2"/>
        </w:numPr>
        <w:spacing w:after="20" w:before="20"/>
      </w:pPr>
      <w:r>
        <w:rPr>
          <w:rFonts w:ascii="Calibri" w:cs="Calibri" w:eastAsia="Calibri" w:hAnsi="Calibri"/>
          <w:color w:val="000000"/>
          <w:sz w:val="20"/>
          <w:szCs w:val="20"/>
        </w:rPr>
        <w:t xml:space="preserve">Emissão de certificado de ações para os sócios da estrutura societária, conforme exigência legal ou demanda interna da empresa.</w:t>
      </w:r>
    </w:p>
    <w:p>
      <w:pPr>
        <w:pStyle w:val="Heading4"/>
        <w:spacing w:after="80" w:before="200"/>
      </w:pPr>
      <w:r>
        <w:rPr>
          <w:rFonts w:ascii="Calibri" w:cs="Calibri" w:eastAsia="Calibri" w:hAnsi="Calibri"/>
          <w:b/>
          <w:bCs/>
          <w:color w:val="000000"/>
          <w:sz w:val="20"/>
          <w:szCs w:val="20"/>
        </w:rPr>
        <w:t xml:space="preserve">Inclusão de Joint Tenancy — </w:t>
      </w:r>
      <w:r>
        <w:rPr>
          <w:rFonts w:ascii="Calibri" w:cs="Calibri" w:eastAsia="Calibri" w:hAnsi="Calibri"/>
          <w:b/>
          <w:bCs/>
          <w:color w:val="000000"/>
          <w:sz w:val="20"/>
          <w:szCs w:val="20"/>
        </w:rPr>
        <w:t xml:space="preserve">A definir (caso a caso)</w:t>
      </w:r>
    </w:p>
    <w:p>
      <w:pPr>
        <w:pStyle w:val="ListParagraph"/>
        <w:numPr>
          <w:ilvl w:val="0"/>
          <w:numId w:val="2"/>
        </w:numPr>
        <w:spacing w:after="20" w:before="20"/>
      </w:pPr>
      <w:r>
        <w:rPr>
          <w:rFonts w:ascii="Calibri" w:cs="Calibri" w:eastAsia="Calibri" w:hAnsi="Calibri"/>
          <w:color w:val="000000"/>
          <w:sz w:val="20"/>
          <w:szCs w:val="20"/>
        </w:rPr>
        <w:t xml:space="preserve">Inclusão de modalidade de joint tenancy na estrutura de titularidade societária, com atualização dos documentos corporativos e registros correspondentes.</w:t>
      </w:r>
    </w:p>
    <w:p>
      <w:pPr>
        <w:pStyle w:val="Heading4"/>
        <w:spacing w:after="80" w:before="200"/>
      </w:pPr>
      <w:r>
        <w:rPr>
          <w:rFonts w:ascii="Calibri" w:cs="Calibri" w:eastAsia="Calibri" w:hAnsi="Calibri"/>
          <w:b/>
          <w:bCs/>
          <w:color w:val="000000"/>
          <w:sz w:val="20"/>
          <w:szCs w:val="20"/>
        </w:rPr>
        <w:t xml:space="preserve">Governança Corporativa — </w:t>
      </w:r>
      <w:r>
        <w:rPr>
          <w:rFonts w:ascii="Calibri" w:cs="Calibri" w:eastAsia="Calibri" w:hAnsi="Calibri"/>
          <w:b/>
          <w:bCs/>
          <w:color w:val="000000"/>
          <w:sz w:val="20"/>
          <w:szCs w:val="20"/>
        </w:rPr>
        <w:t xml:space="preserve">A definir (caso a caso)</w:t>
      </w:r>
    </w:p>
    <w:p>
      <w:pPr>
        <w:pStyle w:val="ListParagraph"/>
        <w:numPr>
          <w:ilvl w:val="0"/>
          <w:numId w:val="2"/>
        </w:numPr>
        <w:spacing w:after="20" w:before="20"/>
      </w:pPr>
      <w:r>
        <w:rPr>
          <w:rFonts w:ascii="Calibri" w:cs="Calibri" w:eastAsia="Calibri" w:hAnsi="Calibri"/>
          <w:color w:val="000000"/>
          <w:sz w:val="20"/>
          <w:szCs w:val="20"/>
        </w:rPr>
        <w:t xml:space="preserve">Estruturação ou atualização das práticas de governança corporativa da entidade, com elaboração ou revisão de documentos internos, políticas, procedimentos e acordos de sócios conforme aplicável.</w:t>
      </w:r>
    </w:p>
    <w:p>
      <w:pPr>
        <w:pStyle w:val="Heading4"/>
        <w:spacing w:after="80" w:before="200"/>
      </w:pPr>
      <w:r>
        <w:rPr>
          <w:rFonts w:ascii="Calibri" w:cs="Calibri" w:eastAsia="Calibri" w:hAnsi="Calibri"/>
          <w:b/>
          <w:bCs/>
          <w:color w:val="000000"/>
          <w:sz w:val="20"/>
          <w:szCs w:val="20"/>
        </w:rPr>
        <w:t xml:space="preserve">Classe de Ações — </w:t>
      </w:r>
      <w:r>
        <w:rPr>
          <w:rFonts w:ascii="Calibri" w:cs="Calibri" w:eastAsia="Calibri" w:hAnsi="Calibri"/>
          <w:b/>
          <w:bCs/>
          <w:color w:val="000000"/>
          <w:sz w:val="20"/>
          <w:szCs w:val="20"/>
        </w:rPr>
        <w:t xml:space="preserve">A definir (caso a caso)</w:t>
      </w:r>
    </w:p>
    <w:p>
      <w:pPr>
        <w:pStyle w:val="ListParagraph"/>
        <w:numPr>
          <w:ilvl w:val="0"/>
          <w:numId w:val="2"/>
        </w:numPr>
        <w:spacing w:after="20" w:before="20"/>
      </w:pPr>
      <w:r>
        <w:rPr>
          <w:rFonts w:ascii="Calibri" w:cs="Calibri" w:eastAsia="Calibri" w:hAnsi="Calibri"/>
          <w:color w:val="000000"/>
          <w:sz w:val="20"/>
          <w:szCs w:val="20"/>
        </w:rPr>
        <w:t xml:space="preserve">Criação, alteração ou reorganização de classes de ações da estrutura societária, com atualização dos documentos constitutivos, registros e demais procedimentos formais exigidos.</w:t>
      </w:r>
    </w:p>
    <w:p>
      <w:pPr>
        <w:pStyle w:val="Heading4"/>
        <w:spacing w:after="80" w:before="200"/>
      </w:pPr>
      <w:r>
        <w:rPr>
          <w:rFonts w:ascii="Calibri" w:cs="Calibri" w:eastAsia="Calibri" w:hAnsi="Calibri"/>
          <w:b/>
          <w:bCs/>
          <w:color w:val="000000"/>
          <w:sz w:val="20"/>
          <w:szCs w:val="20"/>
        </w:rPr>
        <w:t xml:space="preserve">Múltiplas Jurisdições — </w:t>
      </w:r>
      <w:r>
        <w:rPr>
          <w:rFonts w:ascii="Calibri" w:cs="Calibri" w:eastAsia="Calibri" w:hAnsi="Calibri"/>
          <w:b/>
          <w:bCs/>
          <w:color w:val="000000"/>
          <w:sz w:val="20"/>
          <w:szCs w:val="20"/>
        </w:rPr>
        <w:t xml:space="preserve">A definir (caso a caso)</w:t>
      </w:r>
    </w:p>
    <w:p>
      <w:pPr>
        <w:pStyle w:val="ListParagraph"/>
        <w:numPr>
          <w:ilvl w:val="0"/>
          <w:numId w:val="2"/>
        </w:numPr>
        <w:spacing w:after="20" w:before="20"/>
      </w:pPr>
      <w:r>
        <w:rPr>
          <w:rFonts w:ascii="Calibri" w:cs="Calibri" w:eastAsia="Calibri" w:hAnsi="Calibri"/>
          <w:color w:val="000000"/>
          <w:sz w:val="20"/>
          <w:szCs w:val="20"/>
        </w:rPr>
        <w:t xml:space="preserve">Reorganização societária envolvendo múltiplas jurisdições, com coordenação dos procedimentos legais e regulatórios aplicáveis em cada território envolvido na estrutura.</w:t>
      </w:r>
    </w:p>
    <w:p>
      <w:pPr>
        <w:pStyle w:val="Heading4"/>
        <w:spacing w:after="80" w:before="200"/>
      </w:pPr>
      <w:r>
        <w:rPr>
          <w:rFonts w:ascii="Calibri" w:cs="Calibri" w:eastAsia="Calibri" w:hAnsi="Calibri"/>
          <w:b/>
          <w:bCs/>
          <w:color w:val="000000"/>
          <w:sz w:val="20"/>
          <w:szCs w:val="20"/>
        </w:rPr>
        <w:t xml:space="preserve">Entrada de Novo Sócio / Investidor — </w:t>
      </w:r>
      <w:r>
        <w:rPr>
          <w:rFonts w:ascii="Calibri" w:cs="Calibri" w:eastAsia="Calibri" w:hAnsi="Calibri"/>
          <w:b/>
          <w:bCs/>
          <w:color w:val="000000"/>
          <w:sz w:val="20"/>
          <w:szCs w:val="20"/>
        </w:rPr>
        <w:t xml:space="preserve">A definir (caso a caso)</w:t>
      </w:r>
    </w:p>
    <w:p>
      <w:pPr>
        <w:pStyle w:val="ListParagraph"/>
        <w:numPr>
          <w:ilvl w:val="0"/>
          <w:numId w:val="2"/>
        </w:numPr>
        <w:spacing w:after="20" w:before="20"/>
      </w:pPr>
      <w:r>
        <w:rPr>
          <w:rFonts w:ascii="Calibri" w:cs="Calibri" w:eastAsia="Calibri" w:hAnsi="Calibri"/>
          <w:color w:val="000000"/>
          <w:sz w:val="20"/>
          <w:szCs w:val="20"/>
        </w:rPr>
        <w:t xml:space="preserve">Formalização da entrada de novo sócio ou investidor na estrutura societária, incluindo negociação e elaboração dos documentos necessários, atualização dos registros corporativos e procedimentos formais de adesão.</w:t>
      </w:r>
    </w:p>
    <w:p>
      <w:pPr>
        <w:pStyle w:val="Heading2"/>
        <w:spacing w:after="140" w:before="340"/>
      </w:pPr>
      <w:r>
        <w:rPr>
          <w:rFonts w:ascii="Calibri" w:cs="Calibri" w:eastAsia="Calibri" w:hAnsi="Calibri"/>
          <w:b/>
          <w:bCs/>
          <w:color w:val="1F3A5F"/>
          <w:sz w:val="26"/>
          <w:szCs w:val="26"/>
        </w:rPr>
        <w:t xml:space="preserve">9. Outros</w:t>
      </w:r>
    </w:p>
    <w:p>
      <w:pPr>
        <w:pStyle w:val="Heading4"/>
        <w:spacing w:after="80" w:before="200"/>
      </w:pPr>
      <w:r>
        <w:rPr>
          <w:rFonts w:ascii="Calibri" w:cs="Calibri" w:eastAsia="Calibri" w:hAnsi="Calibri"/>
          <w:b/>
          <w:bCs/>
          <w:color w:val="000000"/>
          <w:sz w:val="20"/>
          <w:szCs w:val="20"/>
        </w:rPr>
        <w:t xml:space="preserve">DCBE — Declaração de Capitais Brasileiros no Exterior — </w:t>
      </w:r>
      <w:r>
        <w:rPr>
          <w:rFonts w:ascii="Calibri" w:cs="Calibri" w:eastAsia="Calibri" w:hAnsi="Calibri"/>
          <w:b/>
          <w:bCs/>
          <w:color w:val="000000"/>
          <w:sz w:val="20"/>
          <w:szCs w:val="20"/>
        </w:rPr>
        <w:t xml:space="preserve">A definir (caso a caso)</w:t>
      </w:r>
    </w:p>
    <w:p>
      <w:pPr>
        <w:pStyle w:val="Heading2"/>
        <w:spacing w:after="140" w:before="340"/>
      </w:pPr>
      <w:r>
        <w:rPr>
          <w:rFonts w:ascii="Calibri" w:cs="Calibri" w:eastAsia="Calibri" w:hAnsi="Calibri"/>
          <w:b/>
          <w:bCs/>
          <w:color w:val="1F3A5F"/>
          <w:sz w:val="26"/>
          <w:szCs w:val="26"/>
        </w:rPr>
        <w:t xml:space="preserve">10. O que a proposta atual já declara como NÃO INCLUÍDO</w:t>
      </w:r>
    </w:p>
    <w:p>
      <w:pPr>
        <w:pStyle w:val="ListParagraph"/>
        <w:numPr>
          <w:ilvl w:val="0"/>
          <w:numId w:val="2"/>
        </w:numPr>
        <w:spacing w:after="20" w:before="20"/>
      </w:pPr>
      <w:r>
        <w:rPr>
          <w:rFonts w:ascii="Calibri" w:cs="Calibri" w:eastAsia="Calibri" w:hAnsi="Calibri"/>
          <w:color w:val="000000"/>
          <w:sz w:val="20"/>
          <w:szCs w:val="20"/>
        </w:rPr>
        <w:t xml:space="preserve">Elaboração de atas (aportes, redução de capital, entre outros)</w:t>
      </w:r>
    </w:p>
    <w:p>
      <w:pPr>
        <w:pStyle w:val="ListParagraph"/>
        <w:numPr>
          <w:ilvl w:val="0"/>
          <w:numId w:val="2"/>
        </w:numPr>
        <w:spacing w:after="20" w:before="20"/>
      </w:pPr>
      <w:r>
        <w:rPr>
          <w:rFonts w:ascii="Calibri" w:cs="Calibri" w:eastAsia="Calibri" w:hAnsi="Calibri"/>
          <w:color w:val="000000"/>
          <w:sz w:val="20"/>
          <w:szCs w:val="20"/>
        </w:rPr>
        <w:t xml:space="preserve">Certificados (Good Standing, Incumbency)</w:t>
      </w:r>
    </w:p>
    <w:p>
      <w:pPr>
        <w:pStyle w:val="ListParagraph"/>
        <w:numPr>
          <w:ilvl w:val="0"/>
          <w:numId w:val="2"/>
        </w:numPr>
        <w:spacing w:after="20" w:before="20"/>
      </w:pPr>
      <w:r>
        <w:rPr>
          <w:rFonts w:ascii="Calibri" w:cs="Calibri" w:eastAsia="Calibri" w:hAnsi="Calibri"/>
          <w:color w:val="000000"/>
          <w:sz w:val="20"/>
          <w:szCs w:val="20"/>
        </w:rPr>
        <w:t xml:space="preserve">Reestruturações</w:t>
      </w:r>
    </w:p>
    <w:p>
      <w:pPr>
        <w:pStyle w:val="ListParagraph"/>
        <w:numPr>
          <w:ilvl w:val="0"/>
          <w:numId w:val="2"/>
        </w:numPr>
        <w:spacing w:after="20" w:before="20"/>
      </w:pPr>
      <w:r>
        <w:rPr>
          <w:rFonts w:ascii="Calibri" w:cs="Calibri" w:eastAsia="Calibri" w:hAnsi="Calibri"/>
          <w:color w:val="000000"/>
          <w:sz w:val="20"/>
          <w:szCs w:val="20"/>
        </w:rPr>
        <w:t xml:space="preserve">Notarizações e apostilamentos</w:t>
      </w:r>
    </w:p>
    <w:p>
      <w:pPr>
        <w:pStyle w:val="ListParagraph"/>
        <w:numPr>
          <w:ilvl w:val="0"/>
          <w:numId w:val="2"/>
        </w:numPr>
        <w:spacing w:after="20" w:before="20"/>
      </w:pPr>
      <w:r>
        <w:rPr>
          <w:rFonts w:ascii="Calibri" w:cs="Calibri" w:eastAsia="Calibri" w:hAnsi="Calibri"/>
          <w:color w:val="000000"/>
          <w:sz w:val="20"/>
          <w:szCs w:val="20"/>
        </w:rPr>
        <w:t xml:space="preserve">Serviços de courier/postagem</w:t>
      </w:r>
    </w:p>
    <w:p>
      <w:pPr>
        <w:pStyle w:val="ListParagraph"/>
        <w:numPr>
          <w:ilvl w:val="0"/>
          <w:numId w:val="2"/>
        </w:numPr>
        <w:spacing w:after="20" w:before="20"/>
      </w:pPr>
      <w:r>
        <w:rPr>
          <w:rFonts w:ascii="Calibri" w:cs="Calibri" w:eastAsia="Calibri" w:hAnsi="Calibri"/>
          <w:color w:val="000000"/>
          <w:sz w:val="20"/>
          <w:szCs w:val="20"/>
        </w:rPr>
        <w:t xml:space="preserve">Qualquer outra necessidade não especificada nos itens acima será tratada caso a caso, com apresentação de proposta adicional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5"/>
        <w:szCs w:val="15"/>
      </w:rPr>
      <w:t xml:space="preserve">Página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4"/>
      </w:pBdr>
      <w:spacing w:after="120"/>
    </w:pPr>
    <w:r>
      <w:rPr>
        <w:color w:val="595959"/>
        <w:sz w:val="15"/>
        <w:szCs w:val="15"/>
      </w:rPr>
      <w:t xml:space="preserve">FGC Advisors  ·  Catálogo de Serviços e Projeto de Pacotes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2E6DA4"/>
      </w:rPr>
    </w:lvl>
  </w:abstractNum>
  <w:abstractNum w:abstractNumId="3" w15:restartNumberingAfterBreak="0">
    <w:multiLevelType w:val="hybridMultilevel"/>
    <w:lvl w:ilvl="0" w15:tentative="1">
      <w:start w:val="1"/>
      <w:numFmt w:val="decimal"/>
      <w:lvlText w:val="%1."/>
      <w:lvlJc w:val="left"/>
      <w:pPr>
        <w:ind w:left="380" w:hanging="240"/>
      </w:pPr>
      <w:rPr>
        <w:b/>
        <w:bCs/>
        <w:color w:val="2E6DA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FGC — Catálogo de Serviços e Valores</dc:title>
  <dc:creator>FGC Advisors</dc:creator>
  <dc:description>Export do Gerador de Propostas v2 + framework de pacotes</dc:description>
  <cp:lastModifiedBy>Un-named</cp:lastModifiedBy>
  <cp:revision>1</cp:revision>
  <dcterms:created xsi:type="dcterms:W3CDTF">2026-09-11T00:25:05.247Z</dcterms:created>
  <dcterms:modified xsi:type="dcterms:W3CDTF">2026-09-11T00:25:05.248Z</dcterms:modified>
</cp:coreProperties>
</file>

<file path=docProps/custom.xml><?xml version="1.0" encoding="utf-8"?>
<Properties xmlns="http://schemas.openxmlformats.org/officeDocument/2006/custom-properties" xmlns:vt="http://schemas.openxmlformats.org/officeDocument/2006/docPropsVTypes"/>
</file>