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Calibri" w:cs="Calibri" w:eastAsia="Calibri" w:hAnsi="Calibri"/>
          <w:b/>
          <w:bCs/>
          <w:color w:val="1F3A5F"/>
          <w:sz w:val="34"/>
          <w:szCs w:val="34"/>
        </w:rPr>
        <w:t xml:space="preserve">FGC — Anexo: escopo detalhado por serviço</w:t>
      </w:r>
    </w:p>
    <w:p>
      <w:pPr>
        <w:pBdr>
          <w:bottom w:val="single" w:color="2E6DA4" w:sz="12" w:space="2"/>
        </w:pBdr>
        <w:spacing w:after="200"/>
      </w:pPr>
      <w:r>
        <w:t xml:space="preserve"/>
      </w:r>
    </w:p>
    <w:p>
      <w:pPr>
        <w:spacing w:after="120" w:before="60"/>
      </w:pPr>
      <w:r>
        <w:rPr>
          <w:rFonts w:ascii="Calibri" w:cs="Calibri" w:eastAsia="Calibri" w:hAnsi="Calibri"/>
          <w:color w:val="000000"/>
          <w:sz w:val="20"/>
          <w:szCs w:val="20"/>
        </w:rPr>
        <w:t xml:space="preserve">Export do Gerador de Propostas · 10/09/2026 · valores em USD</w:t>
      </w:r>
    </w:p>
    <w:p>
      <w:pPr>
        <w:spacing w:after="120" w:before="60"/>
      </w:pPr>
      <w:r>
        <w:rPr>
          <w:rFonts w:ascii="Calibri" w:cs="Calibri" w:eastAsia="Calibri" w:hAnsi="Calibri"/>
          <w:color w:val="000000"/>
          <w:sz w:val="20"/>
          <w:szCs w:val="20"/>
        </w:rPr>
        <w:t xml:space="preserve">Este anexo lista, para cada serviço, exatamente o que está incluído — o texto que</w:t>
      </w:r>
    </w:p>
    <w:p>
      <w:pPr>
        <w:spacing w:after="120" w:before="60"/>
      </w:pPr>
      <w:r>
        <w:rPr>
          <w:rFonts w:ascii="Calibri" w:cs="Calibri" w:eastAsia="Calibri" w:hAnsi="Calibri"/>
          <w:color w:val="000000"/>
          <w:sz w:val="20"/>
          <w:szCs w:val="20"/>
        </w:rPr>
        <w:t xml:space="preserve">sai na proposta. Serve de consulta para decidir o que entra em cada plano.</w:t>
      </w:r>
    </w:p>
    <w:p>
      <w:pPr>
        <w:spacing w:after="120" w:before="60"/>
      </w:pPr>
      <w:r>
        <w:rPr>
          <w:rFonts w:ascii="Calibri" w:cs="Calibri" w:eastAsia="Calibri" w:hAnsi="Calibri"/>
          <w:color w:val="000000"/>
          <w:sz w:val="20"/>
          <w:szCs w:val="20"/>
        </w:rPr>
        <w:t xml:space="preserve">O resumo de preços está no documento principal.</w:t>
      </w:r>
    </w:p>
    <w:p>
      <w:pPr>
        <w:pStyle w:val="Heading2"/>
        <w:spacing w:after="140" w:before="340"/>
      </w:pPr>
      <w:r>
        <w:rPr>
          <w:rFonts w:ascii="Calibri" w:cs="Calibri" w:eastAsia="Calibri" w:hAnsi="Calibri"/>
          <w:b/>
          <w:bCs/>
          <w:color w:val="1F3A5F"/>
          <w:sz w:val="26"/>
          <w:szCs w:val="26"/>
        </w:rPr>
        <w:t xml:space="preserve">1. Constituição de Empresas</w:t>
      </w:r>
    </w:p>
    <w:p>
      <w:pPr>
        <w:pStyle w:val="Heading3"/>
        <w:spacing w:after="110" w:before="260"/>
      </w:pPr>
      <w:r>
        <w:rPr>
          <w:rFonts w:ascii="Calibri" w:cs="Calibri" w:eastAsia="Calibri" w:hAnsi="Calibri"/>
          <w:b/>
          <w:bCs/>
          <w:color w:val="2E6DA4"/>
          <w:sz w:val="22"/>
          <w:szCs w:val="22"/>
        </w:rPr>
        <w:t xml:space="preserve">1.1 PIC / Offshore (pagamento na aceitação)</w:t>
      </w:r>
    </w:p>
    <w:p>
      <w:pPr>
        <w:pStyle w:val="Heading4"/>
        <w:spacing w:after="80" w:before="200"/>
      </w:pPr>
      <w:r>
        <w:rPr>
          <w:rFonts w:ascii="Calibri" w:cs="Calibri" w:eastAsia="Calibri" w:hAnsi="Calibri"/>
          <w:b/>
          <w:bCs/>
          <w:color w:val="000000"/>
          <w:sz w:val="20"/>
          <w:szCs w:val="20"/>
        </w:rPr>
        <w:t xml:space="preserve">Constituição BVI Company — </w:t>
      </w:r>
      <w:r>
        <w:rPr>
          <w:rFonts w:ascii="Calibri" w:cs="Calibri" w:eastAsia="Calibri" w:hAnsi="Calibri"/>
          <w:b/>
          <w:bCs/>
          <w:color w:val="000000"/>
          <w:sz w:val="20"/>
          <w:szCs w:val="20"/>
        </w:rPr>
        <w:t xml:space="preserve">USD 2,900</w:t>
      </w:r>
    </w:p>
    <w:p>
      <w:pPr>
        <w:spacing w:after="120" w:before="60"/>
      </w:pPr>
      <w:r>
        <w:rPr>
          <w:rFonts w:ascii="Consolas" w:cs="Consolas" w:eastAsia="Consolas" w:hAnsi="Consolas"/>
          <w:color w:val="2E6DA4"/>
          <w:sz w:val="18"/>
          <w:szCs w:val="18"/>
        </w:rPr>
        <w:t xml:space="preserve">bvi</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Taxas governamentais aplicáveis no momento do registro</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 com estrutura simples (uma classe de ações ordinárias)</w:t>
      </w:r>
    </w:p>
    <w:p>
      <w:pPr>
        <w:pStyle w:val="ListParagraph"/>
        <w:numPr>
          <w:ilvl w:val="0"/>
          <w:numId w:val="2"/>
        </w:numPr>
        <w:spacing w:after="20" w:before="20"/>
      </w:pPr>
      <w:r>
        <w:rPr>
          <w:rFonts w:ascii="Calibri" w:cs="Calibri" w:eastAsia="Calibri" w:hAnsi="Calibri"/>
          <w:color w:val="000000"/>
          <w:sz w:val="20"/>
          <w:szCs w:val="20"/>
        </w:rPr>
        <w:t xml:space="preserve">Registro de Diretores e Acionistas</w:t>
      </w:r>
    </w:p>
    <w:p>
      <w:pPr>
        <w:pStyle w:val="ListParagraph"/>
        <w:numPr>
          <w:ilvl w:val="0"/>
          <w:numId w:val="2"/>
        </w:numPr>
        <w:spacing w:after="20" w:before="20"/>
      </w:pPr>
      <w:r>
        <w:rPr>
          <w:rFonts w:ascii="Calibri" w:cs="Calibri" w:eastAsia="Calibri" w:hAnsi="Calibri"/>
          <w:color w:val="000000"/>
          <w:sz w:val="20"/>
          <w:szCs w:val="20"/>
        </w:rPr>
        <w:t xml:space="preserve">Classificação inicial para Substância Econômica</w:t>
      </w:r>
    </w:p>
    <w:p>
      <w:pPr>
        <w:pStyle w:val="ListParagraph"/>
        <w:numPr>
          <w:ilvl w:val="0"/>
          <w:numId w:val="2"/>
        </w:numPr>
        <w:spacing w:after="20" w:before="20"/>
      </w:pPr>
      <w:r>
        <w:rPr>
          <w:rFonts w:ascii="Calibri" w:cs="Calibri" w:eastAsia="Calibri" w:hAnsi="Calibri"/>
          <w:color w:val="000000"/>
          <w:sz w:val="20"/>
          <w:szCs w:val="20"/>
        </w:rPr>
        <w:t xml:space="preserve">Corporate Seal</w:t>
      </w:r>
    </w:p>
    <w:p>
      <w:pPr>
        <w:pStyle w:val="ListParagraph"/>
        <w:numPr>
          <w:ilvl w:val="0"/>
          <w:numId w:val="2"/>
        </w:numPr>
        <w:spacing w:after="20" w:before="20"/>
      </w:pPr>
      <w:r>
        <w:rPr>
          <w:rFonts w:ascii="Calibri" w:cs="Calibri" w:eastAsia="Calibri" w:hAnsi="Calibri"/>
          <w:color w:val="000000"/>
          <w:sz w:val="20"/>
          <w:szCs w:val="20"/>
        </w:rPr>
        <w:t xml:space="preserve">Agente Registrado e Escritório Registrado</w:t>
      </w:r>
    </w:p>
    <w:p>
      <w:pPr>
        <w:pStyle w:val="ListParagraph"/>
        <w:numPr>
          <w:ilvl w:val="0"/>
          <w:numId w:val="2"/>
        </w:numPr>
        <w:spacing w:after="20" w:before="20"/>
      </w:pPr>
      <w:r>
        <w:rPr>
          <w:rFonts w:ascii="Calibri" w:cs="Calibri" w:eastAsia="Calibri" w:hAnsi="Calibri"/>
          <w:color w:val="000000"/>
          <w:sz w:val="20"/>
          <w:szCs w:val="20"/>
        </w:rPr>
        <w:t xml:space="preserve">Preenchimento de formulário W-8 (se necessário)</w:t>
      </w:r>
    </w:p>
    <w:p>
      <w:pPr>
        <w:pStyle w:val="ListParagraph"/>
        <w:numPr>
          <w:ilvl w:val="0"/>
          <w:numId w:val="2"/>
        </w:numPr>
        <w:spacing w:after="20" w:before="20"/>
      </w:pPr>
      <w:r>
        <w:rPr>
          <w:rFonts w:ascii="Calibri" w:cs="Calibri" w:eastAsia="Calibri" w:hAnsi="Calibri"/>
          <w:color w:val="000000"/>
          <w:sz w:val="20"/>
          <w:szCs w:val="20"/>
        </w:rPr>
        <w:t xml:space="preserve">Fornecimento dos documentos em formato digital</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serviços propostos são aplicáveis exclusivamente a sociedades autorizadas a emitir até 50.000 ações/shares. Caso a quantidade de ações seja superior, outros valores serão aplicados e deverão ser discutidos oportunamente.  </w:t>
      </w:r>
    </w:p>
    <w:p>
      <w:pPr>
        <w:pBdr>
          <w:left w:val="single" w:color="B8C6D6" w:sz="14" w:space="10"/>
        </w:pBdr>
        <w:spacing w:after="160" w:before="0"/>
        <w:ind w:left="340"/>
      </w:pPr>
      <w:r>
        <w:rPr>
          <w:rFonts w:ascii="Calibri" w:cs="Calibri" w:eastAsia="Calibri" w:hAnsi="Calibri"/>
          <w:i/>
          <w:iCs/>
          <w:color w:val="595959"/>
          <w:sz w:val="19"/>
          <w:szCs w:val="19"/>
        </w:rPr>
        <w:t xml:space="preserve">A proposta contempla exclusivamente uma estrutura simples, sem previsão de planejamento sucessório ou personalizações. Caso haja necessidade de ajustes ou serviços adicionais, novos valores serão discutidos.</w:t>
      </w:r>
    </w:p>
    <w:p>
      <w:pPr>
        <w:pStyle w:val="Heading4"/>
        <w:spacing w:after="80" w:before="200"/>
      </w:pPr>
      <w:r>
        <w:rPr>
          <w:rFonts w:ascii="Calibri" w:cs="Calibri" w:eastAsia="Calibri" w:hAnsi="Calibri"/>
          <w:b/>
          <w:bCs/>
          <w:color w:val="000000"/>
          <w:sz w:val="20"/>
          <w:szCs w:val="20"/>
        </w:rPr>
        <w:t xml:space="preserve">Constituição Bahamas Company — </w:t>
      </w:r>
      <w:r>
        <w:rPr>
          <w:rFonts w:ascii="Calibri" w:cs="Calibri" w:eastAsia="Calibri" w:hAnsi="Calibri"/>
          <w:b/>
          <w:bCs/>
          <w:color w:val="000000"/>
          <w:sz w:val="20"/>
          <w:szCs w:val="20"/>
        </w:rPr>
        <w:t xml:space="preserve">USD 2,900</w:t>
      </w:r>
    </w:p>
    <w:p>
      <w:pPr>
        <w:spacing w:after="120" w:before="60"/>
      </w:pPr>
      <w:r>
        <w:rPr>
          <w:rFonts w:ascii="Consolas" w:cs="Consolas" w:eastAsia="Consolas" w:hAnsi="Consolas"/>
          <w:color w:val="2E6DA4"/>
          <w:sz w:val="18"/>
          <w:szCs w:val="18"/>
        </w:rPr>
        <w:t xml:space="preserve">bahamas</w:t>
      </w:r>
    </w:p>
    <w:p>
      <w:pPr>
        <w:pStyle w:val="ListParagraph"/>
        <w:numPr>
          <w:ilvl w:val="0"/>
          <w:numId w:val="2"/>
        </w:numPr>
        <w:spacing w:after="20" w:before="20"/>
      </w:pPr>
      <w:r>
        <w:rPr>
          <w:rFonts w:ascii="Calibri" w:cs="Calibri" w:eastAsia="Calibri" w:hAnsi="Calibri"/>
          <w:color w:val="000000"/>
          <w:sz w:val="20"/>
          <w:szCs w:val="20"/>
        </w:rPr>
        <w:t xml:space="preserve">Pesquisa de nome da empresa</w:t>
      </w:r>
    </w:p>
    <w:p>
      <w:pPr>
        <w:pStyle w:val="ListParagraph"/>
        <w:numPr>
          <w:ilvl w:val="0"/>
          <w:numId w:val="2"/>
        </w:numPr>
        <w:spacing w:after="20" w:before="20"/>
      </w:pPr>
      <w:r>
        <w:rPr>
          <w:rFonts w:ascii="Calibri" w:cs="Calibri" w:eastAsia="Calibri" w:hAnsi="Calibri"/>
          <w:color w:val="000000"/>
          <w:sz w:val="20"/>
          <w:szCs w:val="20"/>
        </w:rPr>
        <w:t xml:space="preserve">Taxas governamentais (vigentes na data de constituição)</w:t>
      </w:r>
    </w:p>
    <w:p>
      <w:pPr>
        <w:pStyle w:val="ListParagraph"/>
        <w:numPr>
          <w:ilvl w:val="0"/>
          <w:numId w:val="2"/>
        </w:numPr>
        <w:spacing w:after="20" w:before="20"/>
      </w:pPr>
      <w:r>
        <w:rPr>
          <w:rFonts w:ascii="Calibri" w:cs="Calibri" w:eastAsia="Calibri" w:hAnsi="Calibri"/>
          <w:color w:val="000000"/>
          <w:sz w:val="20"/>
          <w:szCs w:val="20"/>
        </w:rPr>
        <w:t xml:space="preserve">Documentos de constituição</w:t>
      </w:r>
    </w:p>
    <w:p>
      <w:pPr>
        <w:pStyle w:val="ListParagraph"/>
        <w:numPr>
          <w:ilvl w:val="0"/>
          <w:numId w:val="2"/>
        </w:numPr>
        <w:spacing w:after="20" w:before="20"/>
      </w:pPr>
      <w:r>
        <w:rPr>
          <w:rFonts w:ascii="Calibri" w:cs="Calibri" w:eastAsia="Calibri" w:hAnsi="Calibri"/>
          <w:color w:val="000000"/>
          <w:sz w:val="20"/>
          <w:szCs w:val="20"/>
        </w:rPr>
        <w:t xml:space="preserve">Registro da empresa junto ao Registrar General das Bahamas</w:t>
      </w:r>
    </w:p>
    <w:p>
      <w:pPr>
        <w:pStyle w:val="ListParagraph"/>
        <w:numPr>
          <w:ilvl w:val="0"/>
          <w:numId w:val="2"/>
        </w:numPr>
        <w:spacing w:after="20" w:before="20"/>
      </w:pPr>
      <w:r>
        <w:rPr>
          <w:rFonts w:ascii="Calibri" w:cs="Calibri" w:eastAsia="Calibri" w:hAnsi="Calibri"/>
          <w:color w:val="000000"/>
          <w:sz w:val="20"/>
          <w:szCs w:val="20"/>
        </w:rPr>
        <w:t xml:space="preserve">Certificado de Constituição</w:t>
      </w:r>
    </w:p>
    <w:p>
      <w:pPr>
        <w:pStyle w:val="ListParagraph"/>
        <w:numPr>
          <w:ilvl w:val="0"/>
          <w:numId w:val="2"/>
        </w:numPr>
        <w:spacing w:after="20" w:before="20"/>
      </w:pPr>
      <w:r>
        <w:rPr>
          <w:rFonts w:ascii="Calibri" w:cs="Calibri" w:eastAsia="Calibri" w:hAnsi="Calibri"/>
          <w:color w:val="000000"/>
          <w:sz w:val="20"/>
          <w:szCs w:val="20"/>
        </w:rPr>
        <w:t xml:space="preserve">Designação de Agente Registrado Local (primeiro ano incluído)</w:t>
      </w:r>
    </w:p>
    <w:p>
      <w:pPr>
        <w:pStyle w:val="Heading4"/>
        <w:spacing w:after="80" w:before="200"/>
      </w:pPr>
      <w:r>
        <w:rPr>
          <w:rFonts w:ascii="Calibri" w:cs="Calibri" w:eastAsia="Calibri" w:hAnsi="Calibri"/>
          <w:b/>
          <w:bCs/>
          <w:color w:val="000000"/>
          <w:sz w:val="20"/>
          <w:szCs w:val="20"/>
        </w:rPr>
        <w:t xml:space="preserve">Constituição Cayman Company — </w:t>
      </w:r>
      <w:r>
        <w:rPr>
          <w:rFonts w:ascii="Calibri" w:cs="Calibri" w:eastAsia="Calibri" w:hAnsi="Calibri"/>
          <w:b/>
          <w:bCs/>
          <w:color w:val="000000"/>
          <w:sz w:val="20"/>
          <w:szCs w:val="20"/>
        </w:rPr>
        <w:t xml:space="preserve">USD 6,700</w:t>
      </w:r>
    </w:p>
    <w:p>
      <w:pPr>
        <w:spacing w:after="120" w:before="60"/>
      </w:pPr>
      <w:r>
        <w:rPr>
          <w:rFonts w:ascii="Consolas" w:cs="Consolas" w:eastAsia="Consolas" w:hAnsi="Consolas"/>
          <w:color w:val="2E6DA4"/>
          <w:sz w:val="18"/>
          <w:szCs w:val="18"/>
        </w:rPr>
        <w:t xml:space="preserve">cayman</w:t>
      </w:r>
    </w:p>
    <w:p>
      <w:pPr>
        <w:pStyle w:val="ListParagraph"/>
        <w:numPr>
          <w:ilvl w:val="0"/>
          <w:numId w:val="2"/>
        </w:numPr>
        <w:spacing w:after="20" w:before="20"/>
      </w:pPr>
      <w:r>
        <w:rPr>
          <w:rFonts w:ascii="Calibri" w:cs="Calibri" w:eastAsia="Calibri" w:hAnsi="Calibri"/>
          <w:color w:val="000000"/>
          <w:sz w:val="20"/>
          <w:szCs w:val="20"/>
        </w:rPr>
        <w:t xml:space="preserve">Pesquisa de nome da empresa</w:t>
      </w:r>
    </w:p>
    <w:p>
      <w:pPr>
        <w:pStyle w:val="ListParagraph"/>
        <w:numPr>
          <w:ilvl w:val="0"/>
          <w:numId w:val="2"/>
        </w:numPr>
        <w:spacing w:after="20" w:before="20"/>
      </w:pPr>
      <w:r>
        <w:rPr>
          <w:rFonts w:ascii="Calibri" w:cs="Calibri" w:eastAsia="Calibri" w:hAnsi="Calibri"/>
          <w:color w:val="000000"/>
          <w:sz w:val="20"/>
          <w:szCs w:val="20"/>
        </w:rPr>
        <w:t xml:space="preserve">Taxas governamentais (vigentes na data de constituição)</w:t>
      </w:r>
    </w:p>
    <w:p>
      <w:pPr>
        <w:pStyle w:val="ListParagraph"/>
        <w:numPr>
          <w:ilvl w:val="0"/>
          <w:numId w:val="2"/>
        </w:numPr>
        <w:spacing w:after="20" w:before="20"/>
      </w:pPr>
      <w:r>
        <w:rPr>
          <w:rFonts w:ascii="Calibri" w:cs="Calibri" w:eastAsia="Calibri" w:hAnsi="Calibri"/>
          <w:color w:val="000000"/>
          <w:sz w:val="20"/>
          <w:szCs w:val="20"/>
        </w:rPr>
        <w:t xml:space="preserve">Documentos de constituição</w:t>
      </w:r>
    </w:p>
    <w:p>
      <w:pPr>
        <w:pStyle w:val="ListParagraph"/>
        <w:numPr>
          <w:ilvl w:val="0"/>
          <w:numId w:val="2"/>
        </w:numPr>
        <w:spacing w:after="20" w:before="20"/>
      </w:pPr>
      <w:r>
        <w:rPr>
          <w:rFonts w:ascii="Calibri" w:cs="Calibri" w:eastAsia="Calibri" w:hAnsi="Calibri"/>
          <w:color w:val="000000"/>
          <w:sz w:val="20"/>
          <w:szCs w:val="20"/>
        </w:rPr>
        <w:t xml:space="preserve">Registro da empresa junto ao Cayman Islands Registrar</w:t>
      </w:r>
    </w:p>
    <w:p>
      <w:pPr>
        <w:pStyle w:val="ListParagraph"/>
        <w:numPr>
          <w:ilvl w:val="0"/>
          <w:numId w:val="2"/>
        </w:numPr>
        <w:spacing w:after="20" w:before="20"/>
      </w:pPr>
      <w:r>
        <w:rPr>
          <w:rFonts w:ascii="Calibri" w:cs="Calibri" w:eastAsia="Calibri" w:hAnsi="Calibri"/>
          <w:color w:val="000000"/>
          <w:sz w:val="20"/>
          <w:szCs w:val="20"/>
        </w:rPr>
        <w:t xml:space="preserve">Certificado de Constituição</w:t>
      </w:r>
    </w:p>
    <w:p>
      <w:pPr>
        <w:pStyle w:val="ListParagraph"/>
        <w:numPr>
          <w:ilvl w:val="0"/>
          <w:numId w:val="2"/>
        </w:numPr>
        <w:spacing w:after="20" w:before="20"/>
      </w:pPr>
      <w:r>
        <w:rPr>
          <w:rFonts w:ascii="Calibri" w:cs="Calibri" w:eastAsia="Calibri" w:hAnsi="Calibri"/>
          <w:color w:val="000000"/>
          <w:sz w:val="20"/>
          <w:szCs w:val="20"/>
        </w:rPr>
        <w:t xml:space="preserve">Designação de Agente Registrado Local (primeiro ano incluído)</w:t>
      </w:r>
    </w:p>
    <w:p>
      <w:pPr>
        <w:pStyle w:val="Heading4"/>
        <w:spacing w:after="80" w:before="200"/>
      </w:pPr>
      <w:r>
        <w:rPr>
          <w:rFonts w:ascii="Calibri" w:cs="Calibri" w:eastAsia="Calibri" w:hAnsi="Calibri"/>
          <w:b/>
          <w:bCs/>
          <w:color w:val="000000"/>
          <w:sz w:val="20"/>
          <w:szCs w:val="20"/>
        </w:rPr>
        <w:t xml:space="preserve">Constituição Nevis Company — </w:t>
      </w:r>
      <w:r>
        <w:rPr>
          <w:rFonts w:ascii="Calibri" w:cs="Calibri" w:eastAsia="Calibri" w:hAnsi="Calibri"/>
          <w:b/>
          <w:bCs/>
          <w:color w:val="000000"/>
          <w:sz w:val="20"/>
          <w:szCs w:val="20"/>
        </w:rPr>
        <w:t xml:space="preserve">USD 2,900</w:t>
      </w:r>
    </w:p>
    <w:p>
      <w:pPr>
        <w:spacing w:after="120" w:before="60"/>
      </w:pPr>
      <w:r>
        <w:rPr>
          <w:rFonts w:ascii="Consolas" w:cs="Consolas" w:eastAsia="Consolas" w:hAnsi="Consolas"/>
          <w:color w:val="2E6DA4"/>
          <w:sz w:val="18"/>
          <w:szCs w:val="18"/>
        </w:rPr>
        <w:t xml:space="preserve">nevis</w:t>
      </w:r>
    </w:p>
    <w:p>
      <w:pPr>
        <w:pStyle w:val="ListParagraph"/>
        <w:numPr>
          <w:ilvl w:val="0"/>
          <w:numId w:val="2"/>
        </w:numPr>
        <w:spacing w:after="20" w:before="20"/>
      </w:pPr>
      <w:r>
        <w:rPr>
          <w:rFonts w:ascii="Calibri" w:cs="Calibri" w:eastAsia="Calibri" w:hAnsi="Calibri"/>
          <w:color w:val="000000"/>
          <w:sz w:val="20"/>
          <w:szCs w:val="20"/>
        </w:rPr>
        <w:t xml:space="preserve">Pesquisa de nome da empresa</w:t>
      </w:r>
    </w:p>
    <w:p>
      <w:pPr>
        <w:pStyle w:val="ListParagraph"/>
        <w:numPr>
          <w:ilvl w:val="0"/>
          <w:numId w:val="2"/>
        </w:numPr>
        <w:spacing w:after="20" w:before="20"/>
      </w:pPr>
      <w:r>
        <w:rPr>
          <w:rFonts w:ascii="Calibri" w:cs="Calibri" w:eastAsia="Calibri" w:hAnsi="Calibri"/>
          <w:color w:val="000000"/>
          <w:sz w:val="20"/>
          <w:szCs w:val="20"/>
        </w:rPr>
        <w:t xml:space="preserve">Taxas governamentais (vigentes na data de constituição)</w:t>
      </w:r>
    </w:p>
    <w:p>
      <w:pPr>
        <w:pStyle w:val="ListParagraph"/>
        <w:numPr>
          <w:ilvl w:val="0"/>
          <w:numId w:val="2"/>
        </w:numPr>
        <w:spacing w:after="20" w:before="20"/>
      </w:pPr>
      <w:r>
        <w:rPr>
          <w:rFonts w:ascii="Calibri" w:cs="Calibri" w:eastAsia="Calibri" w:hAnsi="Calibri"/>
          <w:color w:val="000000"/>
          <w:sz w:val="20"/>
          <w:szCs w:val="20"/>
        </w:rPr>
        <w:t xml:space="preserve">Documentos de constituição</w:t>
      </w:r>
    </w:p>
    <w:p>
      <w:pPr>
        <w:pStyle w:val="ListParagraph"/>
        <w:numPr>
          <w:ilvl w:val="0"/>
          <w:numId w:val="2"/>
        </w:numPr>
        <w:spacing w:after="20" w:before="20"/>
      </w:pPr>
      <w:r>
        <w:rPr>
          <w:rFonts w:ascii="Calibri" w:cs="Calibri" w:eastAsia="Calibri" w:hAnsi="Calibri"/>
          <w:color w:val="000000"/>
          <w:sz w:val="20"/>
          <w:szCs w:val="20"/>
        </w:rPr>
        <w:t xml:space="preserve">Registro da empresa junto ao Nevis Registrar</w:t>
      </w:r>
    </w:p>
    <w:p>
      <w:pPr>
        <w:pStyle w:val="ListParagraph"/>
        <w:numPr>
          <w:ilvl w:val="0"/>
          <w:numId w:val="2"/>
        </w:numPr>
        <w:spacing w:after="20" w:before="20"/>
      </w:pPr>
      <w:r>
        <w:rPr>
          <w:rFonts w:ascii="Calibri" w:cs="Calibri" w:eastAsia="Calibri" w:hAnsi="Calibri"/>
          <w:color w:val="000000"/>
          <w:sz w:val="20"/>
          <w:szCs w:val="20"/>
        </w:rPr>
        <w:t xml:space="preserve">Certificado de Constituição</w:t>
      </w:r>
    </w:p>
    <w:p>
      <w:pPr>
        <w:pStyle w:val="ListParagraph"/>
        <w:numPr>
          <w:ilvl w:val="0"/>
          <w:numId w:val="2"/>
        </w:numPr>
        <w:spacing w:after="20" w:before="20"/>
      </w:pPr>
      <w:r>
        <w:rPr>
          <w:rFonts w:ascii="Calibri" w:cs="Calibri" w:eastAsia="Calibri" w:hAnsi="Calibri"/>
          <w:color w:val="000000"/>
          <w:sz w:val="20"/>
          <w:szCs w:val="20"/>
        </w:rPr>
        <w:t xml:space="preserve">Designação de Agente Registrado Local (primeiro ano incluído)</w:t>
      </w:r>
    </w:p>
    <w:p>
      <w:pPr>
        <w:pStyle w:val="Heading4"/>
        <w:spacing w:after="80" w:before="200"/>
      </w:pPr>
      <w:r>
        <w:rPr>
          <w:rFonts w:ascii="Calibri" w:cs="Calibri" w:eastAsia="Calibri" w:hAnsi="Calibri"/>
          <w:b/>
          <w:bCs/>
          <w:color w:val="000000"/>
          <w:sz w:val="20"/>
          <w:szCs w:val="20"/>
        </w:rPr>
        <w:t xml:space="preserve">Outra jurisdição offshore (campo livre)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customOffshore</w:t>
      </w:r>
    </w:p>
    <w:p>
      <w:pPr>
        <w:pStyle w:val="Heading3"/>
        <w:spacing w:after="110" w:before="260"/>
      </w:pPr>
      <w:r>
        <w:rPr>
          <w:rFonts w:ascii="Calibri" w:cs="Calibri" w:eastAsia="Calibri" w:hAnsi="Calibri"/>
          <w:b/>
          <w:bCs/>
          <w:color w:val="2E6DA4"/>
          <w:sz w:val="22"/>
          <w:szCs w:val="22"/>
        </w:rPr>
        <w:t xml:space="preserve">1.2 US LLC (pagamento na aceitação)</w:t>
      </w:r>
    </w:p>
    <w:p>
      <w:pPr>
        <w:pStyle w:val="Heading4"/>
        <w:spacing w:after="80" w:before="200"/>
      </w:pPr>
      <w:r>
        <w:rPr>
          <w:rFonts w:ascii="Calibri" w:cs="Calibri" w:eastAsia="Calibri" w:hAnsi="Calibri"/>
          <w:b/>
          <w:bCs/>
          <w:color w:val="000000"/>
          <w:sz w:val="20"/>
          <w:szCs w:val="20"/>
        </w:rPr>
        <w:t xml:space="preserve">Constituição Florida LLC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fl</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Delaware LLC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de</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New York LLC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ny</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South Dakota LLC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sd</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Wisconsin LLC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wi</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Constituição Minnesota LLC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mn</w:t>
      </w:r>
    </w:p>
    <w:p>
      <w:pPr>
        <w:pStyle w:val="ListParagraph"/>
        <w:numPr>
          <w:ilvl w:val="0"/>
          <w:numId w:val="2"/>
        </w:numPr>
        <w:spacing w:after="20" w:before="20"/>
      </w:pPr>
      <w:r>
        <w:rPr>
          <w:rFonts w:ascii="Calibri" w:cs="Calibri" w:eastAsia="Calibri" w:hAnsi="Calibri"/>
          <w:color w:val="000000"/>
          <w:sz w:val="20"/>
          <w:szCs w:val="20"/>
        </w:rPr>
        <w:t xml:space="preserve">Pesquisa do nome da empresa</w:t>
      </w:r>
    </w:p>
    <w:p>
      <w:pPr>
        <w:pStyle w:val="ListParagraph"/>
        <w:numPr>
          <w:ilvl w:val="0"/>
          <w:numId w:val="2"/>
        </w:numPr>
        <w:spacing w:after="20" w:before="20"/>
      </w:pPr>
      <w:r>
        <w:rPr>
          <w:rFonts w:ascii="Calibri" w:cs="Calibri" w:eastAsia="Calibri" w:hAnsi="Calibri"/>
          <w:color w:val="000000"/>
          <w:sz w:val="20"/>
          <w:szCs w:val="20"/>
        </w:rPr>
        <w:t xml:space="preserve">Registro no Department of State</w:t>
      </w:r>
    </w:p>
    <w:p>
      <w:pPr>
        <w:pStyle w:val="ListParagraph"/>
        <w:numPr>
          <w:ilvl w:val="0"/>
          <w:numId w:val="2"/>
        </w:numPr>
        <w:spacing w:after="20" w:before="20"/>
      </w:pPr>
      <w:r>
        <w:rPr>
          <w:rFonts w:ascii="Calibri" w:cs="Calibri" w:eastAsia="Calibri" w:hAnsi="Calibri"/>
          <w:color w:val="000000"/>
          <w:sz w:val="20"/>
          <w:szCs w:val="20"/>
        </w:rPr>
        <w:t xml:space="preserve">Documentos de incorporação</w:t>
      </w:r>
    </w:p>
    <w:p>
      <w:pPr>
        <w:pStyle w:val="ListParagraph"/>
        <w:numPr>
          <w:ilvl w:val="0"/>
          <w:numId w:val="2"/>
        </w:numPr>
        <w:spacing w:after="20" w:before="20"/>
      </w:pPr>
      <w:r>
        <w:rPr>
          <w:rFonts w:ascii="Calibri" w:cs="Calibri" w:eastAsia="Calibri" w:hAnsi="Calibri"/>
          <w:color w:val="000000"/>
          <w:sz w:val="20"/>
          <w:szCs w:val="20"/>
        </w:rPr>
        <w:t xml:space="preserve">Standard Operating Agreement</w:t>
      </w:r>
    </w:p>
    <w:p>
      <w:pPr>
        <w:pStyle w:val="ListParagraph"/>
        <w:numPr>
          <w:ilvl w:val="0"/>
          <w:numId w:val="2"/>
        </w:numPr>
        <w:spacing w:after="20" w:before="20"/>
      </w:pPr>
      <w:r>
        <w:rPr>
          <w:rFonts w:ascii="Calibri" w:cs="Calibri" w:eastAsia="Calibri" w:hAnsi="Calibri"/>
          <w:color w:val="000000"/>
          <w:sz w:val="20"/>
          <w:szCs w:val="20"/>
        </w:rPr>
        <w:t xml:space="preserve">Primeiro ano de fees do Agente Registrado</w:t>
      </w:r>
    </w:p>
    <w:p>
      <w:pPr>
        <w:pStyle w:val="ListParagraph"/>
        <w:numPr>
          <w:ilvl w:val="0"/>
          <w:numId w:val="2"/>
        </w:numPr>
        <w:spacing w:after="20" w:before="20"/>
      </w:pPr>
      <w:r>
        <w:rPr>
          <w:rFonts w:ascii="Calibri" w:cs="Calibri" w:eastAsia="Calibri" w:hAnsi="Calibri"/>
          <w:color w:val="000000"/>
          <w:sz w:val="20"/>
          <w:szCs w:val="20"/>
        </w:rPr>
        <w:t xml:space="preserve">Obtenção de Tax ID/EIN (se necessário)</w:t>
      </w:r>
    </w:p>
    <w:p>
      <w:pPr>
        <w:pStyle w:val="Heading4"/>
        <w:spacing w:after="80" w:before="200"/>
      </w:pPr>
      <w:r>
        <w:rPr>
          <w:rFonts w:ascii="Calibri" w:cs="Calibri" w:eastAsia="Calibri" w:hAnsi="Calibri"/>
          <w:b/>
          <w:bCs/>
          <w:color w:val="000000"/>
          <w:sz w:val="20"/>
          <w:szCs w:val="20"/>
        </w:rPr>
        <w:t xml:space="preserve">Outro estado americano (campo livre)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customUS</w:t>
      </w:r>
    </w:p>
    <w:p>
      <w:pPr>
        <w:pStyle w:val="Heading2"/>
        <w:spacing w:after="140" w:before="340"/>
      </w:pPr>
      <w:r>
        <w:rPr>
          <w:rFonts w:ascii="Calibri" w:cs="Calibri" w:eastAsia="Calibri" w:hAnsi="Calibri"/>
          <w:b/>
          <w:bCs/>
          <w:color w:val="1F3A5F"/>
          <w:sz w:val="26"/>
          <w:szCs w:val="26"/>
        </w:rPr>
        <w:t xml:space="preserve">2. Manutenção Anual (recorrente — a partir do ano 2)</w:t>
      </w:r>
    </w:p>
    <w:p>
      <w:pPr>
        <w:pStyle w:val="Heading4"/>
        <w:spacing w:after="80" w:before="200"/>
      </w:pPr>
      <w:r>
        <w:rPr>
          <w:rFonts w:ascii="Calibri" w:cs="Calibri" w:eastAsia="Calibri" w:hAnsi="Calibri"/>
          <w:b/>
          <w:bCs/>
          <w:color w:val="000000"/>
          <w:sz w:val="20"/>
          <w:szCs w:val="20"/>
        </w:rPr>
        <w:t xml:space="preserve">Manutenção Anual BVI Company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bviMaint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Manutenção dos Registros da Empresa: Inclui a organização e atualização contínua dos registros empresariais, assegurando que a documentação da empresa esteja completa e atualizada</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Style w:val="ListParagraph"/>
        <w:numPr>
          <w:ilvl w:val="0"/>
          <w:numId w:val="2"/>
        </w:numPr>
        <w:spacing w:after="20" w:before="20"/>
      </w:pPr>
      <w:r>
        <w:rPr>
          <w:rFonts w:ascii="Calibri" w:cs="Calibri" w:eastAsia="Calibri" w:hAnsi="Calibri"/>
          <w:color w:val="000000"/>
          <w:sz w:val="20"/>
          <w:szCs w:val="20"/>
        </w:rPr>
        <w:t xml:space="preserve">Reporte de Substância Econômica*</w:t>
      </w:r>
    </w:p>
    <w:p>
      <w:pPr>
        <w:pStyle w:val="ListParagraph"/>
        <w:numPr>
          <w:ilvl w:val="0"/>
          <w:numId w:val="2"/>
        </w:numPr>
        <w:spacing w:after="20" w:before="20"/>
      </w:pPr>
      <w:r>
        <w:rPr>
          <w:rFonts w:ascii="Calibri" w:cs="Calibri" w:eastAsia="Calibri" w:hAnsi="Calibri"/>
          <w:color w:val="000000"/>
          <w:sz w:val="20"/>
          <w:szCs w:val="20"/>
        </w:rPr>
        <w:t xml:space="preserve">Relatório Anual (Annual Financial Return)</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classificação para fins de substância econômica pressupõe que a empresa não esteja dentro do escopo da Lei. Caso as premissas sejam diferentes ou alteradas, os fees serão revisados com base na atividade desenvolvida.  </w:t>
      </w:r>
    </w:p>
    <w:p>
      <w:pPr>
        <w:pBdr>
          <w:left w:val="single" w:color="B8C6D6" w:sz="14" w:space="10"/>
        </w:pBdr>
        <w:spacing w:after="160" w:before="0"/>
        <w:ind w:left="340"/>
      </w:pPr>
      <w:r>
        <w:rPr>
          <w:rFonts w:ascii="Calibri" w:cs="Calibri" w:eastAsia="Calibri" w:hAnsi="Calibri"/>
          <w:i/>
          <w:iCs/>
          <w:color w:val="595959"/>
          <w:sz w:val="19"/>
          <w:szCs w:val="19"/>
        </w:rPr>
        <w:t xml:space="preserve">A elaboração das demonstrações financeiras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Bahamas Company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bahamasMaint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anuais exigidas pelo Registrar General das Bahamas</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Renovação anual do serviço de agente registrado nas Bahamas</w:t>
      </w:r>
    </w:p>
    <w:p>
      <w:pPr>
        <w:pStyle w:val="ListParagraph"/>
        <w:numPr>
          <w:ilvl w:val="0"/>
          <w:numId w:val="2"/>
        </w:numPr>
        <w:spacing w:after="20" w:before="20"/>
      </w:pPr>
      <w:r>
        <w:rPr>
          <w:rFonts w:ascii="Calibri" w:cs="Calibri" w:eastAsia="Calibri" w:hAnsi="Calibri"/>
          <w:color w:val="000000"/>
          <w:sz w:val="20"/>
          <w:szCs w:val="20"/>
        </w:rPr>
        <w:t xml:space="preserve">Manutenção dos Registros da Empresa: Inclui atualização e arquivamento dos documentos corporativos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todas as obrigações regulatórias anuais perante as autoridades das Bahamas</w:t>
      </w:r>
    </w:p>
    <w:p>
      <w:pPr>
        <w:pStyle w:val="Heading4"/>
        <w:spacing w:after="80" w:before="200"/>
      </w:pPr>
      <w:r>
        <w:rPr>
          <w:rFonts w:ascii="Calibri" w:cs="Calibri" w:eastAsia="Calibri" w:hAnsi="Calibri"/>
          <w:b/>
          <w:bCs/>
          <w:color w:val="000000"/>
          <w:sz w:val="20"/>
          <w:szCs w:val="20"/>
        </w:rPr>
        <w:t xml:space="preserve">Manutenção Anual Cayman Company — </w:t>
      </w:r>
      <w:r>
        <w:rPr>
          <w:rFonts w:ascii="Calibri" w:cs="Calibri" w:eastAsia="Calibri" w:hAnsi="Calibri"/>
          <w:b/>
          <w:bCs/>
          <w:color w:val="000000"/>
          <w:sz w:val="20"/>
          <w:szCs w:val="20"/>
        </w:rPr>
        <w:t xml:space="preserve">USD 4,400</w:t>
      </w:r>
    </w:p>
    <w:p>
      <w:pPr>
        <w:spacing w:after="120" w:before="60"/>
      </w:pPr>
      <w:r>
        <w:rPr>
          <w:rFonts w:ascii="Consolas" w:cs="Consolas" w:eastAsia="Consolas" w:hAnsi="Consolas"/>
          <w:color w:val="2E6DA4"/>
          <w:sz w:val="18"/>
          <w:szCs w:val="18"/>
        </w:rPr>
        <w:t xml:space="preserve">caymanMaint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anuais exigidas pelo Cayman Islands Registrar</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Renovação anual do serviço de agente registrado nas Ilhas Cayman</w:t>
      </w:r>
    </w:p>
    <w:p>
      <w:pPr>
        <w:pStyle w:val="ListParagraph"/>
        <w:numPr>
          <w:ilvl w:val="0"/>
          <w:numId w:val="2"/>
        </w:numPr>
        <w:spacing w:after="20" w:before="20"/>
      </w:pPr>
      <w:r>
        <w:rPr>
          <w:rFonts w:ascii="Calibri" w:cs="Calibri" w:eastAsia="Calibri" w:hAnsi="Calibri"/>
          <w:color w:val="000000"/>
          <w:sz w:val="20"/>
          <w:szCs w:val="20"/>
        </w:rPr>
        <w:t xml:space="preserve">Manutenção dos Registros da Empresa: Inclui atualização e arquivamento dos documentos corporativos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todas as obrigações regulatórias anuais perante as autoridades das Ilhas Cayman</w:t>
      </w:r>
    </w:p>
    <w:p>
      <w:pPr>
        <w:pStyle w:val="Heading4"/>
        <w:spacing w:after="80" w:before="200"/>
      </w:pPr>
      <w:r>
        <w:rPr>
          <w:rFonts w:ascii="Calibri" w:cs="Calibri" w:eastAsia="Calibri" w:hAnsi="Calibri"/>
          <w:b/>
          <w:bCs/>
          <w:color w:val="000000"/>
          <w:sz w:val="20"/>
          <w:szCs w:val="20"/>
        </w:rPr>
        <w:t xml:space="preserve">Manutenção Anual Nevis Company — </w:t>
      </w:r>
      <w:r>
        <w:rPr>
          <w:rFonts w:ascii="Calibri" w:cs="Calibri" w:eastAsia="Calibri" w:hAnsi="Calibri"/>
          <w:b/>
          <w:bCs/>
          <w:color w:val="000000"/>
          <w:sz w:val="20"/>
          <w:szCs w:val="20"/>
        </w:rPr>
        <w:t xml:space="preserve">USD 1,900</w:t>
      </w:r>
    </w:p>
    <w:p>
      <w:pPr>
        <w:spacing w:after="120" w:before="60"/>
      </w:pPr>
      <w:r>
        <w:rPr>
          <w:rFonts w:ascii="Consolas" w:cs="Consolas" w:eastAsia="Consolas" w:hAnsi="Consolas"/>
          <w:color w:val="2E6DA4"/>
          <w:sz w:val="18"/>
          <w:szCs w:val="18"/>
        </w:rPr>
        <w:t xml:space="preserve">nevisMaint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anuais exigidas pelo Nevis Registrar</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Renovação anual do serviço de agente registrado em Nevis</w:t>
      </w:r>
    </w:p>
    <w:p>
      <w:pPr>
        <w:pStyle w:val="ListParagraph"/>
        <w:numPr>
          <w:ilvl w:val="0"/>
          <w:numId w:val="2"/>
        </w:numPr>
        <w:spacing w:after="20" w:before="20"/>
      </w:pPr>
      <w:r>
        <w:rPr>
          <w:rFonts w:ascii="Calibri" w:cs="Calibri" w:eastAsia="Calibri" w:hAnsi="Calibri"/>
          <w:color w:val="000000"/>
          <w:sz w:val="20"/>
          <w:szCs w:val="20"/>
        </w:rPr>
        <w:t xml:space="preserve">Manutenção dos Registros da Empresa: Inclui atualização e arquivamento dos documentos corporativos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todas as obrigações regulatórias anuais perante as autoridades de Nevis</w:t>
      </w:r>
    </w:p>
    <w:p>
      <w:pPr>
        <w:pStyle w:val="Heading4"/>
        <w:spacing w:after="80" w:before="200"/>
      </w:pPr>
      <w:r>
        <w:rPr>
          <w:rFonts w:ascii="Calibri" w:cs="Calibri" w:eastAsia="Calibri" w:hAnsi="Calibri"/>
          <w:b/>
          <w:bCs/>
          <w:color w:val="000000"/>
          <w:sz w:val="20"/>
          <w:szCs w:val="20"/>
        </w:rPr>
        <w:t xml:space="preserve">Manutenção Anual Florida LLC — </w:t>
      </w:r>
      <w:r>
        <w:rPr>
          <w:rFonts w:ascii="Calibri" w:cs="Calibri" w:eastAsia="Calibri" w:hAnsi="Calibri"/>
          <w:b/>
          <w:bCs/>
          <w:color w:val="000000"/>
          <w:sz w:val="20"/>
          <w:szCs w:val="20"/>
        </w:rPr>
        <w:t xml:space="preserve">USD 750</w:t>
      </w:r>
    </w:p>
    <w:p>
      <w:pPr>
        <w:spacing w:after="120" w:before="60"/>
      </w:pPr>
      <w:r>
        <w:rPr>
          <w:rFonts w:ascii="Consolas" w:cs="Consolas" w:eastAsia="Consolas" w:hAnsi="Consolas"/>
          <w:color w:val="2E6DA4"/>
          <w:sz w:val="18"/>
          <w:szCs w:val="18"/>
        </w:rPr>
        <w:t xml:space="preserve">flMaint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Delaware LLC — </w:t>
      </w:r>
      <w:r>
        <w:rPr>
          <w:rFonts w:ascii="Calibri" w:cs="Calibri" w:eastAsia="Calibri" w:hAnsi="Calibri"/>
          <w:b/>
          <w:bCs/>
          <w:color w:val="000000"/>
          <w:sz w:val="20"/>
          <w:szCs w:val="20"/>
        </w:rPr>
        <w:t xml:space="preserve">USD 1,100</w:t>
      </w:r>
    </w:p>
    <w:p>
      <w:pPr>
        <w:spacing w:after="120" w:before="60"/>
      </w:pPr>
      <w:r>
        <w:rPr>
          <w:rFonts w:ascii="Consolas" w:cs="Consolas" w:eastAsia="Consolas" w:hAnsi="Consolas"/>
          <w:color w:val="2E6DA4"/>
          <w:sz w:val="18"/>
          <w:szCs w:val="18"/>
        </w:rPr>
        <w:t xml:space="preserve">deMaint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New York LLC — </w:t>
      </w:r>
      <w:r>
        <w:rPr>
          <w:rFonts w:ascii="Calibri" w:cs="Calibri" w:eastAsia="Calibri" w:hAnsi="Calibri"/>
          <w:b/>
          <w:bCs/>
          <w:color w:val="000000"/>
          <w:sz w:val="20"/>
          <w:szCs w:val="20"/>
        </w:rPr>
        <w:t xml:space="preserve">USD 900</w:t>
      </w:r>
    </w:p>
    <w:p>
      <w:pPr>
        <w:spacing w:after="120" w:before="60"/>
      </w:pPr>
      <w:r>
        <w:rPr>
          <w:rFonts w:ascii="Consolas" w:cs="Consolas" w:eastAsia="Consolas" w:hAnsi="Consolas"/>
          <w:color w:val="2E6DA4"/>
          <w:sz w:val="18"/>
          <w:szCs w:val="18"/>
        </w:rPr>
        <w:t xml:space="preserve">nyMaint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South Dakota LLC — </w:t>
      </w:r>
      <w:r>
        <w:rPr>
          <w:rFonts w:ascii="Calibri" w:cs="Calibri" w:eastAsia="Calibri" w:hAnsi="Calibri"/>
          <w:b/>
          <w:bCs/>
          <w:color w:val="000000"/>
          <w:sz w:val="20"/>
          <w:szCs w:val="20"/>
        </w:rPr>
        <w:t xml:space="preserve">USD 750</w:t>
      </w:r>
    </w:p>
    <w:p>
      <w:pPr>
        <w:spacing w:after="120" w:before="60"/>
      </w:pPr>
      <w:r>
        <w:rPr>
          <w:rFonts w:ascii="Consolas" w:cs="Consolas" w:eastAsia="Consolas" w:hAnsi="Consolas"/>
          <w:color w:val="2E6DA4"/>
          <w:sz w:val="18"/>
          <w:szCs w:val="18"/>
        </w:rPr>
        <w:t xml:space="preserve">sdMaint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Wisconsin LLC — </w:t>
      </w:r>
      <w:r>
        <w:rPr>
          <w:rFonts w:ascii="Calibri" w:cs="Calibri" w:eastAsia="Calibri" w:hAnsi="Calibri"/>
          <w:b/>
          <w:bCs/>
          <w:color w:val="000000"/>
          <w:sz w:val="20"/>
          <w:szCs w:val="20"/>
        </w:rPr>
        <w:t xml:space="preserve">USD 750</w:t>
      </w:r>
    </w:p>
    <w:p>
      <w:pPr>
        <w:spacing w:after="120" w:before="60"/>
      </w:pPr>
      <w:r>
        <w:rPr>
          <w:rFonts w:ascii="Consolas" w:cs="Consolas" w:eastAsia="Consolas" w:hAnsi="Consolas"/>
          <w:color w:val="2E6DA4"/>
          <w:sz w:val="18"/>
          <w:szCs w:val="18"/>
        </w:rPr>
        <w:t xml:space="preserve">wiMaint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Minnesota LLC — </w:t>
      </w:r>
      <w:r>
        <w:rPr>
          <w:rFonts w:ascii="Calibri" w:cs="Calibri" w:eastAsia="Calibri" w:hAnsi="Calibri"/>
          <w:b/>
          <w:bCs/>
          <w:color w:val="000000"/>
          <w:sz w:val="20"/>
          <w:szCs w:val="20"/>
        </w:rPr>
        <w:t xml:space="preserve">USD 750</w:t>
      </w:r>
    </w:p>
    <w:p>
      <w:pPr>
        <w:spacing w:after="120" w:before="60"/>
      </w:pPr>
      <w:r>
        <w:rPr>
          <w:rFonts w:ascii="Consolas" w:cs="Consolas" w:eastAsia="Consolas" w:hAnsi="Consolas"/>
          <w:color w:val="2E6DA4"/>
          <w:sz w:val="18"/>
          <w:szCs w:val="18"/>
        </w:rPr>
        <w:t xml:space="preserve">mnMaint</w:t>
      </w:r>
    </w:p>
    <w:p>
      <w:pPr>
        <w:pStyle w:val="ListParagraph"/>
        <w:numPr>
          <w:ilvl w:val="0"/>
          <w:numId w:val="2"/>
        </w:numPr>
        <w:spacing w:after="20" w:before="20"/>
      </w:pPr>
      <w:r>
        <w:rPr>
          <w:rFonts w:ascii="Calibri" w:cs="Calibri" w:eastAsia="Calibri" w:hAnsi="Calibri"/>
          <w:color w:val="000000"/>
          <w:sz w:val="20"/>
          <w:szCs w:val="20"/>
        </w:rPr>
        <w:t xml:space="preserve">Taxa Governamental: Inclui as obrigações financeiras exigidas pelo governo para a manutenção da empresa em good standing</w:t>
      </w:r>
    </w:p>
    <w:p>
      <w:pPr>
        <w:pStyle w:val="ListParagraph"/>
        <w:numPr>
          <w:ilvl w:val="0"/>
          <w:numId w:val="2"/>
        </w:numPr>
        <w:spacing w:after="20" w:before="20"/>
      </w:pPr>
      <w:r>
        <w:rPr>
          <w:rFonts w:ascii="Calibri" w:cs="Calibri" w:eastAsia="Calibri" w:hAnsi="Calibri"/>
          <w:color w:val="000000"/>
          <w:sz w:val="20"/>
          <w:szCs w:val="20"/>
        </w:rPr>
        <w:t xml:space="preserve">Taxa do Agente Registrado Local: Refere-se ao serviço de manutenção de um representante local para a empresa, garantindo uma gestão eficaz e o cumprimento dos procedimentos administrativos</w:t>
      </w:r>
    </w:p>
    <w:p>
      <w:pPr>
        <w:pStyle w:val="ListParagraph"/>
        <w:numPr>
          <w:ilvl w:val="0"/>
          <w:numId w:val="2"/>
        </w:numPr>
        <w:spacing w:after="20" w:before="20"/>
      </w:pPr>
      <w:r>
        <w:rPr>
          <w:rFonts w:ascii="Calibri" w:cs="Calibri" w:eastAsia="Calibri" w:hAnsi="Calibri"/>
          <w:color w:val="000000"/>
          <w:sz w:val="20"/>
          <w:szCs w:val="20"/>
        </w:rPr>
        <w:t xml:space="preserve">Compliance Anual: Engloba a verificação e o cumprimento de requisitos necessários para assegurar a conformidade da empresa com as exigências das autoridades legais e a manutenção de sua regularidade</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elaboração do Tax Return não está incluída na taxa de manutenção anual.</w:t>
      </w:r>
    </w:p>
    <w:p>
      <w:pPr>
        <w:pStyle w:val="Heading4"/>
        <w:spacing w:after="80" w:before="200"/>
      </w:pPr>
      <w:r>
        <w:rPr>
          <w:rFonts w:ascii="Calibri" w:cs="Calibri" w:eastAsia="Calibri" w:hAnsi="Calibri"/>
          <w:b/>
          <w:bCs/>
          <w:color w:val="000000"/>
          <w:sz w:val="20"/>
          <w:szCs w:val="20"/>
        </w:rPr>
        <w:t xml:space="preserve">Manutenção Anual Share Trust — </w:t>
      </w:r>
      <w:r>
        <w:rPr>
          <w:rFonts w:ascii="Calibri" w:cs="Calibri" w:eastAsia="Calibri" w:hAnsi="Calibri"/>
          <w:b/>
          <w:bCs/>
          <w:color w:val="000000"/>
          <w:sz w:val="20"/>
          <w:szCs w:val="20"/>
        </w:rPr>
        <w:t xml:space="preserve">USD 1,400</w:t>
      </w:r>
    </w:p>
    <w:p>
      <w:pPr>
        <w:spacing w:after="120" w:before="60"/>
      </w:pPr>
      <w:r>
        <w:rPr>
          <w:rFonts w:ascii="Consolas" w:cs="Consolas" w:eastAsia="Consolas" w:hAnsi="Consolas"/>
          <w:color w:val="2E6DA4"/>
          <w:sz w:val="18"/>
          <w:szCs w:val="18"/>
        </w:rPr>
        <w:t xml:space="preserve">trustMaint</w:t>
      </w:r>
    </w:p>
    <w:p>
      <w:pPr>
        <w:pStyle w:val="ListParagraph"/>
        <w:numPr>
          <w:ilvl w:val="0"/>
          <w:numId w:val="2"/>
        </w:numPr>
        <w:spacing w:after="20" w:before="20"/>
      </w:pPr>
      <w:r>
        <w:rPr>
          <w:rFonts w:ascii="Calibri" w:cs="Calibri" w:eastAsia="Calibri" w:hAnsi="Calibri"/>
          <w:color w:val="000000"/>
          <w:sz w:val="20"/>
          <w:szCs w:val="20"/>
        </w:rPr>
        <w:t xml:space="preserve">Honorários anuais do Trustee</w:t>
      </w:r>
    </w:p>
    <w:p>
      <w:pPr>
        <w:pStyle w:val="ListParagraph"/>
        <w:numPr>
          <w:ilvl w:val="0"/>
          <w:numId w:val="2"/>
        </w:numPr>
        <w:spacing w:after="20" w:before="20"/>
      </w:pPr>
      <w:r>
        <w:rPr>
          <w:rFonts w:ascii="Calibri" w:cs="Calibri" w:eastAsia="Calibri" w:hAnsi="Calibri"/>
          <w:color w:val="000000"/>
          <w:sz w:val="20"/>
          <w:szCs w:val="20"/>
        </w:rPr>
        <w:t xml:space="preserve">Serviços de Compliance anual</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manutenção não inclui a gestão de ativos do trust ou qualquer alteração na estrutura do trust. Caso sejam necessários serviços adicionais, os honorários serão ajustados conforme necessidade.</w:t>
      </w:r>
    </w:p>
    <w:p>
      <w:pPr>
        <w:pStyle w:val="Heading2"/>
        <w:spacing w:after="140" w:before="340"/>
      </w:pPr>
      <w:r>
        <w:rPr>
          <w:rFonts w:ascii="Calibri" w:cs="Calibri" w:eastAsia="Calibri" w:hAnsi="Calibri"/>
          <w:b/>
          <w:bCs/>
          <w:color w:val="1F3A5F"/>
          <w:sz w:val="26"/>
          <w:szCs w:val="26"/>
        </w:rPr>
        <w:t xml:space="preserve">3. Transferência de Agente Registrado</w:t>
      </w:r>
    </w:p>
    <w:p>
      <w:pPr>
        <w:pStyle w:val="Heading3"/>
        <w:spacing w:after="110" w:before="260"/>
      </w:pPr>
      <w:r>
        <w:rPr>
          <w:rFonts w:ascii="Calibri" w:cs="Calibri" w:eastAsia="Calibri" w:hAnsi="Calibri"/>
          <w:b/>
          <w:bCs/>
          <w:color w:val="2E6DA4"/>
          <w:sz w:val="22"/>
          <w:szCs w:val="22"/>
        </w:rPr>
        <w:t xml:space="preserve">3.1 PIC / Offshore</w:t>
      </w:r>
    </w:p>
    <w:p>
      <w:pPr>
        <w:pStyle w:val="Heading4"/>
        <w:spacing w:after="80" w:before="200"/>
      </w:pPr>
      <w:r>
        <w:rPr>
          <w:rFonts w:ascii="Calibri" w:cs="Calibri" w:eastAsia="Calibri" w:hAnsi="Calibri"/>
          <w:b/>
          <w:bCs/>
          <w:color w:val="000000"/>
          <w:sz w:val="20"/>
          <w:szCs w:val="20"/>
        </w:rPr>
        <w:t xml:space="preserve">Transferência de Agente BVI — </w:t>
      </w:r>
      <w:r>
        <w:rPr>
          <w:rFonts w:ascii="Calibri" w:cs="Calibri" w:eastAsia="Calibri" w:hAnsi="Calibri"/>
          <w:b/>
          <w:bCs/>
          <w:color w:val="000000"/>
          <w:sz w:val="20"/>
          <w:szCs w:val="20"/>
        </w:rPr>
        <w:t xml:space="preserve">USD 1,200</w:t>
      </w:r>
    </w:p>
    <w:p>
      <w:pPr>
        <w:spacing w:after="120" w:before="60"/>
      </w:pPr>
      <w:r>
        <w:rPr>
          <w:rFonts w:ascii="Consolas" w:cs="Consolas" w:eastAsia="Consolas" w:hAnsi="Consolas"/>
          <w:color w:val="2E6DA4"/>
          <w:sz w:val="18"/>
          <w:szCs w:val="18"/>
        </w:rPr>
        <w:t xml:space="preserve">transBVI</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Bahamas — </w:t>
      </w:r>
      <w:r>
        <w:rPr>
          <w:rFonts w:ascii="Calibri" w:cs="Calibri" w:eastAsia="Calibri" w:hAnsi="Calibri"/>
          <w:b/>
          <w:bCs/>
          <w:color w:val="000000"/>
          <w:sz w:val="20"/>
          <w:szCs w:val="20"/>
        </w:rPr>
        <w:t xml:space="preserve">USD 1,200</w:t>
      </w:r>
    </w:p>
    <w:p>
      <w:pPr>
        <w:spacing w:after="120" w:before="60"/>
      </w:pPr>
      <w:r>
        <w:rPr>
          <w:rFonts w:ascii="Consolas" w:cs="Consolas" w:eastAsia="Consolas" w:hAnsi="Consolas"/>
          <w:color w:val="2E6DA4"/>
          <w:sz w:val="18"/>
          <w:szCs w:val="18"/>
        </w:rPr>
        <w:t xml:space="preserve">transBahamas</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Cayman — </w:t>
      </w:r>
      <w:r>
        <w:rPr>
          <w:rFonts w:ascii="Calibri" w:cs="Calibri" w:eastAsia="Calibri" w:hAnsi="Calibri"/>
          <w:b/>
          <w:bCs/>
          <w:color w:val="000000"/>
          <w:sz w:val="20"/>
          <w:szCs w:val="20"/>
        </w:rPr>
        <w:t xml:space="preserve">USD 1,200</w:t>
      </w:r>
    </w:p>
    <w:p>
      <w:pPr>
        <w:spacing w:after="120" w:before="60"/>
      </w:pPr>
      <w:r>
        <w:rPr>
          <w:rFonts w:ascii="Consolas" w:cs="Consolas" w:eastAsia="Consolas" w:hAnsi="Consolas"/>
          <w:color w:val="2E6DA4"/>
          <w:sz w:val="18"/>
          <w:szCs w:val="18"/>
        </w:rPr>
        <w:t xml:space="preserve">transCayman</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Nevis — </w:t>
      </w:r>
      <w:r>
        <w:rPr>
          <w:rFonts w:ascii="Calibri" w:cs="Calibri" w:eastAsia="Calibri" w:hAnsi="Calibri"/>
          <w:b/>
          <w:bCs/>
          <w:color w:val="000000"/>
          <w:sz w:val="20"/>
          <w:szCs w:val="20"/>
        </w:rPr>
        <w:t xml:space="preserve">USD 1,200</w:t>
      </w:r>
    </w:p>
    <w:p>
      <w:pPr>
        <w:spacing w:after="120" w:before="60"/>
      </w:pPr>
      <w:r>
        <w:rPr>
          <w:rFonts w:ascii="Consolas" w:cs="Consolas" w:eastAsia="Consolas" w:hAnsi="Consolas"/>
          <w:color w:val="2E6DA4"/>
          <w:sz w:val="18"/>
          <w:szCs w:val="18"/>
        </w:rPr>
        <w:t xml:space="preserve">transNevis</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3"/>
        <w:spacing w:after="110" w:before="260"/>
      </w:pPr>
      <w:r>
        <w:rPr>
          <w:rFonts w:ascii="Calibri" w:cs="Calibri" w:eastAsia="Calibri" w:hAnsi="Calibri"/>
          <w:b/>
          <w:bCs/>
          <w:color w:val="2E6DA4"/>
          <w:sz w:val="22"/>
          <w:szCs w:val="22"/>
        </w:rPr>
        <w:t xml:space="preserve">3.2 US LLC</w:t>
      </w:r>
    </w:p>
    <w:p>
      <w:pPr>
        <w:pStyle w:val="Heading4"/>
        <w:spacing w:after="80" w:before="200"/>
      </w:pPr>
      <w:r>
        <w:rPr>
          <w:rFonts w:ascii="Calibri" w:cs="Calibri" w:eastAsia="Calibri" w:hAnsi="Calibri"/>
          <w:b/>
          <w:bCs/>
          <w:color w:val="000000"/>
          <w:sz w:val="20"/>
          <w:szCs w:val="20"/>
        </w:rPr>
        <w:t xml:space="preserve">Transferência de Agente Florida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transFL</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Delaware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transDE</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New York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transNY</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South Dakota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transSD</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Wisconsin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transWI</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4"/>
        <w:spacing w:after="80" w:before="200"/>
      </w:pPr>
      <w:r>
        <w:rPr>
          <w:rFonts w:ascii="Calibri" w:cs="Calibri" w:eastAsia="Calibri" w:hAnsi="Calibri"/>
          <w:b/>
          <w:bCs/>
          <w:color w:val="000000"/>
          <w:sz w:val="20"/>
          <w:szCs w:val="20"/>
        </w:rPr>
        <w:t xml:space="preserve">Transferência de Agente Minnesota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transMN</w:t>
      </w:r>
    </w:p>
    <w:p>
      <w:pPr>
        <w:pStyle w:val="ListParagraph"/>
        <w:numPr>
          <w:ilvl w:val="0"/>
          <w:numId w:val="2"/>
        </w:numPr>
        <w:spacing w:after="20" w:before="20"/>
      </w:pPr>
      <w:r>
        <w:rPr>
          <w:rFonts w:ascii="Calibri" w:cs="Calibri" w:eastAsia="Calibri" w:hAnsi="Calibri"/>
          <w:color w:val="000000"/>
          <w:sz w:val="20"/>
          <w:szCs w:val="20"/>
        </w:rPr>
        <w:t xml:space="preserve">Revisão e análise da documentação societária</w:t>
      </w:r>
    </w:p>
    <w:p>
      <w:pPr>
        <w:pStyle w:val="ListParagraph"/>
        <w:numPr>
          <w:ilvl w:val="0"/>
          <w:numId w:val="2"/>
        </w:numPr>
        <w:spacing w:after="20" w:before="20"/>
      </w:pPr>
      <w:r>
        <w:rPr>
          <w:rFonts w:ascii="Calibri" w:cs="Calibri" w:eastAsia="Calibri" w:hAnsi="Calibri"/>
          <w:color w:val="000000"/>
          <w:sz w:val="20"/>
          <w:szCs w:val="20"/>
        </w:rPr>
        <w:t xml:space="preserve">Documentos de transferência</w:t>
      </w:r>
    </w:p>
    <w:p>
      <w:pPr>
        <w:pStyle w:val="ListParagraph"/>
        <w:numPr>
          <w:ilvl w:val="0"/>
          <w:numId w:val="2"/>
        </w:numPr>
        <w:spacing w:after="20" w:before="20"/>
      </w:pPr>
      <w:r>
        <w:rPr>
          <w:rFonts w:ascii="Calibri" w:cs="Calibri" w:eastAsia="Calibri" w:hAnsi="Calibri"/>
          <w:color w:val="000000"/>
          <w:sz w:val="20"/>
          <w:szCs w:val="20"/>
        </w:rPr>
        <w:t xml:space="preserve">Fees do Agente Registrado</w:t>
      </w:r>
    </w:p>
    <w:p>
      <w:pPr>
        <w:pStyle w:val="ListParagraph"/>
        <w:numPr>
          <w:ilvl w:val="0"/>
          <w:numId w:val="2"/>
        </w:numPr>
        <w:spacing w:after="20" w:before="20"/>
      </w:pPr>
      <w:r>
        <w:rPr>
          <w:rFonts w:ascii="Calibri" w:cs="Calibri" w:eastAsia="Calibri" w:hAnsi="Calibri"/>
          <w:color w:val="000000"/>
          <w:sz w:val="20"/>
          <w:szCs w:val="20"/>
        </w:rPr>
        <w:t xml:space="preserve">Taxa governamental</w:t>
      </w:r>
    </w:p>
    <w:p>
      <w:pPr>
        <w:pStyle w:val="ListParagraph"/>
        <w:numPr>
          <w:ilvl w:val="0"/>
          <w:numId w:val="2"/>
        </w:numPr>
        <w:spacing w:after="20" w:before="20"/>
      </w:pPr>
      <w:r>
        <w:rPr>
          <w:rFonts w:ascii="Calibri" w:cs="Calibri" w:eastAsia="Calibri" w:hAnsi="Calibri"/>
          <w:color w:val="000000"/>
          <w:sz w:val="20"/>
          <w:szCs w:val="20"/>
        </w:rPr>
        <w:t xml:space="preserve">Compliance fees</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Os fees de transferência pressupõem que a empresa esteja em good standing no momento da transferência e inclui o processo de due diligence necessário para garantir a conformidade da documentação. Caso seja necessária a reorganização societária, a elaboração de outras atas, alterações contratuais ou a substituição de documentos faltantes ou inválidos, será apresentada uma proposta adicional após a devida avaliação.  </w:t>
      </w:r>
    </w:p>
    <w:p>
      <w:pPr>
        <w:pBdr>
          <w:left w:val="single" w:color="B8C6D6" w:sz="14" w:space="10"/>
        </w:pBdr>
        <w:spacing w:after="160" w:before="0"/>
        <w:ind w:left="340"/>
      </w:pPr>
      <w:r>
        <w:rPr>
          <w:rFonts w:ascii="Calibri" w:cs="Calibri" w:eastAsia="Calibri" w:hAnsi="Calibri"/>
          <w:i/>
          <w:iCs/>
          <w:color w:val="595959"/>
          <w:sz w:val="19"/>
          <w:szCs w:val="19"/>
        </w:rPr>
        <w:t xml:space="preserve">É possível que o atual agente de registro cobre uma taxa para realizar a transferência para outro agente. Esses custos deverão ser pagos diretamente e não estão inclusos nos valores acima.</w:t>
      </w:r>
    </w:p>
    <w:p>
      <w:pPr>
        <w:pStyle w:val="Heading3"/>
        <w:spacing w:after="110" w:before="260"/>
      </w:pPr>
      <w:r>
        <w:rPr>
          <w:rFonts w:ascii="Calibri" w:cs="Calibri" w:eastAsia="Calibri" w:hAnsi="Calibri"/>
          <w:b/>
          <w:bCs/>
          <w:color w:val="2E6DA4"/>
          <w:sz w:val="22"/>
          <w:szCs w:val="22"/>
        </w:rPr>
        <w:t xml:space="preserve">3.3 Transferência sem troca de agente (cortesia — USD 0)</w:t>
      </w:r>
    </w:p>
    <w:p>
      <w:pPr>
        <w:pStyle w:val="Heading4"/>
        <w:spacing w:after="80" w:before="200"/>
      </w:pPr>
      <w:r>
        <w:rPr>
          <w:rFonts w:ascii="Calibri" w:cs="Calibri" w:eastAsia="Calibri" w:hAnsi="Calibri"/>
          <w:b/>
          <w:bCs/>
          <w:color w:val="000000"/>
          <w:sz w:val="20"/>
          <w:szCs w:val="20"/>
        </w:rPr>
        <w:t xml:space="preserve">Transferência BVI (sem troca de agente) — </w:t>
      </w:r>
      <w:r>
        <w:rPr>
          <w:rFonts w:ascii="Calibri" w:cs="Calibri" w:eastAsia="Calibri" w:hAnsi="Calibri"/>
          <w:b/>
          <w:bCs/>
          <w:color w:val="000000"/>
          <w:sz w:val="20"/>
          <w:szCs w:val="20"/>
        </w:rPr>
        <w:t xml:space="preserve">Cortesia (USD 0)</w:t>
      </w:r>
    </w:p>
    <w:p>
      <w:pPr>
        <w:spacing w:after="120" w:before="60"/>
      </w:pPr>
      <w:r>
        <w:rPr>
          <w:rFonts w:ascii="Consolas" w:cs="Consolas" w:eastAsia="Consolas" w:hAnsi="Consolas"/>
          <w:color w:val="2E6DA4"/>
          <w:sz w:val="18"/>
          <w:szCs w:val="18"/>
        </w:rPr>
        <w:t xml:space="preserve">transBVIRA</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Bahamas (sem troca de agente) — </w:t>
      </w:r>
      <w:r>
        <w:rPr>
          <w:rFonts w:ascii="Calibri" w:cs="Calibri" w:eastAsia="Calibri" w:hAnsi="Calibri"/>
          <w:b/>
          <w:bCs/>
          <w:color w:val="000000"/>
          <w:sz w:val="20"/>
          <w:szCs w:val="20"/>
        </w:rPr>
        <w:t xml:space="preserve">Cortesia (USD 0)</w:t>
      </w:r>
    </w:p>
    <w:p>
      <w:pPr>
        <w:spacing w:after="120" w:before="60"/>
      </w:pPr>
      <w:r>
        <w:rPr>
          <w:rFonts w:ascii="Consolas" w:cs="Consolas" w:eastAsia="Consolas" w:hAnsi="Consolas"/>
          <w:color w:val="2E6DA4"/>
          <w:sz w:val="18"/>
          <w:szCs w:val="18"/>
        </w:rPr>
        <w:t xml:space="preserve">transBahamasRA</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Cayman (sem troca de agente) — </w:t>
      </w:r>
      <w:r>
        <w:rPr>
          <w:rFonts w:ascii="Calibri" w:cs="Calibri" w:eastAsia="Calibri" w:hAnsi="Calibri"/>
          <w:b/>
          <w:bCs/>
          <w:color w:val="000000"/>
          <w:sz w:val="20"/>
          <w:szCs w:val="20"/>
        </w:rPr>
        <w:t xml:space="preserve">Cortesia (USD 0)</w:t>
      </w:r>
    </w:p>
    <w:p>
      <w:pPr>
        <w:spacing w:after="120" w:before="60"/>
      </w:pPr>
      <w:r>
        <w:rPr>
          <w:rFonts w:ascii="Consolas" w:cs="Consolas" w:eastAsia="Consolas" w:hAnsi="Consolas"/>
          <w:color w:val="2E6DA4"/>
          <w:sz w:val="18"/>
          <w:szCs w:val="18"/>
        </w:rPr>
        <w:t xml:space="preserve">transCaymanRA</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Nevis (sem troca de agente) — </w:t>
      </w:r>
      <w:r>
        <w:rPr>
          <w:rFonts w:ascii="Calibri" w:cs="Calibri" w:eastAsia="Calibri" w:hAnsi="Calibri"/>
          <w:b/>
          <w:bCs/>
          <w:color w:val="000000"/>
          <w:sz w:val="20"/>
          <w:szCs w:val="20"/>
        </w:rPr>
        <w:t xml:space="preserve">Cortesia (USD 0)</w:t>
      </w:r>
    </w:p>
    <w:p>
      <w:pPr>
        <w:spacing w:after="120" w:before="60"/>
      </w:pPr>
      <w:r>
        <w:rPr>
          <w:rFonts w:ascii="Consolas" w:cs="Consolas" w:eastAsia="Consolas" w:hAnsi="Consolas"/>
          <w:color w:val="2E6DA4"/>
          <w:sz w:val="18"/>
          <w:szCs w:val="18"/>
        </w:rPr>
        <w:t xml:space="preserve">transNevisRA</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FL LLC (sem troca de agente) — </w:t>
      </w:r>
      <w:r>
        <w:rPr>
          <w:rFonts w:ascii="Calibri" w:cs="Calibri" w:eastAsia="Calibri" w:hAnsi="Calibri"/>
          <w:b/>
          <w:bCs/>
          <w:color w:val="000000"/>
          <w:sz w:val="20"/>
          <w:szCs w:val="20"/>
        </w:rPr>
        <w:t xml:space="preserve">Cortesia (USD 0)</w:t>
      </w:r>
    </w:p>
    <w:p>
      <w:pPr>
        <w:spacing w:after="120" w:before="60"/>
      </w:pPr>
      <w:r>
        <w:rPr>
          <w:rFonts w:ascii="Consolas" w:cs="Consolas" w:eastAsia="Consolas" w:hAnsi="Consolas"/>
          <w:color w:val="2E6DA4"/>
          <w:sz w:val="18"/>
          <w:szCs w:val="18"/>
        </w:rPr>
        <w:t xml:space="preserve">transFLRA</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Style w:val="Heading4"/>
        <w:spacing w:after="80" w:before="200"/>
      </w:pPr>
      <w:r>
        <w:rPr>
          <w:rFonts w:ascii="Calibri" w:cs="Calibri" w:eastAsia="Calibri" w:hAnsi="Calibri"/>
          <w:b/>
          <w:bCs/>
          <w:color w:val="000000"/>
          <w:sz w:val="20"/>
          <w:szCs w:val="20"/>
        </w:rPr>
        <w:t xml:space="preserve">Transferência DE LLC (sem troca de agente) — </w:t>
      </w:r>
      <w:r>
        <w:rPr>
          <w:rFonts w:ascii="Calibri" w:cs="Calibri" w:eastAsia="Calibri" w:hAnsi="Calibri"/>
          <w:b/>
          <w:bCs/>
          <w:color w:val="000000"/>
          <w:sz w:val="20"/>
          <w:szCs w:val="20"/>
        </w:rPr>
        <w:t xml:space="preserve">Cortesia (USD 0)</w:t>
      </w:r>
    </w:p>
    <w:p>
      <w:pPr>
        <w:spacing w:after="120" w:before="60"/>
      </w:pPr>
      <w:r>
        <w:rPr>
          <w:rFonts w:ascii="Consolas" w:cs="Consolas" w:eastAsia="Consolas" w:hAnsi="Consolas"/>
          <w:color w:val="2E6DA4"/>
          <w:sz w:val="18"/>
          <w:szCs w:val="18"/>
        </w:rPr>
        <w:t xml:space="preserve">transDERA</w:t>
      </w:r>
    </w:p>
    <w:p>
      <w:pPr>
        <w:pStyle w:val="ListParagraph"/>
        <w:numPr>
          <w:ilvl w:val="0"/>
          <w:numId w:val="2"/>
        </w:numPr>
        <w:spacing w:after="20" w:before="20"/>
      </w:pPr>
      <w:r>
        <w:rPr>
          <w:rFonts w:ascii="Calibri" w:cs="Calibri" w:eastAsia="Calibri" w:hAnsi="Calibri"/>
          <w:color w:val="000000"/>
          <w:sz w:val="20"/>
          <w:szCs w:val="20"/>
        </w:rPr>
        <w:t xml:space="preserve">Transferência administrativa sem alteração de agente registrado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Cortesia</w:t>
      </w:r>
    </w:p>
    <w:p>
      <w:pPr>
        <w:pBdr>
          <w:left w:val="single" w:color="B8C6D6" w:sz="14" w:space="10"/>
        </w:pBdr>
        <w:spacing w:after="160" w:before="120"/>
        <w:ind w:left="340"/>
      </w:pPr>
      <w:r>
        <w:rPr>
          <w:rFonts w:ascii="Calibri" w:cs="Calibri" w:eastAsia="Calibri" w:hAnsi="Calibri"/>
          <w:i/>
          <w:iCs/>
          <w:color w:val="595959"/>
          <w:sz w:val="19"/>
          <w:szCs w:val="19"/>
        </w:rPr>
        <w:t xml:space="preserve">Serviço prestado sem cobrança. </w:t>
      </w:r>
      <w:r>
        <w:rPr>
          <w:rFonts w:ascii="Calibri" w:cs="Calibri" w:eastAsia="Calibri" w:hAnsi="Calibri"/>
          <w:b/>
          <w:bCs/>
          <w:i/>
          <w:iCs/>
          <w:color w:val="595959"/>
          <w:sz w:val="19"/>
          <w:szCs w:val="19"/>
        </w:rPr>
        <w:t xml:space="preserve">Aparece na proposta como "Cortesia".</w:t>
      </w:r>
    </w:p>
    <w:p>
      <w:pPr>
        <w:pStyle w:val="Heading2"/>
        <w:spacing w:after="140" w:before="340"/>
      </w:pPr>
      <w:r>
        <w:rPr>
          <w:rFonts w:ascii="Calibri" w:cs="Calibri" w:eastAsia="Calibri" w:hAnsi="Calibri"/>
          <w:b/>
          <w:bCs/>
          <w:color w:val="1F3A5F"/>
          <w:sz w:val="26"/>
          <w:szCs w:val="26"/>
        </w:rPr>
        <w:t xml:space="preserve">4. Sucessão</w:t>
      </w:r>
    </w:p>
    <w:p>
      <w:pPr>
        <w:pStyle w:val="Heading4"/>
        <w:spacing w:after="80" w:before="200"/>
      </w:pPr>
      <w:r>
        <w:rPr>
          <w:rFonts w:ascii="Calibri" w:cs="Calibri" w:eastAsia="Calibri" w:hAnsi="Calibri"/>
          <w:b/>
          <w:bCs/>
          <w:color w:val="000000"/>
          <w:sz w:val="20"/>
          <w:szCs w:val="20"/>
        </w:rPr>
        <w:t xml:space="preserve">Elaboração de Testamento BVI — </w:t>
      </w:r>
      <w:r>
        <w:rPr>
          <w:rFonts w:ascii="Calibri" w:cs="Calibri" w:eastAsia="Calibri" w:hAnsi="Calibri"/>
          <w:b/>
          <w:bCs/>
          <w:color w:val="000000"/>
          <w:sz w:val="20"/>
          <w:szCs w:val="20"/>
        </w:rPr>
        <w:t xml:space="preserve">USD 5,500</w:t>
      </w:r>
    </w:p>
    <w:p>
      <w:pPr>
        <w:spacing w:after="120" w:before="60"/>
      </w:pPr>
      <w:r>
        <w:rPr>
          <w:rFonts w:ascii="Consolas" w:cs="Consolas" w:eastAsia="Consolas" w:hAnsi="Consolas"/>
          <w:color w:val="2E6DA4"/>
          <w:sz w:val="18"/>
          <w:szCs w:val="18"/>
        </w:rPr>
        <w:t xml:space="preserve">will</w:t>
      </w:r>
    </w:p>
    <w:p>
      <w:pPr>
        <w:pStyle w:val="ListParagraph"/>
        <w:numPr>
          <w:ilvl w:val="0"/>
          <w:numId w:val="2"/>
        </w:numPr>
        <w:spacing w:after="20" w:before="20"/>
      </w:pPr>
      <w:r>
        <w:rPr>
          <w:rFonts w:ascii="Calibri" w:cs="Calibri" w:eastAsia="Calibri" w:hAnsi="Calibri"/>
          <w:color w:val="000000"/>
          <w:sz w:val="20"/>
          <w:szCs w:val="20"/>
        </w:rPr>
        <w:t xml:space="preserve">Testamento (non-simple Will), contemplando até duas (2) rodadas de revisão. Caso as premissas iniciais sejam alteradas, exijam revisões adicionais ou haja necessidade de incluir disposições específicas e/ou mecanismos de sucessão, honorários adicionais serão aplicados e discutidos oportunamente.</w:t>
      </w:r>
    </w:p>
    <w:p>
      <w:pPr>
        <w:pStyle w:val="ListParagraph"/>
        <w:numPr>
          <w:ilvl w:val="0"/>
          <w:numId w:val="2"/>
        </w:numPr>
        <w:spacing w:after="20" w:before="20"/>
      </w:pPr>
      <w:r>
        <w:rPr>
          <w:rFonts w:ascii="Calibri" w:cs="Calibri" w:eastAsia="Calibri" w:hAnsi="Calibri"/>
          <w:color w:val="000000"/>
          <w:sz w:val="20"/>
          <w:szCs w:val="20"/>
        </w:rPr>
        <w:t xml:space="preserve">Obtenção de Certificate of Good Standing</w:t>
      </w:r>
    </w:p>
    <w:p>
      <w:pPr>
        <w:pStyle w:val="ListParagraph"/>
        <w:numPr>
          <w:ilvl w:val="0"/>
          <w:numId w:val="2"/>
        </w:numPr>
        <w:spacing w:after="20" w:before="20"/>
      </w:pPr>
      <w:r>
        <w:rPr>
          <w:rFonts w:ascii="Calibri" w:cs="Calibri" w:eastAsia="Calibri" w:hAnsi="Calibri"/>
          <w:color w:val="000000"/>
          <w:sz w:val="20"/>
          <w:szCs w:val="20"/>
        </w:rPr>
        <w:t xml:space="preserve">Obtenção de Certificate of Incumbency</w:t>
      </w:r>
    </w:p>
    <w:p>
      <w:pPr>
        <w:pStyle w:val="ListParagraph"/>
        <w:numPr>
          <w:ilvl w:val="0"/>
          <w:numId w:val="2"/>
        </w:numPr>
        <w:spacing w:after="20" w:before="20"/>
      </w:pPr>
      <w:r>
        <w:rPr>
          <w:rFonts w:ascii="Calibri" w:cs="Calibri" w:eastAsia="Calibri" w:hAnsi="Calibri"/>
          <w:color w:val="000000"/>
          <w:sz w:val="20"/>
          <w:szCs w:val="20"/>
        </w:rPr>
        <w:t xml:space="preserve">Entrega da versão final em formato digital e físico, acompanhada de orientações formais sobre assinatura e guarda do documento</w:t>
      </w:r>
    </w:p>
    <w:p>
      <w:pPr>
        <w:pStyle w:val="ListParagraph"/>
        <w:numPr>
          <w:ilvl w:val="0"/>
          <w:numId w:val="2"/>
        </w:numPr>
        <w:spacing w:after="20" w:before="20"/>
      </w:pPr>
      <w:r>
        <w:rPr>
          <w:rFonts w:ascii="Calibri" w:cs="Calibri" w:eastAsia="Calibri" w:hAnsi="Calibri"/>
          <w:color w:val="000000"/>
          <w:sz w:val="20"/>
          <w:szCs w:val="20"/>
        </w:rPr>
        <w:t xml:space="preserve">Quaisquer despesas incorridas no âmbito deste trabalho serão reembolsadas imediatamente.</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assinatura do Testamento deverá ocorrer no país de residência fiscal do testador, seguindo as formalidades locais.  </w:t>
      </w:r>
    </w:p>
    <w:p>
      <w:pPr>
        <w:pBdr>
          <w:left w:val="single" w:color="B8C6D6" w:sz="14" w:space="10"/>
        </w:pBdr>
        <w:spacing w:after="0" w:before="0"/>
        <w:ind w:left="340"/>
      </w:pPr>
      <w:r>
        <w:rPr>
          <w:rFonts w:ascii="Calibri" w:cs="Calibri" w:eastAsia="Calibri" w:hAnsi="Calibri"/>
          <w:i/>
          <w:iCs/>
          <w:color w:val="595959"/>
          <w:sz w:val="19"/>
          <w:szCs w:val="19"/>
        </w:rPr>
        <w:t xml:space="preserve">Não há registro público obrigatório nas BVI, mas recomenda-se informar os executores sobre o local de guarda do documento original.  </w:t>
      </w:r>
    </w:p>
    <w:p>
      <w:pPr>
        <w:pBdr>
          <w:left w:val="single" w:color="B8C6D6" w:sz="14" w:space="10"/>
        </w:pBdr>
        <w:spacing w:after="0" w:before="0"/>
        <w:ind w:left="340"/>
      </w:pPr>
      <w:r>
        <w:rPr>
          <w:rFonts w:ascii="Calibri" w:cs="Calibri" w:eastAsia="Calibri" w:hAnsi="Calibri"/>
          <w:i/>
          <w:iCs/>
          <w:color w:val="595959"/>
          <w:sz w:val="19"/>
          <w:szCs w:val="19"/>
        </w:rPr>
        <w:t xml:space="preserve">Add-on opcional: Affidavit of Witness — USD 1.000,00 adicional. Recomendamos que as testemunhas assinem o Affidavit of Witness com antecedência, documento obrigatório para fins de probate.  </w:t>
      </w:r>
    </w:p>
    <w:p>
      <w:pPr>
        <w:pBdr>
          <w:left w:val="single" w:color="B8C6D6" w:sz="14" w:space="10"/>
        </w:pBdr>
        <w:spacing w:after="160" w:before="0"/>
        <w:ind w:left="340"/>
      </w:pPr>
      <w:r>
        <w:rPr>
          <w:rFonts w:ascii="Calibri" w:cs="Calibri" w:eastAsia="Calibri" w:hAnsi="Calibri"/>
          <w:i/>
          <w:iCs/>
          <w:color w:val="595959"/>
          <w:sz w:val="19"/>
          <w:szCs w:val="19"/>
        </w:rPr>
        <w:t xml:space="preserve">Os honorários profissionais são estimados inicialmente em USD 5.500,00. Caso as premissas iniciais sejam alteradas ou haja necessidade de incluir disposições específicas e/ou mecanismos de sucessão adicionais, os honorários serão revisados e discutidos oportunamente.</w:t>
      </w:r>
    </w:p>
    <w:p>
      <w:pPr>
        <w:pStyle w:val="Heading2"/>
        <w:spacing w:after="140" w:before="340"/>
      </w:pPr>
      <w:r>
        <w:rPr>
          <w:rFonts w:ascii="Calibri" w:cs="Calibri" w:eastAsia="Calibri" w:hAnsi="Calibri"/>
          <w:b/>
          <w:bCs/>
          <w:color w:val="1F3A5F"/>
          <w:sz w:val="26"/>
          <w:szCs w:val="26"/>
        </w:rPr>
        <w:t xml:space="preserve">5. Add-ons</w:t>
      </w:r>
    </w:p>
    <w:p>
      <w:pPr>
        <w:pStyle w:val="Heading4"/>
        <w:spacing w:after="80" w:before="200"/>
      </w:pPr>
      <w:r>
        <w:rPr>
          <w:rFonts w:ascii="Calibri" w:cs="Calibri" w:eastAsia="Calibri" w:hAnsi="Calibri"/>
          <w:b/>
          <w:bCs/>
          <w:color w:val="000000"/>
          <w:sz w:val="20"/>
          <w:szCs w:val="20"/>
        </w:rPr>
        <w:t xml:space="preserve">Constituição Share Trust — </w:t>
      </w:r>
      <w:r>
        <w:rPr>
          <w:rFonts w:ascii="Calibri" w:cs="Calibri" w:eastAsia="Calibri" w:hAnsi="Calibri"/>
          <w:b/>
          <w:bCs/>
          <w:color w:val="000000"/>
          <w:sz w:val="20"/>
          <w:szCs w:val="20"/>
        </w:rPr>
        <w:t xml:space="preserve">USD 2,700</w:t>
      </w:r>
    </w:p>
    <w:p>
      <w:pPr>
        <w:spacing w:after="120" w:before="60"/>
      </w:pPr>
      <w:r>
        <w:rPr>
          <w:rFonts w:ascii="Consolas" w:cs="Consolas" w:eastAsia="Consolas" w:hAnsi="Consolas"/>
          <w:color w:val="2E6DA4"/>
          <w:sz w:val="18"/>
          <w:szCs w:val="18"/>
        </w:rPr>
        <w:t xml:space="preserve">trust</w:t>
      </w:r>
    </w:p>
    <w:p>
      <w:pPr>
        <w:pStyle w:val="ListParagraph"/>
        <w:numPr>
          <w:ilvl w:val="0"/>
          <w:numId w:val="2"/>
        </w:numPr>
        <w:spacing w:after="20" w:before="20"/>
      </w:pPr>
      <w:r>
        <w:rPr>
          <w:rFonts w:ascii="Calibri" w:cs="Calibri" w:eastAsia="Calibri" w:hAnsi="Calibri"/>
          <w:color w:val="000000"/>
          <w:sz w:val="20"/>
          <w:szCs w:val="20"/>
        </w:rPr>
        <w:t xml:space="preserve">Estruturação do Share Trust de acordo com as leis de British Virgin Islands</w:t>
      </w:r>
    </w:p>
    <w:p>
      <w:pPr>
        <w:pStyle w:val="ListParagraph"/>
        <w:numPr>
          <w:ilvl w:val="0"/>
          <w:numId w:val="2"/>
        </w:numPr>
        <w:spacing w:after="20" w:before="20"/>
      </w:pPr>
      <w:r>
        <w:rPr>
          <w:rFonts w:ascii="Calibri" w:cs="Calibri" w:eastAsia="Calibri" w:hAnsi="Calibri"/>
          <w:color w:val="000000"/>
          <w:sz w:val="20"/>
          <w:szCs w:val="20"/>
        </w:rPr>
        <w:t xml:space="preserve">Redação e personalização do Trust com direito a até duas (2) rodadas de revisão</w:t>
      </w:r>
    </w:p>
    <w:p>
      <w:pPr>
        <w:pStyle w:val="ListParagraph"/>
        <w:numPr>
          <w:ilvl w:val="0"/>
          <w:numId w:val="2"/>
        </w:numPr>
        <w:spacing w:after="20" w:before="20"/>
      </w:pPr>
      <w:r>
        <w:rPr>
          <w:rFonts w:ascii="Calibri" w:cs="Calibri" w:eastAsia="Calibri" w:hAnsi="Calibri"/>
          <w:color w:val="000000"/>
          <w:sz w:val="20"/>
          <w:szCs w:val="20"/>
        </w:rPr>
        <w:t xml:space="preserve">Obtenção da assinatura do Trustee, que será o próprio Agente Registrado</w:t>
      </w:r>
    </w:p>
    <w:p>
      <w:pPr>
        <w:pStyle w:val="ListParagraph"/>
        <w:numPr>
          <w:ilvl w:val="0"/>
          <w:numId w:val="2"/>
        </w:numPr>
        <w:spacing w:after="20" w:before="20"/>
      </w:pPr>
      <w:r>
        <w:rPr>
          <w:rFonts w:ascii="Calibri" w:cs="Calibri" w:eastAsia="Calibri" w:hAnsi="Calibri"/>
          <w:color w:val="000000"/>
          <w:sz w:val="20"/>
          <w:szCs w:val="20"/>
        </w:rPr>
        <w:t xml:space="preserve">Registro e conformidade com normas locais, se aplicável</w:t>
      </w:r>
    </w:p>
    <w:p>
      <w:pPr>
        <w:pStyle w:val="ListParagraph"/>
        <w:numPr>
          <w:ilvl w:val="0"/>
          <w:numId w:val="2"/>
        </w:numPr>
        <w:spacing w:after="20" w:before="20"/>
      </w:pPr>
      <w:r>
        <w:rPr>
          <w:rFonts w:ascii="Calibri" w:cs="Calibri" w:eastAsia="Calibri" w:hAnsi="Calibri"/>
          <w:color w:val="000000"/>
          <w:sz w:val="20"/>
          <w:szCs w:val="20"/>
        </w:rPr>
        <w:t xml:space="preserve">Digitalização e fornecimento dos documentos do Trust</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O trust será estruturado como um trust revogável, restrito exclusivamente às ações da BVI Company.  </w:t>
      </w:r>
    </w:p>
    <w:p>
      <w:pPr>
        <w:pBdr>
          <w:left w:val="single" w:color="B8C6D6" w:sz="14" w:space="10"/>
        </w:pBdr>
        <w:spacing w:after="160" w:before="0"/>
        <w:ind w:left="340"/>
      </w:pPr>
      <w:r>
        <w:rPr>
          <w:rFonts w:ascii="Calibri" w:cs="Calibri" w:eastAsia="Calibri" w:hAnsi="Calibri"/>
          <w:i/>
          <w:iCs/>
          <w:color w:val="595959"/>
          <w:sz w:val="19"/>
          <w:szCs w:val="19"/>
        </w:rPr>
        <w:t xml:space="preserve">Caso deseje incluir outros ativos, tornar o trust irrevogável, ou aplicar cláusulas específicas adicionais, será apresentado orçamento complementar.</w:t>
      </w:r>
    </w:p>
    <w:p>
      <w:pPr>
        <w:pStyle w:val="Heading4"/>
        <w:spacing w:after="80" w:before="200"/>
      </w:pPr>
      <w:r>
        <w:rPr>
          <w:rFonts w:ascii="Calibri" w:cs="Calibri" w:eastAsia="Calibri" w:hAnsi="Calibri"/>
          <w:b/>
          <w:bCs/>
          <w:color w:val="000000"/>
          <w:sz w:val="20"/>
          <w:szCs w:val="20"/>
        </w:rPr>
        <w:t xml:space="preserve">Notarização e Apostilamento — </w:t>
      </w:r>
      <w:r>
        <w:rPr>
          <w:rFonts w:ascii="Calibri" w:cs="Calibri" w:eastAsia="Calibri" w:hAnsi="Calibri"/>
          <w:b/>
          <w:bCs/>
          <w:color w:val="000000"/>
          <w:sz w:val="20"/>
          <w:szCs w:val="20"/>
        </w:rPr>
        <w:t xml:space="preserve">USD 1,500</w:t>
      </w:r>
    </w:p>
    <w:p>
      <w:pPr>
        <w:spacing w:after="120" w:before="60"/>
      </w:pPr>
      <w:r>
        <w:rPr>
          <w:rFonts w:ascii="Consolas" w:cs="Consolas" w:eastAsia="Consolas" w:hAnsi="Consolas"/>
          <w:color w:val="2E6DA4"/>
          <w:sz w:val="18"/>
          <w:szCs w:val="18"/>
        </w:rPr>
        <w:t xml:space="preserve">apostila</w:t>
      </w:r>
    </w:p>
    <w:p>
      <w:pPr>
        <w:pStyle w:val="ListParagraph"/>
        <w:numPr>
          <w:ilvl w:val="0"/>
          <w:numId w:val="2"/>
        </w:numPr>
        <w:spacing w:after="20" w:before="20"/>
      </w:pPr>
      <w:r>
        <w:rPr>
          <w:rFonts w:ascii="Calibri" w:cs="Calibri" w:eastAsia="Calibri" w:hAnsi="Calibri"/>
          <w:color w:val="000000"/>
          <w:sz w:val="20"/>
          <w:szCs w:val="20"/>
        </w:rPr>
        <w:t xml:space="preserve">Adequação de formato ou conteúdo dos documentos, conforme exigências para notarização e apostilamento</w:t>
      </w:r>
    </w:p>
    <w:p>
      <w:pPr>
        <w:pStyle w:val="ListParagraph"/>
        <w:numPr>
          <w:ilvl w:val="0"/>
          <w:numId w:val="2"/>
        </w:numPr>
        <w:spacing w:after="20" w:before="20"/>
      </w:pPr>
      <w:r>
        <w:rPr>
          <w:rFonts w:ascii="Calibri" w:cs="Calibri" w:eastAsia="Calibri" w:hAnsi="Calibri"/>
          <w:color w:val="000000"/>
          <w:sz w:val="20"/>
          <w:szCs w:val="20"/>
        </w:rPr>
        <w:t xml:space="preserve">Gestão do processo de notarização e apostilamento junto ao órgão competente</w:t>
      </w:r>
    </w:p>
    <w:p>
      <w:pPr>
        <w:pStyle w:val="ListParagraph"/>
        <w:numPr>
          <w:ilvl w:val="0"/>
          <w:numId w:val="2"/>
        </w:numPr>
        <w:spacing w:after="20" w:before="20"/>
      </w:pPr>
      <w:r>
        <w:rPr>
          <w:rFonts w:ascii="Calibri" w:cs="Calibri" w:eastAsia="Calibri" w:hAnsi="Calibri"/>
          <w:color w:val="000000"/>
          <w:sz w:val="20"/>
          <w:szCs w:val="20"/>
        </w:rPr>
        <w:t xml:space="preserve">Envio dos documentos ao cliente final, via courier ou FedEx</w:t>
      </w:r>
    </w:p>
    <w:p>
      <w:pPr>
        <w:pStyle w:val="Heading4"/>
        <w:spacing w:after="80" w:before="200"/>
      </w:pPr>
      <w:r>
        <w:rPr>
          <w:rFonts w:ascii="Calibri" w:cs="Calibri" w:eastAsia="Calibri" w:hAnsi="Calibri"/>
          <w:b/>
          <w:bCs/>
          <w:color w:val="000000"/>
          <w:sz w:val="20"/>
          <w:szCs w:val="20"/>
        </w:rPr>
        <w:t xml:space="preserve">Mailing Address (Opcional) — </w:t>
      </w:r>
      <w:r>
        <w:rPr>
          <w:rFonts w:ascii="Calibri" w:cs="Calibri" w:eastAsia="Calibri" w:hAnsi="Calibri"/>
          <w:b/>
          <w:bCs/>
          <w:color w:val="000000"/>
          <w:sz w:val="20"/>
          <w:szCs w:val="20"/>
        </w:rPr>
        <w:t xml:space="preserve">USD 300</w:t>
      </w:r>
    </w:p>
    <w:p>
      <w:pPr>
        <w:spacing w:after="120" w:before="60"/>
      </w:pPr>
      <w:r>
        <w:rPr>
          <w:rFonts w:ascii="Consolas" w:cs="Consolas" w:eastAsia="Consolas" w:hAnsi="Consolas"/>
          <w:color w:val="2E6DA4"/>
          <w:sz w:val="18"/>
          <w:szCs w:val="18"/>
        </w:rPr>
        <w:t xml:space="preserve">mailing</w:t>
      </w:r>
    </w:p>
    <w:p>
      <w:pPr>
        <w:pStyle w:val="ListParagraph"/>
        <w:numPr>
          <w:ilvl w:val="0"/>
          <w:numId w:val="2"/>
        </w:numPr>
        <w:spacing w:after="20" w:before="20"/>
      </w:pPr>
      <w:r>
        <w:rPr>
          <w:rFonts w:ascii="Calibri" w:cs="Calibri" w:eastAsia="Calibri" w:hAnsi="Calibri"/>
          <w:color w:val="000000"/>
          <w:sz w:val="20"/>
          <w:szCs w:val="20"/>
        </w:rPr>
        <w:t xml:space="preserve">Utilização do endereço da FGC como endereço oficial da empresa</w:t>
      </w:r>
    </w:p>
    <w:p>
      <w:pPr>
        <w:pStyle w:val="ListParagraph"/>
        <w:numPr>
          <w:ilvl w:val="0"/>
          <w:numId w:val="2"/>
        </w:numPr>
        <w:spacing w:after="20" w:before="20"/>
      </w:pPr>
      <w:r>
        <w:rPr>
          <w:rFonts w:ascii="Calibri" w:cs="Calibri" w:eastAsia="Calibri" w:hAnsi="Calibri"/>
          <w:color w:val="000000"/>
          <w:sz w:val="20"/>
          <w:szCs w:val="20"/>
        </w:rPr>
        <w:t xml:space="preserve">Recebimento das correspondências</w:t>
      </w:r>
    </w:p>
    <w:p>
      <w:pPr>
        <w:pStyle w:val="ListParagraph"/>
        <w:numPr>
          <w:ilvl w:val="0"/>
          <w:numId w:val="2"/>
        </w:numPr>
        <w:spacing w:after="20" w:before="20"/>
      </w:pPr>
      <w:r>
        <w:rPr>
          <w:rFonts w:ascii="Calibri" w:cs="Calibri" w:eastAsia="Calibri" w:hAnsi="Calibri"/>
          <w:color w:val="000000"/>
          <w:sz w:val="20"/>
          <w:szCs w:val="20"/>
        </w:rPr>
        <w:t xml:space="preserve">Digitalização e encaminhamento das correspondências recebidas por e-mail</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Qualquer correspondência recebida no endereço da FGC será armazenada por um período de até 30 dias. Após esse prazo, as correspondências serão descartadas, salvo instrução formal do cliente dentro desse período.</w:t>
      </w:r>
    </w:p>
    <w:p>
      <w:pPr>
        <w:pStyle w:val="Heading2"/>
        <w:spacing w:after="140" w:before="340"/>
      </w:pPr>
      <w:r>
        <w:rPr>
          <w:rFonts w:ascii="Calibri" w:cs="Calibri" w:eastAsia="Calibri" w:hAnsi="Calibri"/>
          <w:b/>
          <w:bCs/>
          <w:color w:val="1F3A5F"/>
          <w:sz w:val="26"/>
          <w:szCs w:val="26"/>
        </w:rPr>
        <w:t xml:space="preserve">6. Contabilidade e Obrigações Fiscais (recorrente)</w:t>
      </w:r>
    </w:p>
    <w:p>
      <w:pPr>
        <w:pStyle w:val="Heading4"/>
        <w:spacing w:after="80" w:before="200"/>
      </w:pPr>
      <w:r>
        <w:rPr>
          <w:rFonts w:ascii="Calibri" w:cs="Calibri" w:eastAsia="Calibri" w:hAnsi="Calibri"/>
          <w:b/>
          <w:bCs/>
          <w:color w:val="000000"/>
          <w:sz w:val="20"/>
          <w:szCs w:val="20"/>
        </w:rPr>
        <w:t xml:space="preserve">Financial Statements (Demonstrações Financeiras) — </w:t>
      </w:r>
      <w:r>
        <w:rPr>
          <w:rFonts w:ascii="Calibri" w:cs="Calibri" w:eastAsia="Calibri" w:hAnsi="Calibri"/>
          <w:b/>
          <w:bCs/>
          <w:color w:val="000000"/>
          <w:sz w:val="20"/>
          <w:szCs w:val="20"/>
        </w:rPr>
        <w:t xml:space="preserve">USD 1,400</w:t>
      </w:r>
    </w:p>
    <w:p>
      <w:pPr>
        <w:spacing w:after="120" w:before="60"/>
      </w:pPr>
      <w:r>
        <w:rPr>
          <w:rFonts w:ascii="Consolas" w:cs="Consolas" w:eastAsia="Consolas" w:hAnsi="Consolas"/>
          <w:color w:val="2E6DA4"/>
          <w:sz w:val="18"/>
          <w:szCs w:val="18"/>
        </w:rPr>
        <w:t xml:space="preserve">fs</w:t>
      </w:r>
    </w:p>
    <w:p>
      <w:pPr>
        <w:pStyle w:val="ListParagraph"/>
        <w:numPr>
          <w:ilvl w:val="0"/>
          <w:numId w:val="2"/>
        </w:numPr>
        <w:spacing w:after="20" w:before="20"/>
      </w:pPr>
      <w:r>
        <w:rPr>
          <w:rFonts w:ascii="Calibri" w:cs="Calibri" w:eastAsia="Calibri" w:hAnsi="Calibri"/>
          <w:color w:val="000000"/>
          <w:sz w:val="20"/>
          <w:szCs w:val="20"/>
        </w:rPr>
        <w:t xml:space="preserve">Demonstrações Financeiras</w:t>
      </w:r>
    </w:p>
    <w:p>
      <w:pPr>
        <w:pStyle w:val="ListParagraph"/>
        <w:numPr>
          <w:ilvl w:val="0"/>
          <w:numId w:val="2"/>
        </w:numPr>
        <w:spacing w:after="20" w:before="20"/>
      </w:pPr>
      <w:r>
        <w:rPr>
          <w:rFonts w:ascii="Calibri" w:cs="Calibri" w:eastAsia="Calibri" w:hAnsi="Calibri"/>
          <w:color w:val="000000"/>
          <w:sz w:val="20"/>
          <w:szCs w:val="20"/>
        </w:rPr>
        <w:t xml:space="preserve">Annual Financial Return (AFR)</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Caso o cliente opte por não contratar os serviços de elaboração contábil conforme previsto neste item, e as demonstrações financeiras forem preparadas por terceiros, o cliente deverá encaminhar à FGC, até o dia 1º de junho de cada ano:  </w:t>
      </w:r>
    </w:p>
    <w:p>
      <w:pPr>
        <w:pBdr>
          <w:left w:val="single" w:color="B8C6D6" w:sz="14" w:space="10"/>
        </w:pBdr>
        <w:spacing w:after="0" w:before="0"/>
        <w:ind w:left="340"/>
      </w:pPr>
      <w:r>
        <w:rPr>
          <w:rFonts w:ascii="Calibri" w:cs="Calibri" w:eastAsia="Calibri" w:hAnsi="Calibri"/>
          <w:i/>
          <w:iCs/>
          <w:color w:val="595959"/>
          <w:sz w:val="19"/>
          <w:szCs w:val="19"/>
        </w:rPr>
        <w:t xml:space="preserve">- Cópia das Demonstrações Financeiras;  </w:t>
      </w:r>
    </w:p>
    <w:p>
      <w:pPr>
        <w:pBdr>
          <w:left w:val="single" w:color="B8C6D6" w:sz="14" w:space="10"/>
        </w:pBdr>
        <w:spacing w:after="0" w:before="0"/>
        <w:ind w:left="340"/>
      </w:pPr>
      <w:r>
        <w:rPr>
          <w:rFonts w:ascii="Calibri" w:cs="Calibri" w:eastAsia="Calibri" w:hAnsi="Calibri"/>
          <w:i/>
          <w:iCs/>
          <w:color w:val="595959"/>
          <w:sz w:val="19"/>
          <w:szCs w:val="19"/>
        </w:rPr>
        <w:t xml:space="preserve">- Relatório preenchido no formato exigido para submissão às autoridades nas BVI.  </w:t>
      </w:r>
    </w:p>
    <w:p>
      <w:pPr>
        <w:pBdr>
          <w:left w:val="single" w:color="B8C6D6" w:sz="14" w:space="10"/>
        </w:pBdr>
        <w:spacing w:after="0" w:before="0"/>
        <w:ind w:left="340"/>
      </w:pPr>
      <w:r>
        <w:rPr>
          <w:rFonts w:ascii="Calibri" w:cs="Calibri" w:eastAsia="Calibri" w:hAnsi="Calibri"/>
          <w:i/>
          <w:iCs/>
          <w:color w:val="595959"/>
          <w:sz w:val="19"/>
          <w:szCs w:val="19"/>
        </w:rPr>
        <w:t xml:space="preserve">Nessa hipótese, a FGC atuará exclusivamente na função de submissão do AFR, sem qualquer responsabilidade sobre a veracidade, consistência ou validade das informações contábeis fornecidas.  </w:t>
      </w:r>
    </w:p>
    <w:p>
      <w:pPr>
        <w:pBdr>
          <w:left w:val="single" w:color="B8C6D6" w:sz="14" w:space="10"/>
        </w:pBdr>
        <w:spacing w:after="160" w:before="0"/>
        <w:ind w:left="340"/>
      </w:pPr>
      <w:r>
        <w:rPr>
          <w:rFonts w:ascii="Calibri" w:cs="Calibri" w:eastAsia="Calibri" w:hAnsi="Calibri"/>
          <w:i/>
          <w:iCs/>
          <w:color w:val="595959"/>
          <w:sz w:val="19"/>
          <w:szCs w:val="19"/>
        </w:rPr>
        <w:t xml:space="preserve">O não envio da documentação no prazo informado poderá resultar em penalidades por parte das autoridades locais, sendo o cliente integralmente responsável por tais consequências. A FGC estará isenta de qualquer obrigação ou responsabilidade decorrente da não entrega ou entrega incompleta.</w:t>
      </w:r>
    </w:p>
    <w:p>
      <w:pPr>
        <w:pStyle w:val="Heading4"/>
        <w:spacing w:after="80" w:before="200"/>
      </w:pPr>
      <w:r>
        <w:rPr>
          <w:rFonts w:ascii="Calibri" w:cs="Calibri" w:eastAsia="Calibri" w:hAnsi="Calibri"/>
          <w:b/>
          <w:bCs/>
          <w:color w:val="000000"/>
          <w:sz w:val="20"/>
          <w:szCs w:val="20"/>
        </w:rPr>
        <w:t xml:space="preserve">Tax Return (Declaração de Imposto de Renda) — </w:t>
      </w:r>
      <w:r>
        <w:rPr>
          <w:rFonts w:ascii="Calibri" w:cs="Calibri" w:eastAsia="Calibri" w:hAnsi="Calibri"/>
          <w:b/>
          <w:bCs/>
          <w:color w:val="000000"/>
          <w:sz w:val="20"/>
          <w:szCs w:val="20"/>
        </w:rPr>
        <w:t xml:space="preserve">USD 1,500</w:t>
      </w:r>
    </w:p>
    <w:p>
      <w:pPr>
        <w:spacing w:after="120" w:before="60"/>
      </w:pPr>
      <w:r>
        <w:rPr>
          <w:rFonts w:ascii="Consolas" w:cs="Consolas" w:eastAsia="Consolas" w:hAnsi="Consolas"/>
          <w:color w:val="2E6DA4"/>
          <w:sz w:val="18"/>
          <w:szCs w:val="18"/>
        </w:rPr>
        <w:t xml:space="preserve">tr</w:t>
      </w:r>
    </w:p>
    <w:p>
      <w:pPr>
        <w:pStyle w:val="ListParagraph"/>
        <w:numPr>
          <w:ilvl w:val="0"/>
          <w:numId w:val="2"/>
        </w:numPr>
        <w:spacing w:after="20" w:before="20"/>
      </w:pPr>
      <w:r>
        <w:rPr>
          <w:rFonts w:ascii="Calibri" w:cs="Calibri" w:eastAsia="Calibri" w:hAnsi="Calibri"/>
          <w:color w:val="000000"/>
          <w:sz w:val="20"/>
          <w:szCs w:val="20"/>
        </w:rPr>
        <w:t xml:space="preserve">Lançamentos contábeis com base nos documentos fornecidos (extratos bancários, faturas, contratos, etc.)</w:t>
      </w:r>
    </w:p>
    <w:p>
      <w:pPr>
        <w:pStyle w:val="ListParagraph"/>
        <w:numPr>
          <w:ilvl w:val="0"/>
          <w:numId w:val="2"/>
        </w:numPr>
        <w:spacing w:after="20" w:before="20"/>
      </w:pPr>
      <w:r>
        <w:rPr>
          <w:rFonts w:ascii="Calibri" w:cs="Calibri" w:eastAsia="Calibri" w:hAnsi="Calibri"/>
          <w:color w:val="000000"/>
          <w:sz w:val="20"/>
          <w:szCs w:val="20"/>
        </w:rPr>
        <w:t xml:space="preserve">Entrega e submissão aos órgãos competentes</w:t>
      </w:r>
    </w:p>
    <w:p>
      <w:pPr>
        <w:pStyle w:val="Heading4"/>
        <w:spacing w:after="80" w:before="200"/>
      </w:pPr>
      <w:r>
        <w:rPr>
          <w:rFonts w:ascii="Calibri" w:cs="Calibri" w:eastAsia="Calibri" w:hAnsi="Calibri"/>
          <w:b/>
          <w:bCs/>
          <w:color w:val="000000"/>
          <w:sz w:val="20"/>
          <w:szCs w:val="20"/>
        </w:rPr>
        <w:t xml:space="preserve">Preparação do Annual Financial Return (AFR) — </w:t>
      </w:r>
      <w:r>
        <w:rPr>
          <w:rFonts w:ascii="Calibri" w:cs="Calibri" w:eastAsia="Calibri" w:hAnsi="Calibri"/>
          <w:b/>
          <w:bCs/>
          <w:color w:val="000000"/>
          <w:sz w:val="20"/>
          <w:szCs w:val="20"/>
        </w:rPr>
        <w:t xml:space="preserve">USD 650</w:t>
      </w:r>
    </w:p>
    <w:p>
      <w:pPr>
        <w:spacing w:after="120" w:before="60"/>
      </w:pPr>
      <w:r>
        <w:rPr>
          <w:rFonts w:ascii="Consolas" w:cs="Consolas" w:eastAsia="Consolas" w:hAnsi="Consolas"/>
          <w:color w:val="2E6DA4"/>
          <w:sz w:val="18"/>
          <w:szCs w:val="18"/>
        </w:rPr>
        <w:t xml:space="preserve">afr</w:t>
      </w:r>
    </w:p>
    <w:p>
      <w:pPr>
        <w:pStyle w:val="ListParagraph"/>
        <w:numPr>
          <w:ilvl w:val="0"/>
          <w:numId w:val="2"/>
        </w:numPr>
        <w:spacing w:after="20" w:before="20"/>
      </w:pPr>
      <w:r>
        <w:rPr>
          <w:rFonts w:ascii="Calibri" w:cs="Calibri" w:eastAsia="Calibri" w:hAnsi="Calibri"/>
          <w:color w:val="000000"/>
          <w:sz w:val="20"/>
          <w:szCs w:val="20"/>
        </w:rPr>
        <w:t xml:space="preserve">Annual Financial Return — submissão</w:t>
      </w:r>
    </w:p>
    <w:p>
      <w:pPr>
        <w:pBdr>
          <w:left w:val="single" w:color="B8C6D6" w:sz="14" w:space="10"/>
        </w:pBdr>
        <w:spacing w:after="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Caso o cliente contrate terceiros para a preparação do AFR, a FGC deverá receber até 1º de junho de cada ano: Relatório no formato exigido pelas autoridades de BVI.  </w:t>
      </w:r>
    </w:p>
    <w:p>
      <w:pPr>
        <w:pBdr>
          <w:left w:val="single" w:color="B8C6D6" w:sz="14" w:space="10"/>
        </w:pBdr>
        <w:spacing w:after="160" w:before="0"/>
        <w:ind w:left="340"/>
      </w:pPr>
      <w:r>
        <w:rPr>
          <w:rFonts w:ascii="Calibri" w:cs="Calibri" w:eastAsia="Calibri" w:hAnsi="Calibri"/>
          <w:i/>
          <w:iCs/>
          <w:color w:val="595959"/>
          <w:sz w:val="19"/>
          <w:szCs w:val="19"/>
        </w:rPr>
        <w:t xml:space="preserve">Nessa hipótese, a responsabilidade da FGC será limitada exclusivamente à submissão do AFR. A FGC não assumirá responsabilidade sobre a veracidade, consistência ou validade das informações contábeis fornecidas. O não envio da documentação no prazo poderá resultar em penalidades, sendo o cliente integralmente responsável.</w:t>
      </w:r>
    </w:p>
    <w:p>
      <w:pPr>
        <w:pStyle w:val="Heading4"/>
        <w:spacing w:after="80" w:before="200"/>
      </w:pPr>
      <w:r>
        <w:rPr>
          <w:rFonts w:ascii="Calibri" w:cs="Calibri" w:eastAsia="Calibri" w:hAnsi="Calibri"/>
          <w:b/>
          <w:bCs/>
          <w:color w:val="000000"/>
          <w:sz w:val="20"/>
          <w:szCs w:val="20"/>
        </w:rPr>
        <w:t xml:space="preserve">Financial Statements — Prior Years (Anos Anteriores) — </w:t>
      </w:r>
      <w:r>
        <w:rPr>
          <w:rFonts w:ascii="Calibri" w:cs="Calibri" w:eastAsia="Calibri" w:hAnsi="Calibri"/>
          <w:b/>
          <w:bCs/>
          <w:color w:val="000000"/>
          <w:sz w:val="20"/>
          <w:szCs w:val="20"/>
        </w:rPr>
        <w:t xml:space="preserve">USD 1,400</w:t>
      </w:r>
    </w:p>
    <w:p>
      <w:pPr>
        <w:spacing w:after="120" w:before="60"/>
      </w:pPr>
      <w:r>
        <w:rPr>
          <w:rFonts w:ascii="Consolas" w:cs="Consolas" w:eastAsia="Consolas" w:hAnsi="Consolas"/>
          <w:color w:val="2E6DA4"/>
          <w:sz w:val="18"/>
          <w:szCs w:val="18"/>
        </w:rPr>
        <w:t xml:space="preserve">fsAnterior</w:t>
      </w:r>
    </w:p>
    <w:p>
      <w:pPr>
        <w:pStyle w:val="ListParagraph"/>
        <w:numPr>
          <w:ilvl w:val="0"/>
          <w:numId w:val="2"/>
        </w:numPr>
        <w:spacing w:after="20" w:before="20"/>
      </w:pPr>
      <w:r>
        <w:rPr>
          <w:rFonts w:ascii="Calibri" w:cs="Calibri" w:eastAsia="Calibri" w:hAnsi="Calibri"/>
          <w:color w:val="000000"/>
          <w:sz w:val="20"/>
          <w:szCs w:val="20"/>
        </w:rPr>
        <w:t xml:space="preserve">Demonstrações Financeiras referentes a exercícios fiscais anteriores</w:t>
      </w:r>
    </w:p>
    <w:p>
      <w:pPr>
        <w:pStyle w:val="ListParagraph"/>
        <w:numPr>
          <w:ilvl w:val="0"/>
          <w:numId w:val="2"/>
        </w:numPr>
        <w:spacing w:after="20" w:before="20"/>
      </w:pPr>
      <w:r>
        <w:rPr>
          <w:rFonts w:ascii="Calibri" w:cs="Calibri" w:eastAsia="Calibri" w:hAnsi="Calibri"/>
          <w:color w:val="000000"/>
          <w:sz w:val="20"/>
          <w:szCs w:val="20"/>
        </w:rPr>
        <w:t xml:space="preserve">Annual Financial Return (AFR) — exercícios anteriores</w:t>
      </w:r>
    </w:p>
    <w:p>
      <w:pPr>
        <w:pStyle w:val="Heading4"/>
        <w:spacing w:after="80" w:before="200"/>
      </w:pPr>
      <w:r>
        <w:rPr>
          <w:rFonts w:ascii="Calibri" w:cs="Calibri" w:eastAsia="Calibri" w:hAnsi="Calibri"/>
          <w:b/>
          <w:bCs/>
          <w:color w:val="000000"/>
          <w:sz w:val="20"/>
          <w:szCs w:val="20"/>
        </w:rPr>
        <w:t xml:space="preserve">Tax Return — Prior Years (Anos Anteriores) — </w:t>
      </w:r>
      <w:r>
        <w:rPr>
          <w:rFonts w:ascii="Calibri" w:cs="Calibri" w:eastAsia="Calibri" w:hAnsi="Calibri"/>
          <w:b/>
          <w:bCs/>
          <w:color w:val="000000"/>
          <w:sz w:val="20"/>
          <w:szCs w:val="20"/>
        </w:rPr>
        <w:t xml:space="preserve">USD 1,500</w:t>
      </w:r>
    </w:p>
    <w:p>
      <w:pPr>
        <w:spacing w:after="120" w:before="60"/>
      </w:pPr>
      <w:r>
        <w:rPr>
          <w:rFonts w:ascii="Consolas" w:cs="Consolas" w:eastAsia="Consolas" w:hAnsi="Consolas"/>
          <w:color w:val="2E6DA4"/>
          <w:sz w:val="18"/>
          <w:szCs w:val="18"/>
        </w:rPr>
        <w:t xml:space="preserve">trAnterior</w:t>
      </w:r>
    </w:p>
    <w:p>
      <w:pPr>
        <w:pStyle w:val="ListParagraph"/>
        <w:numPr>
          <w:ilvl w:val="0"/>
          <w:numId w:val="2"/>
        </w:numPr>
        <w:spacing w:after="20" w:before="20"/>
      </w:pPr>
      <w:r>
        <w:rPr>
          <w:rFonts w:ascii="Calibri" w:cs="Calibri" w:eastAsia="Calibri" w:hAnsi="Calibri"/>
          <w:color w:val="000000"/>
          <w:sz w:val="20"/>
          <w:szCs w:val="20"/>
        </w:rPr>
        <w:t xml:space="preserve">Lançamentos contábeis referentes a exercícios fiscais anteriores, com base nos documentos fornecidos</w:t>
      </w:r>
    </w:p>
    <w:p>
      <w:pPr>
        <w:pStyle w:val="ListParagraph"/>
        <w:numPr>
          <w:ilvl w:val="0"/>
          <w:numId w:val="2"/>
        </w:numPr>
        <w:spacing w:after="20" w:before="20"/>
      </w:pPr>
      <w:r>
        <w:rPr>
          <w:rFonts w:ascii="Calibri" w:cs="Calibri" w:eastAsia="Calibri" w:hAnsi="Calibri"/>
          <w:color w:val="000000"/>
          <w:sz w:val="20"/>
          <w:szCs w:val="20"/>
        </w:rPr>
        <w:t xml:space="preserve">Entrega e submissão dos Tax Returns relativos aos exercícios anteriores aos órgãos competentes</w:t>
      </w:r>
    </w:p>
    <w:p>
      <w:pPr>
        <w:pStyle w:val="Heading4"/>
        <w:spacing w:after="80" w:before="200"/>
      </w:pPr>
      <w:r>
        <w:rPr>
          <w:rFonts w:ascii="Calibri" w:cs="Calibri" w:eastAsia="Calibri" w:hAnsi="Calibri"/>
          <w:b/>
          <w:bCs/>
          <w:color w:val="000000"/>
          <w:sz w:val="20"/>
          <w:szCs w:val="20"/>
        </w:rPr>
        <w:t xml:space="preserve">Demonstrações Financeiras — Elaboradas por Terceiros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fs3rd</w:t>
      </w:r>
    </w:p>
    <w:p>
      <w:pPr>
        <w:pStyle w:val="ListParagraph"/>
        <w:numPr>
          <w:ilvl w:val="0"/>
          <w:numId w:val="2"/>
        </w:numPr>
        <w:spacing w:after="20" w:before="20"/>
      </w:pPr>
      <w:r>
        <w:rPr>
          <w:rFonts w:ascii="Calibri" w:cs="Calibri" w:eastAsia="Calibri" w:hAnsi="Calibri"/>
          <w:color w:val="000000"/>
          <w:sz w:val="20"/>
          <w:szCs w:val="20"/>
        </w:rPr>
        <w:t xml:space="preserve">Para as demonstrações financeiras preparadas por terceiros, o cliente deverá encaminhar à FGC, até o dia 1º de junho de cada ano, a documentação necessária para a submissão do AFR.</w:t>
      </w:r>
    </w:p>
    <w:p>
      <w:pPr>
        <w:pStyle w:val="ListParagraph"/>
        <w:numPr>
          <w:ilvl w:val="0"/>
          <w:numId w:val="2"/>
        </w:numPr>
        <w:spacing w:after="20" w:before="20"/>
      </w:pPr>
      <w:r>
        <w:rPr>
          <w:rFonts w:ascii="Calibri" w:cs="Calibri" w:eastAsia="Calibri" w:hAnsi="Calibri"/>
          <w:color w:val="000000"/>
          <w:sz w:val="20"/>
          <w:szCs w:val="20"/>
        </w:rPr>
        <w:t xml:space="preserve">Nessa hipótese, a FGC atuará exclusivamente na função de submissão do AFR, sem qualquer responsabilidade sobre a veracidade, consistência ou validade das informações contábeis fornecidas.</w:t>
      </w:r>
    </w:p>
    <w:p>
      <w:pPr>
        <w:pStyle w:val="ListParagraph"/>
        <w:numPr>
          <w:ilvl w:val="0"/>
          <w:numId w:val="2"/>
        </w:numPr>
        <w:spacing w:after="20" w:before="20"/>
      </w:pPr>
      <w:r>
        <w:rPr>
          <w:rFonts w:ascii="Calibri" w:cs="Calibri" w:eastAsia="Calibri" w:hAnsi="Calibri"/>
          <w:color w:val="000000"/>
          <w:sz w:val="20"/>
          <w:szCs w:val="20"/>
        </w:rPr>
        <w:t xml:space="preserve">O não envio da documentação no prazo informado poderá resultar em penalidades por parte das autoridades locais, sendo o cliente integralmente responsável por tais consequências. A FGC estará isenta de qualquer obrigação ou responsabilidade decorrente da não entrega ou entrega incompleta.</w:t>
      </w:r>
    </w:p>
    <w:p>
      <w:pPr>
        <w:pStyle w:val="Heading4"/>
        <w:spacing w:after="80" w:before="200"/>
      </w:pPr>
      <w:r>
        <w:rPr>
          <w:rFonts w:ascii="Calibri" w:cs="Calibri" w:eastAsia="Calibri" w:hAnsi="Calibri"/>
          <w:b/>
          <w:bCs/>
          <w:color w:val="000000"/>
          <w:sz w:val="20"/>
          <w:szCs w:val="20"/>
        </w:rPr>
        <w:t xml:space="preserve">Tax Return — Elaborado por Terceiros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tr3rd</w:t>
      </w:r>
    </w:p>
    <w:p>
      <w:pPr>
        <w:pStyle w:val="ListParagraph"/>
        <w:numPr>
          <w:ilvl w:val="0"/>
          <w:numId w:val="2"/>
        </w:numPr>
        <w:spacing w:after="20" w:before="20"/>
      </w:pPr>
      <w:r>
        <w:rPr>
          <w:rFonts w:ascii="Calibri" w:cs="Calibri" w:eastAsia="Calibri" w:hAnsi="Calibri"/>
          <w:color w:val="000000"/>
          <w:sz w:val="20"/>
          <w:szCs w:val="20"/>
        </w:rPr>
        <w:t xml:space="preserve">Para o Tax Return preparado por terceiros, o cliente deverá encaminhar à FGC, até o dia 15 de março de cada ano, a documentação necessária para a submissão.</w:t>
      </w:r>
    </w:p>
    <w:p>
      <w:pPr>
        <w:pStyle w:val="ListParagraph"/>
        <w:numPr>
          <w:ilvl w:val="0"/>
          <w:numId w:val="2"/>
        </w:numPr>
        <w:spacing w:after="20" w:before="20"/>
      </w:pPr>
      <w:r>
        <w:rPr>
          <w:rFonts w:ascii="Calibri" w:cs="Calibri" w:eastAsia="Calibri" w:hAnsi="Calibri"/>
          <w:color w:val="000000"/>
          <w:sz w:val="20"/>
          <w:szCs w:val="20"/>
        </w:rPr>
        <w:t xml:space="preserve">Nessa hipótese, a FGC atuará exclusivamente na função de submissão do Tax Return, sem qualquer responsabilidade sobre a veracidade, consistência ou validade das informações fornecidas.</w:t>
      </w:r>
    </w:p>
    <w:p>
      <w:pPr>
        <w:pStyle w:val="ListParagraph"/>
        <w:numPr>
          <w:ilvl w:val="0"/>
          <w:numId w:val="2"/>
        </w:numPr>
        <w:spacing w:after="20" w:before="20"/>
      </w:pPr>
      <w:r>
        <w:rPr>
          <w:rFonts w:ascii="Calibri" w:cs="Calibri" w:eastAsia="Calibri" w:hAnsi="Calibri"/>
          <w:color w:val="000000"/>
          <w:sz w:val="20"/>
          <w:szCs w:val="20"/>
        </w:rPr>
        <w:t xml:space="preserve">O não envio da documentação no prazo informado poderá resultar em penalidades por parte das autoridades competentes, sendo o cliente integralmente responsável por tais consequências. A FGC estará isenta de qualquer obrigação ou responsabilidade decorrente da não entrega ou entrega incompleta.</w:t>
      </w:r>
    </w:p>
    <w:p>
      <w:pPr>
        <w:pStyle w:val="Heading4"/>
        <w:spacing w:after="80" w:before="200"/>
      </w:pPr>
      <w:r>
        <w:rPr>
          <w:rFonts w:ascii="Calibri" w:cs="Calibri" w:eastAsia="Calibri" w:hAnsi="Calibri"/>
          <w:b/>
          <w:bCs/>
          <w:color w:val="000000"/>
          <w:sz w:val="20"/>
          <w:szCs w:val="20"/>
        </w:rPr>
        <w:t xml:space="preserve">Transferência — FS ano corrente / Tax Return ano corrente</w:t>
      </w:r>
    </w:p>
    <w:p>
      <w:pPr>
        <w:pStyle w:val="ListParagraph"/>
        <w:numPr>
          <w:ilvl w:val="0"/>
          <w:numId w:val="2"/>
        </w:numPr>
        <w:spacing w:after="20" w:before="20"/>
      </w:pPr>
      <w:r>
        <w:rPr>
          <w:rFonts w:ascii="Calibri" w:cs="Calibri" w:eastAsia="Calibri" w:hAnsi="Calibri"/>
          <w:color w:val="000000"/>
          <w:sz w:val="20"/>
          <w:szCs w:val="20"/>
        </w:rPr>
        <w:t xml:space="preserve">Financial Statements (em transferência): </w:t>
      </w:r>
      <w:r>
        <w:rPr>
          <w:rFonts w:ascii="Calibri" w:cs="Calibri" w:eastAsia="Calibri" w:hAnsi="Calibri"/>
          <w:b/>
          <w:bCs/>
          <w:color w:val="000000"/>
          <w:sz w:val="20"/>
          <w:szCs w:val="20"/>
        </w:rPr>
        <w:t xml:space="preserve">USD 1,400</w:t>
      </w:r>
    </w:p>
    <w:p>
      <w:pPr>
        <w:pStyle w:val="ListParagraph"/>
        <w:numPr>
          <w:ilvl w:val="0"/>
          <w:numId w:val="2"/>
        </w:numPr>
        <w:spacing w:after="20" w:before="20"/>
      </w:pPr>
      <w:r>
        <w:rPr>
          <w:rFonts w:ascii="Calibri" w:cs="Calibri" w:eastAsia="Calibri" w:hAnsi="Calibri"/>
          <w:color w:val="000000"/>
          <w:sz w:val="20"/>
          <w:szCs w:val="20"/>
        </w:rPr>
        <w:t xml:space="preserve">Tax Return (em transferência): </w:t>
      </w:r>
      <w:r>
        <w:rPr>
          <w:rFonts w:ascii="Calibri" w:cs="Calibri" w:eastAsia="Calibri" w:hAnsi="Calibri"/>
          <w:b/>
          <w:bCs/>
          <w:color w:val="000000"/>
          <w:sz w:val="20"/>
          <w:szCs w:val="20"/>
        </w:rPr>
        <w:t xml:space="preserve">USD 1,500</w:t>
      </w:r>
    </w:p>
    <w:p>
      <w:pPr>
        <w:pStyle w:val="Heading2"/>
        <w:spacing w:after="140" w:before="340"/>
      </w:pPr>
      <w:r>
        <w:rPr>
          <w:rFonts w:ascii="Calibri" w:cs="Calibri" w:eastAsia="Calibri" w:hAnsi="Calibri"/>
          <w:b/>
          <w:bCs/>
          <w:color w:val="1F3A5F"/>
          <w:sz w:val="26"/>
          <w:szCs w:val="26"/>
        </w:rPr>
        <w:t xml:space="preserve">7. Dissolução (standalone)</w:t>
      </w:r>
    </w:p>
    <w:p>
      <w:pPr>
        <w:pStyle w:val="Heading4"/>
        <w:spacing w:after="80" w:before="200"/>
      </w:pPr>
      <w:r>
        <w:rPr>
          <w:rFonts w:ascii="Calibri" w:cs="Calibri" w:eastAsia="Calibri" w:hAnsi="Calibri"/>
          <w:b/>
          <w:bCs/>
          <w:color w:val="000000"/>
          <w:sz w:val="20"/>
          <w:szCs w:val="20"/>
        </w:rPr>
        <w:t xml:space="preserve">Dissolução BVI — </w:t>
      </w:r>
      <w:r>
        <w:rPr>
          <w:rFonts w:ascii="Calibri" w:cs="Calibri" w:eastAsia="Calibri" w:hAnsi="Calibri"/>
          <w:b/>
          <w:bCs/>
          <w:color w:val="000000"/>
          <w:sz w:val="20"/>
          <w:szCs w:val="20"/>
        </w:rPr>
        <w:t xml:space="preserve">USD 5,500</w:t>
      </w:r>
    </w:p>
    <w:p>
      <w:pPr>
        <w:spacing w:after="120" w:before="60"/>
      </w:pPr>
      <w:r>
        <w:rPr>
          <w:rFonts w:ascii="Consolas" w:cs="Consolas" w:eastAsia="Consolas" w:hAnsi="Consolas"/>
          <w:color w:val="2E6DA4"/>
          <w:sz w:val="18"/>
          <w:szCs w:val="18"/>
        </w:rPr>
        <w:t xml:space="preserve">dissolucaoBVI</w:t>
      </w:r>
    </w:p>
    <w:p>
      <w:pPr>
        <w:pStyle w:val="ListParagraph"/>
        <w:numPr>
          <w:ilvl w:val="0"/>
          <w:numId w:val="2"/>
        </w:numPr>
        <w:spacing w:after="20" w:before="20"/>
      </w:pPr>
      <w:r>
        <w:rPr>
          <w:rFonts w:ascii="Calibri" w:cs="Calibri" w:eastAsia="Calibri" w:hAnsi="Calibri"/>
          <w:color w:val="000000"/>
          <w:sz w:val="20"/>
          <w:szCs w:val="20"/>
        </w:rPr>
        <w:t xml:space="preserve">Formalização de todos os documentos necessários para a dissolução da empresa junto ao Registro de BVI (BVI Registry of Corporate Affairs)</w:t>
      </w:r>
    </w:p>
    <w:p>
      <w:pPr>
        <w:pStyle w:val="ListParagraph"/>
        <w:numPr>
          <w:ilvl w:val="0"/>
          <w:numId w:val="2"/>
        </w:numPr>
        <w:spacing w:after="20" w:before="20"/>
      </w:pPr>
      <w:r>
        <w:rPr>
          <w:rFonts w:ascii="Calibri" w:cs="Calibri" w:eastAsia="Calibri" w:hAnsi="Calibri"/>
          <w:color w:val="000000"/>
          <w:sz w:val="20"/>
          <w:szCs w:val="20"/>
        </w:rPr>
        <w:t xml:space="preserve">Cancelamento do registro da empresa perante as autoridades locais de BVI</w:t>
      </w:r>
    </w:p>
    <w:p>
      <w:pPr>
        <w:pStyle w:val="ListParagraph"/>
        <w:numPr>
          <w:ilvl w:val="0"/>
          <w:numId w:val="2"/>
        </w:numPr>
        <w:spacing w:after="20" w:before="20"/>
      </w:pPr>
      <w:r>
        <w:rPr>
          <w:rFonts w:ascii="Calibri" w:cs="Calibri" w:eastAsia="Calibri" w:hAnsi="Calibri"/>
          <w:color w:val="000000"/>
          <w:sz w:val="20"/>
          <w:szCs w:val="20"/>
        </w:rPr>
        <w:t xml:space="preserve">Coordenação com o agente registrado local para os procedimentos de encerramento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dissolução está condicionada à regularidade da empresa junto às autoridades locais, incluindo pagamento de taxas governamentais em aberto e entrega de todos os documentos exigidos. A FGC não se responsabiliza por eventuais penalidades decorrentes de obrigações pendentes anteriores ao início do processo de dissolução.</w:t>
      </w:r>
    </w:p>
    <w:p>
      <w:pPr>
        <w:pStyle w:val="Heading4"/>
        <w:spacing w:after="80" w:before="200"/>
      </w:pPr>
      <w:r>
        <w:rPr>
          <w:rFonts w:ascii="Calibri" w:cs="Calibri" w:eastAsia="Calibri" w:hAnsi="Calibri"/>
          <w:b/>
          <w:bCs/>
          <w:color w:val="000000"/>
          <w:sz w:val="20"/>
          <w:szCs w:val="20"/>
        </w:rPr>
        <w:t xml:space="preserve">Dissolução Bahamas — </w:t>
      </w:r>
      <w:r>
        <w:rPr>
          <w:rFonts w:ascii="Calibri" w:cs="Calibri" w:eastAsia="Calibri" w:hAnsi="Calibri"/>
          <w:b/>
          <w:bCs/>
          <w:color w:val="000000"/>
          <w:sz w:val="20"/>
          <w:szCs w:val="20"/>
        </w:rPr>
        <w:t xml:space="preserve">USD 2,500</w:t>
      </w:r>
    </w:p>
    <w:p>
      <w:pPr>
        <w:spacing w:after="120" w:before="60"/>
      </w:pPr>
      <w:r>
        <w:rPr>
          <w:rFonts w:ascii="Consolas" w:cs="Consolas" w:eastAsia="Consolas" w:hAnsi="Consolas"/>
          <w:color w:val="2E6DA4"/>
          <w:sz w:val="18"/>
          <w:szCs w:val="18"/>
        </w:rPr>
        <w:t xml:space="preserve">dissolucaoBahamas</w:t>
      </w:r>
    </w:p>
    <w:p>
      <w:pPr>
        <w:pStyle w:val="ListParagraph"/>
        <w:numPr>
          <w:ilvl w:val="0"/>
          <w:numId w:val="2"/>
        </w:numPr>
        <w:spacing w:after="20" w:before="20"/>
      </w:pPr>
      <w:r>
        <w:rPr>
          <w:rFonts w:ascii="Calibri" w:cs="Calibri" w:eastAsia="Calibri" w:hAnsi="Calibri"/>
          <w:color w:val="000000"/>
          <w:sz w:val="20"/>
          <w:szCs w:val="20"/>
        </w:rPr>
        <w:t xml:space="preserve">Formalização de todos os documentos necessários para a dissolução da empresa junto ao Registro de Bahamas</w:t>
      </w:r>
    </w:p>
    <w:p>
      <w:pPr>
        <w:pStyle w:val="ListParagraph"/>
        <w:numPr>
          <w:ilvl w:val="0"/>
          <w:numId w:val="2"/>
        </w:numPr>
        <w:spacing w:after="20" w:before="20"/>
      </w:pPr>
      <w:r>
        <w:rPr>
          <w:rFonts w:ascii="Calibri" w:cs="Calibri" w:eastAsia="Calibri" w:hAnsi="Calibri"/>
          <w:color w:val="000000"/>
          <w:sz w:val="20"/>
          <w:szCs w:val="20"/>
        </w:rPr>
        <w:t xml:space="preserve">Cancelamento do registro da empresa perante as autoridades locais</w:t>
      </w:r>
    </w:p>
    <w:p>
      <w:pPr>
        <w:pStyle w:val="ListParagraph"/>
        <w:numPr>
          <w:ilvl w:val="0"/>
          <w:numId w:val="2"/>
        </w:numPr>
        <w:spacing w:after="20" w:before="20"/>
      </w:pPr>
      <w:r>
        <w:rPr>
          <w:rFonts w:ascii="Calibri" w:cs="Calibri" w:eastAsia="Calibri" w:hAnsi="Calibri"/>
          <w:color w:val="000000"/>
          <w:sz w:val="20"/>
          <w:szCs w:val="20"/>
        </w:rPr>
        <w:t xml:space="preserve">Coordenação com o agente registrado local para os procedimentos de encerramento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dissolução está condicionada à regularidade da empresa junto às autoridades locais, incluindo pagamento de taxas governamentais em aberto e entrega de todos os documentos exigidos.</w:t>
      </w:r>
    </w:p>
    <w:p>
      <w:pPr>
        <w:pStyle w:val="Heading4"/>
        <w:spacing w:after="80" w:before="200"/>
      </w:pPr>
      <w:r>
        <w:rPr>
          <w:rFonts w:ascii="Calibri" w:cs="Calibri" w:eastAsia="Calibri" w:hAnsi="Calibri"/>
          <w:b/>
          <w:bCs/>
          <w:color w:val="000000"/>
          <w:sz w:val="20"/>
          <w:szCs w:val="20"/>
        </w:rPr>
        <w:t xml:space="preserve">Dissolução Cayman — </w:t>
      </w:r>
      <w:r>
        <w:rPr>
          <w:rFonts w:ascii="Calibri" w:cs="Calibri" w:eastAsia="Calibri" w:hAnsi="Calibri"/>
          <w:b/>
          <w:bCs/>
          <w:color w:val="000000"/>
          <w:sz w:val="20"/>
          <w:szCs w:val="20"/>
        </w:rPr>
        <w:t xml:space="preserve">USD 2,500</w:t>
      </w:r>
    </w:p>
    <w:p>
      <w:pPr>
        <w:spacing w:after="120" w:before="60"/>
      </w:pPr>
      <w:r>
        <w:rPr>
          <w:rFonts w:ascii="Consolas" w:cs="Consolas" w:eastAsia="Consolas" w:hAnsi="Consolas"/>
          <w:color w:val="2E6DA4"/>
          <w:sz w:val="18"/>
          <w:szCs w:val="18"/>
        </w:rPr>
        <w:t xml:space="preserve">dissolucaoCayman</w:t>
      </w:r>
    </w:p>
    <w:p>
      <w:pPr>
        <w:pStyle w:val="ListParagraph"/>
        <w:numPr>
          <w:ilvl w:val="0"/>
          <w:numId w:val="2"/>
        </w:numPr>
        <w:spacing w:after="20" w:before="20"/>
      </w:pPr>
      <w:r>
        <w:rPr>
          <w:rFonts w:ascii="Calibri" w:cs="Calibri" w:eastAsia="Calibri" w:hAnsi="Calibri"/>
          <w:color w:val="000000"/>
          <w:sz w:val="20"/>
          <w:szCs w:val="20"/>
        </w:rPr>
        <w:t xml:space="preserve">Formalização de todos os documentos necessários para a dissolução da empresa junto ao Registro de Cayman</w:t>
      </w:r>
    </w:p>
    <w:p>
      <w:pPr>
        <w:pStyle w:val="ListParagraph"/>
        <w:numPr>
          <w:ilvl w:val="0"/>
          <w:numId w:val="2"/>
        </w:numPr>
        <w:spacing w:after="20" w:before="20"/>
      </w:pPr>
      <w:r>
        <w:rPr>
          <w:rFonts w:ascii="Calibri" w:cs="Calibri" w:eastAsia="Calibri" w:hAnsi="Calibri"/>
          <w:color w:val="000000"/>
          <w:sz w:val="20"/>
          <w:szCs w:val="20"/>
        </w:rPr>
        <w:t xml:space="preserve">Cancelamento do registro da empresa perante as autoridades locais</w:t>
      </w:r>
    </w:p>
    <w:p>
      <w:pPr>
        <w:pStyle w:val="ListParagraph"/>
        <w:numPr>
          <w:ilvl w:val="0"/>
          <w:numId w:val="2"/>
        </w:numPr>
        <w:spacing w:after="20" w:before="20"/>
      </w:pPr>
      <w:r>
        <w:rPr>
          <w:rFonts w:ascii="Calibri" w:cs="Calibri" w:eastAsia="Calibri" w:hAnsi="Calibri"/>
          <w:color w:val="000000"/>
          <w:sz w:val="20"/>
          <w:szCs w:val="20"/>
        </w:rPr>
        <w:t xml:space="preserve">Coordenação com o agente registrado local para os procedimentos de encerramento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dissolução está condicionada à regularidade da empresa junto às autoridades locais, incluindo pagamento de taxas governamentais em aberto e entrega de todos os documentos exigidos.</w:t>
      </w:r>
    </w:p>
    <w:p>
      <w:pPr>
        <w:pStyle w:val="Heading4"/>
        <w:spacing w:after="80" w:before="200"/>
      </w:pPr>
      <w:r>
        <w:rPr>
          <w:rFonts w:ascii="Calibri" w:cs="Calibri" w:eastAsia="Calibri" w:hAnsi="Calibri"/>
          <w:b/>
          <w:bCs/>
          <w:color w:val="000000"/>
          <w:sz w:val="20"/>
          <w:szCs w:val="20"/>
        </w:rPr>
        <w:t xml:space="preserve">Dissolução Nevis — </w:t>
      </w:r>
      <w:r>
        <w:rPr>
          <w:rFonts w:ascii="Calibri" w:cs="Calibri" w:eastAsia="Calibri" w:hAnsi="Calibri"/>
          <w:b/>
          <w:bCs/>
          <w:color w:val="000000"/>
          <w:sz w:val="20"/>
          <w:szCs w:val="20"/>
        </w:rPr>
        <w:t xml:space="preserve">USD 2,500</w:t>
      </w:r>
    </w:p>
    <w:p>
      <w:pPr>
        <w:spacing w:after="120" w:before="60"/>
      </w:pPr>
      <w:r>
        <w:rPr>
          <w:rFonts w:ascii="Consolas" w:cs="Consolas" w:eastAsia="Consolas" w:hAnsi="Consolas"/>
          <w:color w:val="2E6DA4"/>
          <w:sz w:val="18"/>
          <w:szCs w:val="18"/>
        </w:rPr>
        <w:t xml:space="preserve">dissolucaoNevis</w:t>
      </w:r>
    </w:p>
    <w:p>
      <w:pPr>
        <w:pStyle w:val="ListParagraph"/>
        <w:numPr>
          <w:ilvl w:val="0"/>
          <w:numId w:val="2"/>
        </w:numPr>
        <w:spacing w:after="20" w:before="20"/>
      </w:pPr>
      <w:r>
        <w:rPr>
          <w:rFonts w:ascii="Calibri" w:cs="Calibri" w:eastAsia="Calibri" w:hAnsi="Calibri"/>
          <w:color w:val="000000"/>
          <w:sz w:val="20"/>
          <w:szCs w:val="20"/>
        </w:rPr>
        <w:t xml:space="preserve">Formalização de todos os documentos necessários para a dissolução da empresa junto ao Registro de Nevis</w:t>
      </w:r>
    </w:p>
    <w:p>
      <w:pPr>
        <w:pStyle w:val="ListParagraph"/>
        <w:numPr>
          <w:ilvl w:val="0"/>
          <w:numId w:val="2"/>
        </w:numPr>
        <w:spacing w:after="20" w:before="20"/>
      </w:pPr>
      <w:r>
        <w:rPr>
          <w:rFonts w:ascii="Calibri" w:cs="Calibri" w:eastAsia="Calibri" w:hAnsi="Calibri"/>
          <w:color w:val="000000"/>
          <w:sz w:val="20"/>
          <w:szCs w:val="20"/>
        </w:rPr>
        <w:t xml:space="preserve">Cancelamento do registro da empresa perante as autoridades locais</w:t>
      </w:r>
    </w:p>
    <w:p>
      <w:pPr>
        <w:pStyle w:val="ListParagraph"/>
        <w:numPr>
          <w:ilvl w:val="0"/>
          <w:numId w:val="2"/>
        </w:numPr>
        <w:spacing w:after="20" w:before="20"/>
      </w:pPr>
      <w:r>
        <w:rPr>
          <w:rFonts w:ascii="Calibri" w:cs="Calibri" w:eastAsia="Calibri" w:hAnsi="Calibri"/>
          <w:color w:val="000000"/>
          <w:sz w:val="20"/>
          <w:szCs w:val="20"/>
        </w:rPr>
        <w:t xml:space="preserve">Coordenação com o agente registrado local para os procedimentos de encerramento</w:t>
      </w:r>
    </w:p>
    <w:p>
      <w:pPr>
        <w:pBdr>
          <w:left w:val="single" w:color="B8C6D6" w:sz="14" w:space="10"/>
        </w:pBdr>
        <w:spacing w:after="160" w:before="120"/>
        <w:ind w:left="340"/>
      </w:pPr>
      <w:r>
        <w:rPr>
          <w:rFonts w:ascii="Calibri" w:cs="Calibri" w:eastAsia="Calibri" w:hAnsi="Calibri"/>
          <w:b/>
          <w:bCs/>
          <w:i/>
          <w:iCs/>
          <w:color w:val="595959"/>
          <w:sz w:val="19"/>
          <w:szCs w:val="19"/>
        </w:rPr>
        <w:t xml:space="preserve">Nota:</w:t>
      </w:r>
      <w:r>
        <w:rPr>
          <w:rFonts w:ascii="Calibri" w:cs="Calibri" w:eastAsia="Calibri" w:hAnsi="Calibri"/>
          <w:i/>
          <w:iCs/>
          <w:color w:val="595959"/>
          <w:sz w:val="19"/>
          <w:szCs w:val="19"/>
        </w:rPr>
        <w:t xml:space="preserve"> A dissolução está condicionada à regularidade da empresa junto às autoridades locais, incluindo pagamento de taxas governamentais em aberto e entrega de todos os documentos exigidos.</w:t>
      </w:r>
    </w:p>
    <w:p>
      <w:pPr>
        <w:pStyle w:val="Heading4"/>
        <w:spacing w:after="80" w:before="200"/>
      </w:pPr>
      <w:r>
        <w:rPr>
          <w:rFonts w:ascii="Calibri" w:cs="Calibri" w:eastAsia="Calibri" w:hAnsi="Calibri"/>
          <w:b/>
          <w:bCs/>
          <w:color w:val="000000"/>
          <w:sz w:val="20"/>
          <w:szCs w:val="20"/>
        </w:rPr>
        <w:t xml:space="preserve">Dissolução Florida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dissolucaoFL</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da Florida</w:t>
      </w:r>
    </w:p>
    <w:p>
      <w:pPr>
        <w:pStyle w:val="Heading4"/>
        <w:spacing w:after="80" w:before="200"/>
      </w:pPr>
      <w:r>
        <w:rPr>
          <w:rFonts w:ascii="Calibri" w:cs="Calibri" w:eastAsia="Calibri" w:hAnsi="Calibri"/>
          <w:b/>
          <w:bCs/>
          <w:color w:val="000000"/>
          <w:sz w:val="20"/>
          <w:szCs w:val="20"/>
        </w:rPr>
        <w:t xml:space="preserve">Dissolução Delaware LLC — </w:t>
      </w:r>
      <w:r>
        <w:rPr>
          <w:rFonts w:ascii="Calibri" w:cs="Calibri" w:eastAsia="Calibri" w:hAnsi="Calibri"/>
          <w:b/>
          <w:bCs/>
          <w:color w:val="000000"/>
          <w:sz w:val="20"/>
          <w:szCs w:val="20"/>
        </w:rPr>
        <w:t xml:space="preserve">USD 2,000</w:t>
      </w:r>
    </w:p>
    <w:p>
      <w:pPr>
        <w:spacing w:after="120" w:before="60"/>
      </w:pPr>
      <w:r>
        <w:rPr>
          <w:rFonts w:ascii="Consolas" w:cs="Consolas" w:eastAsia="Consolas" w:hAnsi="Consolas"/>
          <w:color w:val="2E6DA4"/>
          <w:sz w:val="18"/>
          <w:szCs w:val="18"/>
        </w:rPr>
        <w:t xml:space="preserve">dissolucaoDE</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Delaware</w:t>
      </w:r>
    </w:p>
    <w:p>
      <w:pPr>
        <w:pStyle w:val="Heading4"/>
        <w:spacing w:after="80" w:before="200"/>
      </w:pPr>
      <w:r>
        <w:rPr>
          <w:rFonts w:ascii="Calibri" w:cs="Calibri" w:eastAsia="Calibri" w:hAnsi="Calibri"/>
          <w:b/>
          <w:bCs/>
          <w:color w:val="000000"/>
          <w:sz w:val="20"/>
          <w:szCs w:val="20"/>
        </w:rPr>
        <w:t xml:space="preserve">Dissolução New York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dissolucaoNY</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New York</w:t>
      </w:r>
    </w:p>
    <w:p>
      <w:pPr>
        <w:pStyle w:val="Heading4"/>
        <w:spacing w:after="80" w:before="200"/>
      </w:pPr>
      <w:r>
        <w:rPr>
          <w:rFonts w:ascii="Calibri" w:cs="Calibri" w:eastAsia="Calibri" w:hAnsi="Calibri"/>
          <w:b/>
          <w:bCs/>
          <w:color w:val="000000"/>
          <w:sz w:val="20"/>
          <w:szCs w:val="20"/>
        </w:rPr>
        <w:t xml:space="preserve">Dissolução South Dakota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dissolucaoSD</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South Dakota</w:t>
      </w:r>
    </w:p>
    <w:p>
      <w:pPr>
        <w:pStyle w:val="Heading4"/>
        <w:spacing w:after="80" w:before="200"/>
      </w:pPr>
      <w:r>
        <w:rPr>
          <w:rFonts w:ascii="Calibri" w:cs="Calibri" w:eastAsia="Calibri" w:hAnsi="Calibri"/>
          <w:b/>
          <w:bCs/>
          <w:color w:val="000000"/>
          <w:sz w:val="20"/>
          <w:szCs w:val="20"/>
        </w:rPr>
        <w:t xml:space="preserve">Dissolução Wisconsin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dissolucaoWI</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Wisconsin</w:t>
      </w:r>
    </w:p>
    <w:p>
      <w:pPr>
        <w:pStyle w:val="Heading4"/>
        <w:spacing w:after="80" w:before="200"/>
      </w:pPr>
      <w:r>
        <w:rPr>
          <w:rFonts w:ascii="Calibri" w:cs="Calibri" w:eastAsia="Calibri" w:hAnsi="Calibri"/>
          <w:b/>
          <w:bCs/>
          <w:color w:val="000000"/>
          <w:sz w:val="20"/>
          <w:szCs w:val="20"/>
        </w:rPr>
        <w:t xml:space="preserve">Dissolução Minnesota LLC — </w:t>
      </w:r>
      <w:r>
        <w:rPr>
          <w:rFonts w:ascii="Calibri" w:cs="Calibri" w:eastAsia="Calibri" w:hAnsi="Calibri"/>
          <w:b/>
          <w:bCs/>
          <w:color w:val="000000"/>
          <w:sz w:val="20"/>
          <w:szCs w:val="20"/>
        </w:rPr>
        <w:t xml:space="preserve">USD 800</w:t>
      </w:r>
    </w:p>
    <w:p>
      <w:pPr>
        <w:spacing w:after="120" w:before="60"/>
      </w:pPr>
      <w:r>
        <w:rPr>
          <w:rFonts w:ascii="Consolas" w:cs="Consolas" w:eastAsia="Consolas" w:hAnsi="Consolas"/>
          <w:color w:val="2E6DA4"/>
          <w:sz w:val="18"/>
          <w:szCs w:val="18"/>
        </w:rPr>
        <w:t xml:space="preserve">dissolucaoMN</w:t>
      </w:r>
    </w:p>
    <w:p>
      <w:pPr>
        <w:pStyle w:val="ListParagraph"/>
        <w:numPr>
          <w:ilvl w:val="0"/>
          <w:numId w:val="2"/>
        </w:numPr>
        <w:spacing w:after="20" w:before="20"/>
      </w:pPr>
      <w:r>
        <w:rPr>
          <w:rFonts w:ascii="Calibri" w:cs="Calibri" w:eastAsia="Calibri" w:hAnsi="Calibri"/>
          <w:color w:val="000000"/>
          <w:sz w:val="20"/>
          <w:szCs w:val="20"/>
        </w:rPr>
        <w:t xml:space="preserve">Formalização da dissolução perante o Departamento de Estado de Minnesota</w:t>
      </w:r>
    </w:p>
    <w:p>
      <w:pPr>
        <w:pStyle w:val="Heading4"/>
        <w:spacing w:after="80" w:before="200"/>
      </w:pPr>
      <w:r>
        <w:rPr>
          <w:rFonts w:ascii="Calibri" w:cs="Calibri" w:eastAsia="Calibri" w:hAnsi="Calibri"/>
          <w:b/>
          <w:bCs/>
          <w:color w:val="000000"/>
          <w:sz w:val="20"/>
          <w:szCs w:val="20"/>
        </w:rPr>
        <w:t xml:space="preserve">Tax Return Final (FL LLC) — </w:t>
      </w:r>
      <w:r>
        <w:rPr>
          <w:rFonts w:ascii="Calibri" w:cs="Calibri" w:eastAsia="Calibri" w:hAnsi="Calibri"/>
          <w:b/>
          <w:bCs/>
          <w:color w:val="000000"/>
          <w:sz w:val="20"/>
          <w:szCs w:val="20"/>
        </w:rPr>
        <w:t xml:space="preserve">USD 1,500</w:t>
      </w:r>
    </w:p>
    <w:p>
      <w:pPr>
        <w:spacing w:after="120" w:before="60"/>
      </w:pPr>
      <w:r>
        <w:rPr>
          <w:rFonts w:ascii="Consolas" w:cs="Consolas" w:eastAsia="Consolas" w:hAnsi="Consolas"/>
          <w:color w:val="2E6DA4"/>
          <w:sz w:val="18"/>
          <w:szCs w:val="18"/>
        </w:rPr>
        <w:t xml:space="preserve">dissolucaoFLTR</w:t>
      </w:r>
    </w:p>
    <w:p>
      <w:pPr>
        <w:pStyle w:val="ListParagraph"/>
        <w:numPr>
          <w:ilvl w:val="0"/>
          <w:numId w:val="2"/>
        </w:numPr>
        <w:spacing w:after="20" w:before="20"/>
      </w:pPr>
      <w:r>
        <w:rPr>
          <w:rFonts w:ascii="Calibri" w:cs="Calibri" w:eastAsia="Calibri" w:hAnsi="Calibri"/>
          <w:color w:val="000000"/>
          <w:sz w:val="20"/>
          <w:szCs w:val="20"/>
        </w:rPr>
        <w:t xml:space="preserve">Tax Return final referente ao período de operação da empresa até a data de dissolução</w:t>
      </w:r>
    </w:p>
    <w:p>
      <w:pPr>
        <w:pStyle w:val="Heading4"/>
        <w:spacing w:after="80" w:before="200"/>
      </w:pPr>
      <w:r>
        <w:rPr>
          <w:rFonts w:ascii="Calibri" w:cs="Calibri" w:eastAsia="Calibri" w:hAnsi="Calibri"/>
          <w:b/>
          <w:bCs/>
          <w:color w:val="000000"/>
          <w:sz w:val="20"/>
          <w:szCs w:val="20"/>
        </w:rPr>
        <w:t xml:space="preserve">Demonstrações Financeiras Final (DE) — </w:t>
      </w:r>
      <w:r>
        <w:rPr>
          <w:rFonts w:ascii="Calibri" w:cs="Calibri" w:eastAsia="Calibri" w:hAnsi="Calibri"/>
          <w:b/>
          <w:bCs/>
          <w:color w:val="000000"/>
          <w:sz w:val="20"/>
          <w:szCs w:val="20"/>
        </w:rPr>
        <w:t xml:space="preserve">USD 1,400</w:t>
      </w:r>
    </w:p>
    <w:p>
      <w:pPr>
        <w:spacing w:after="120" w:before="60"/>
      </w:pPr>
      <w:r>
        <w:rPr>
          <w:rFonts w:ascii="Consolas" w:cs="Consolas" w:eastAsia="Consolas" w:hAnsi="Consolas"/>
          <w:color w:val="2E6DA4"/>
          <w:sz w:val="18"/>
          <w:szCs w:val="18"/>
        </w:rPr>
        <w:t xml:space="preserve">dissolucaoDEFS</w:t>
      </w:r>
    </w:p>
    <w:p>
      <w:pPr>
        <w:pStyle w:val="ListParagraph"/>
        <w:numPr>
          <w:ilvl w:val="0"/>
          <w:numId w:val="2"/>
        </w:numPr>
        <w:spacing w:after="20" w:before="20"/>
      </w:pPr>
      <w:r>
        <w:rPr>
          <w:rFonts w:ascii="Calibri" w:cs="Calibri" w:eastAsia="Calibri" w:hAnsi="Calibri"/>
          <w:color w:val="000000"/>
          <w:sz w:val="20"/>
          <w:szCs w:val="20"/>
        </w:rPr>
        <w:t xml:space="preserve">Demonstrações Financeiras finais referentes ao período de operação da empresa até a data de dissolução</w:t>
      </w:r>
    </w:p>
    <w:p>
      <w:pPr>
        <w:pStyle w:val="Heading2"/>
        <w:spacing w:after="140" w:before="340"/>
      </w:pPr>
      <w:r>
        <w:rPr>
          <w:rFonts w:ascii="Calibri" w:cs="Calibri" w:eastAsia="Calibri" w:hAnsi="Calibri"/>
          <w:b/>
          <w:bCs/>
          <w:color w:val="1F3A5F"/>
          <w:sz w:val="26"/>
          <w:szCs w:val="26"/>
        </w:rPr>
        <w:t xml:space="preserve">8. Reestruturação Societária (standalone — todos sem preço fixo)</w:t>
      </w:r>
    </w:p>
    <w:p>
      <w:pPr>
        <w:pStyle w:val="Heading4"/>
        <w:spacing w:after="80" w:before="200"/>
      </w:pPr>
      <w:r>
        <w:rPr>
          <w:rFonts w:ascii="Calibri" w:cs="Calibri" w:eastAsia="Calibri" w:hAnsi="Calibri"/>
          <w:b/>
          <w:bCs/>
          <w:color w:val="000000"/>
          <w:sz w:val="20"/>
          <w:szCs w:val="20"/>
        </w:rPr>
        <w:t xml:space="preserve">Inclusão / Exclusão de Diretor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reestruDiretor</w:t>
      </w:r>
    </w:p>
    <w:p>
      <w:pPr>
        <w:pStyle w:val="ListParagraph"/>
        <w:numPr>
          <w:ilvl w:val="0"/>
          <w:numId w:val="2"/>
        </w:numPr>
        <w:spacing w:after="20" w:before="20"/>
      </w:pPr>
      <w:r>
        <w:rPr>
          <w:rFonts w:ascii="Calibri" w:cs="Calibri" w:eastAsia="Calibri" w:hAnsi="Calibri"/>
          <w:color w:val="000000"/>
          <w:sz w:val="20"/>
          <w:szCs w:val="20"/>
        </w:rPr>
        <w:t xml:space="preserve">Inclusão ou exclusão de diretor da estrutura societária, incluindo atualização dos documentos corporativos, registros e demais procedimentos necessários para a formalização da alteração perante as autoridades competentes.</w:t>
      </w:r>
    </w:p>
    <w:p>
      <w:pPr>
        <w:pStyle w:val="Heading4"/>
        <w:spacing w:after="80" w:before="200"/>
      </w:pPr>
      <w:r>
        <w:rPr>
          <w:rFonts w:ascii="Calibri" w:cs="Calibri" w:eastAsia="Calibri" w:hAnsi="Calibri"/>
          <w:b/>
          <w:bCs/>
          <w:color w:val="000000"/>
          <w:sz w:val="20"/>
          <w:szCs w:val="20"/>
        </w:rPr>
        <w:t xml:space="preserve">Inclusão / Exclusão de Sócio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reestruMembers</w:t>
      </w:r>
    </w:p>
    <w:p>
      <w:pPr>
        <w:pStyle w:val="ListParagraph"/>
        <w:numPr>
          <w:ilvl w:val="0"/>
          <w:numId w:val="2"/>
        </w:numPr>
        <w:spacing w:after="20" w:before="20"/>
      </w:pPr>
      <w:r>
        <w:rPr>
          <w:rFonts w:ascii="Calibri" w:cs="Calibri" w:eastAsia="Calibri" w:hAnsi="Calibri"/>
          <w:color w:val="000000"/>
          <w:sz w:val="20"/>
          <w:szCs w:val="20"/>
        </w:rPr>
        <w:t xml:space="preserve">Inclusão ou exclusão de sócio da estrutura societária, com atualização dos documentos corporativos, registros e demais procedimentos necessários para a formalização da alteração.</w:t>
      </w:r>
    </w:p>
    <w:p>
      <w:pPr>
        <w:pStyle w:val="Heading4"/>
        <w:spacing w:after="80" w:before="200"/>
      </w:pPr>
      <w:r>
        <w:rPr>
          <w:rFonts w:ascii="Calibri" w:cs="Calibri" w:eastAsia="Calibri" w:hAnsi="Calibri"/>
          <w:b/>
          <w:bCs/>
          <w:color w:val="000000"/>
          <w:sz w:val="20"/>
          <w:szCs w:val="20"/>
        </w:rPr>
        <w:t xml:space="preserve">Share Certificate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reestruShare</w:t>
      </w:r>
    </w:p>
    <w:p>
      <w:pPr>
        <w:pStyle w:val="ListParagraph"/>
        <w:numPr>
          <w:ilvl w:val="0"/>
          <w:numId w:val="2"/>
        </w:numPr>
        <w:spacing w:after="20" w:before="20"/>
      </w:pPr>
      <w:r>
        <w:rPr>
          <w:rFonts w:ascii="Calibri" w:cs="Calibri" w:eastAsia="Calibri" w:hAnsi="Calibri"/>
          <w:color w:val="000000"/>
          <w:sz w:val="20"/>
          <w:szCs w:val="20"/>
        </w:rPr>
        <w:t xml:space="preserve">Emissão de certificado de ações para os sócios da estrutura societária, conforme exigência legal ou demanda interna da empresa.</w:t>
      </w:r>
    </w:p>
    <w:p>
      <w:pPr>
        <w:pStyle w:val="Heading4"/>
        <w:spacing w:after="80" w:before="200"/>
      </w:pPr>
      <w:r>
        <w:rPr>
          <w:rFonts w:ascii="Calibri" w:cs="Calibri" w:eastAsia="Calibri" w:hAnsi="Calibri"/>
          <w:b/>
          <w:bCs/>
          <w:color w:val="000000"/>
          <w:sz w:val="20"/>
          <w:szCs w:val="20"/>
        </w:rPr>
        <w:t xml:space="preserve">Inclusão de Joint Tenancy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reestruJoint</w:t>
      </w:r>
    </w:p>
    <w:p>
      <w:pPr>
        <w:pStyle w:val="ListParagraph"/>
        <w:numPr>
          <w:ilvl w:val="0"/>
          <w:numId w:val="2"/>
        </w:numPr>
        <w:spacing w:after="20" w:before="20"/>
      </w:pPr>
      <w:r>
        <w:rPr>
          <w:rFonts w:ascii="Calibri" w:cs="Calibri" w:eastAsia="Calibri" w:hAnsi="Calibri"/>
          <w:color w:val="000000"/>
          <w:sz w:val="20"/>
          <w:szCs w:val="20"/>
        </w:rPr>
        <w:t xml:space="preserve">Inclusão de modalidade de joint tenancy na estrutura de titularidade societária, com atualização dos documentos corporativos e registros correspondentes.</w:t>
      </w:r>
    </w:p>
    <w:p>
      <w:pPr>
        <w:pStyle w:val="Heading4"/>
        <w:spacing w:after="80" w:before="200"/>
      </w:pPr>
      <w:r>
        <w:rPr>
          <w:rFonts w:ascii="Calibri" w:cs="Calibri" w:eastAsia="Calibri" w:hAnsi="Calibri"/>
          <w:b/>
          <w:bCs/>
          <w:color w:val="000000"/>
          <w:sz w:val="20"/>
          <w:szCs w:val="20"/>
        </w:rPr>
        <w:t xml:space="preserve">Governança Corporativa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reestruGov</w:t>
      </w:r>
    </w:p>
    <w:p>
      <w:pPr>
        <w:pStyle w:val="ListParagraph"/>
        <w:numPr>
          <w:ilvl w:val="0"/>
          <w:numId w:val="2"/>
        </w:numPr>
        <w:spacing w:after="20" w:before="20"/>
      </w:pPr>
      <w:r>
        <w:rPr>
          <w:rFonts w:ascii="Calibri" w:cs="Calibri" w:eastAsia="Calibri" w:hAnsi="Calibri"/>
          <w:color w:val="000000"/>
          <w:sz w:val="20"/>
          <w:szCs w:val="20"/>
        </w:rPr>
        <w:t xml:space="preserve">Estruturação ou atualização das práticas de governança corporativa da entidade, com elaboração ou revisão de documentos internos, políticas, procedimentos e acordos de sócios conforme aplicável.</w:t>
      </w:r>
    </w:p>
    <w:p>
      <w:pPr>
        <w:pStyle w:val="Heading4"/>
        <w:spacing w:after="80" w:before="200"/>
      </w:pPr>
      <w:r>
        <w:rPr>
          <w:rFonts w:ascii="Calibri" w:cs="Calibri" w:eastAsia="Calibri" w:hAnsi="Calibri"/>
          <w:b/>
          <w:bCs/>
          <w:color w:val="000000"/>
          <w:sz w:val="20"/>
          <w:szCs w:val="20"/>
        </w:rPr>
        <w:t xml:space="preserve">Classe de Ações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reestruShareClass</w:t>
      </w:r>
    </w:p>
    <w:p>
      <w:pPr>
        <w:pStyle w:val="ListParagraph"/>
        <w:numPr>
          <w:ilvl w:val="0"/>
          <w:numId w:val="2"/>
        </w:numPr>
        <w:spacing w:after="20" w:before="20"/>
      </w:pPr>
      <w:r>
        <w:rPr>
          <w:rFonts w:ascii="Calibri" w:cs="Calibri" w:eastAsia="Calibri" w:hAnsi="Calibri"/>
          <w:color w:val="000000"/>
          <w:sz w:val="20"/>
          <w:szCs w:val="20"/>
        </w:rPr>
        <w:t xml:space="preserve">Criação, alteração ou reorganização de classes de ações da estrutura societária, com atualização dos documentos constitutivos, registros e demais procedimentos formais exigidos.</w:t>
      </w:r>
    </w:p>
    <w:p>
      <w:pPr>
        <w:pStyle w:val="Heading4"/>
        <w:spacing w:after="80" w:before="200"/>
      </w:pPr>
      <w:r>
        <w:rPr>
          <w:rFonts w:ascii="Calibri" w:cs="Calibri" w:eastAsia="Calibri" w:hAnsi="Calibri"/>
          <w:b/>
          <w:bCs/>
          <w:color w:val="000000"/>
          <w:sz w:val="20"/>
          <w:szCs w:val="20"/>
        </w:rPr>
        <w:t xml:space="preserve">Múltiplas Jurisdições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reestruMultiJuris</w:t>
      </w:r>
    </w:p>
    <w:p>
      <w:pPr>
        <w:pStyle w:val="ListParagraph"/>
        <w:numPr>
          <w:ilvl w:val="0"/>
          <w:numId w:val="2"/>
        </w:numPr>
        <w:spacing w:after="20" w:before="20"/>
      </w:pPr>
      <w:r>
        <w:rPr>
          <w:rFonts w:ascii="Calibri" w:cs="Calibri" w:eastAsia="Calibri" w:hAnsi="Calibri"/>
          <w:color w:val="000000"/>
          <w:sz w:val="20"/>
          <w:szCs w:val="20"/>
        </w:rPr>
        <w:t xml:space="preserve">Reorganização societária envolvendo múltiplas jurisdições, com coordenação dos procedimentos legais e regulatórios aplicáveis em cada território envolvido na estrutura.</w:t>
      </w:r>
    </w:p>
    <w:p>
      <w:pPr>
        <w:pStyle w:val="Heading4"/>
        <w:spacing w:after="80" w:before="200"/>
      </w:pPr>
      <w:r>
        <w:rPr>
          <w:rFonts w:ascii="Calibri" w:cs="Calibri" w:eastAsia="Calibri" w:hAnsi="Calibri"/>
          <w:b/>
          <w:bCs/>
          <w:color w:val="000000"/>
          <w:sz w:val="20"/>
          <w:szCs w:val="20"/>
        </w:rPr>
        <w:t xml:space="preserve">Entrada de Novo Sócio / Investidor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reestruNewPartner</w:t>
      </w:r>
    </w:p>
    <w:p>
      <w:pPr>
        <w:pStyle w:val="ListParagraph"/>
        <w:numPr>
          <w:ilvl w:val="0"/>
          <w:numId w:val="2"/>
        </w:numPr>
        <w:spacing w:after="20" w:before="20"/>
      </w:pPr>
      <w:r>
        <w:rPr>
          <w:rFonts w:ascii="Calibri" w:cs="Calibri" w:eastAsia="Calibri" w:hAnsi="Calibri"/>
          <w:color w:val="000000"/>
          <w:sz w:val="20"/>
          <w:szCs w:val="20"/>
        </w:rPr>
        <w:t xml:space="preserve">Formalização da entrada de novo sócio ou investidor na estrutura societária, incluindo negociação e elaboração dos documentos necessários, atualização dos registros corporativos e procedimentos formais de adesão.</w:t>
      </w:r>
    </w:p>
    <w:p>
      <w:pPr>
        <w:pStyle w:val="Heading2"/>
        <w:spacing w:after="140" w:before="340"/>
      </w:pPr>
      <w:r>
        <w:rPr>
          <w:rFonts w:ascii="Calibri" w:cs="Calibri" w:eastAsia="Calibri" w:hAnsi="Calibri"/>
          <w:b/>
          <w:bCs/>
          <w:color w:val="1F3A5F"/>
          <w:sz w:val="26"/>
          <w:szCs w:val="26"/>
        </w:rPr>
        <w:t xml:space="preserve">9. Outros</w:t>
      </w:r>
    </w:p>
    <w:p>
      <w:pPr>
        <w:pStyle w:val="Heading4"/>
        <w:spacing w:after="80" w:before="200"/>
      </w:pPr>
      <w:r>
        <w:rPr>
          <w:rFonts w:ascii="Calibri" w:cs="Calibri" w:eastAsia="Calibri" w:hAnsi="Calibri"/>
          <w:b/>
          <w:bCs/>
          <w:color w:val="000000"/>
          <w:sz w:val="20"/>
          <w:szCs w:val="20"/>
        </w:rPr>
        <w:t xml:space="preserve">DCBE — Declaração de Capitais Brasileiros no Exterior — </w:t>
      </w:r>
      <w:r>
        <w:rPr>
          <w:rFonts w:ascii="Calibri" w:cs="Calibri" w:eastAsia="Calibri" w:hAnsi="Calibri"/>
          <w:b/>
          <w:bCs/>
          <w:color w:val="000000"/>
          <w:sz w:val="20"/>
          <w:szCs w:val="20"/>
        </w:rPr>
        <w:t xml:space="preserve">A definir (caso a caso)</w:t>
      </w:r>
    </w:p>
    <w:p>
      <w:pPr>
        <w:spacing w:after="120" w:before="60"/>
      </w:pPr>
      <w:r>
        <w:rPr>
          <w:rFonts w:ascii="Consolas" w:cs="Consolas" w:eastAsia="Consolas" w:hAnsi="Consolas"/>
          <w:color w:val="2E6DA4"/>
          <w:sz w:val="18"/>
          <w:szCs w:val="18"/>
        </w:rPr>
        <w:t xml:space="preserve">dcbe</w:t>
      </w:r>
    </w:p>
    <w:p>
      <w:pPr>
        <w:pStyle w:val="Heading2"/>
        <w:spacing w:after="140" w:before="340"/>
      </w:pPr>
      <w:r>
        <w:rPr>
          <w:rFonts w:ascii="Calibri" w:cs="Calibri" w:eastAsia="Calibri" w:hAnsi="Calibri"/>
          <w:b/>
          <w:bCs/>
          <w:color w:val="1F3A5F"/>
          <w:sz w:val="26"/>
          <w:szCs w:val="26"/>
        </w:rPr>
        <w:t xml:space="preserve">10. O que a proposta atual já declara como NÃO INCLUÍDO</w:t>
      </w:r>
    </w:p>
    <w:p>
      <w:pPr>
        <w:pStyle w:val="ListParagraph"/>
        <w:numPr>
          <w:ilvl w:val="0"/>
          <w:numId w:val="2"/>
        </w:numPr>
        <w:spacing w:after="20" w:before="20"/>
      </w:pPr>
      <w:r>
        <w:rPr>
          <w:rFonts w:ascii="Calibri" w:cs="Calibri" w:eastAsia="Calibri" w:hAnsi="Calibri"/>
          <w:color w:val="000000"/>
          <w:sz w:val="20"/>
          <w:szCs w:val="20"/>
        </w:rPr>
        <w:t xml:space="preserve">Elaboração de atas (aportes, redução de capital, entre outros)</w:t>
      </w:r>
    </w:p>
    <w:p>
      <w:pPr>
        <w:pStyle w:val="ListParagraph"/>
        <w:numPr>
          <w:ilvl w:val="0"/>
          <w:numId w:val="2"/>
        </w:numPr>
        <w:spacing w:after="20" w:before="20"/>
      </w:pPr>
      <w:r>
        <w:rPr>
          <w:rFonts w:ascii="Calibri" w:cs="Calibri" w:eastAsia="Calibri" w:hAnsi="Calibri"/>
          <w:color w:val="000000"/>
          <w:sz w:val="20"/>
          <w:szCs w:val="20"/>
        </w:rPr>
        <w:t xml:space="preserve">Certificados (Good Standing, Incumbency)</w:t>
      </w:r>
    </w:p>
    <w:p>
      <w:pPr>
        <w:pStyle w:val="ListParagraph"/>
        <w:numPr>
          <w:ilvl w:val="0"/>
          <w:numId w:val="2"/>
        </w:numPr>
        <w:spacing w:after="20" w:before="20"/>
      </w:pPr>
      <w:r>
        <w:rPr>
          <w:rFonts w:ascii="Calibri" w:cs="Calibri" w:eastAsia="Calibri" w:hAnsi="Calibri"/>
          <w:color w:val="000000"/>
          <w:sz w:val="20"/>
          <w:szCs w:val="20"/>
        </w:rPr>
        <w:t xml:space="preserve">Reestruturações</w:t>
      </w:r>
    </w:p>
    <w:p>
      <w:pPr>
        <w:pStyle w:val="ListParagraph"/>
        <w:numPr>
          <w:ilvl w:val="0"/>
          <w:numId w:val="2"/>
        </w:numPr>
        <w:spacing w:after="20" w:before="20"/>
      </w:pPr>
      <w:r>
        <w:rPr>
          <w:rFonts w:ascii="Calibri" w:cs="Calibri" w:eastAsia="Calibri" w:hAnsi="Calibri"/>
          <w:color w:val="000000"/>
          <w:sz w:val="20"/>
          <w:szCs w:val="20"/>
        </w:rPr>
        <w:t xml:space="preserve">Notarizações e apostilamentos</w:t>
      </w:r>
    </w:p>
    <w:p>
      <w:pPr>
        <w:pStyle w:val="ListParagraph"/>
        <w:numPr>
          <w:ilvl w:val="0"/>
          <w:numId w:val="2"/>
        </w:numPr>
        <w:spacing w:after="20" w:before="20"/>
      </w:pPr>
      <w:r>
        <w:rPr>
          <w:rFonts w:ascii="Calibri" w:cs="Calibri" w:eastAsia="Calibri" w:hAnsi="Calibri"/>
          <w:color w:val="000000"/>
          <w:sz w:val="20"/>
          <w:szCs w:val="20"/>
        </w:rPr>
        <w:t xml:space="preserve">Serviços de courier/postagem</w:t>
      </w:r>
    </w:p>
    <w:p>
      <w:pPr>
        <w:pStyle w:val="ListParagraph"/>
        <w:numPr>
          <w:ilvl w:val="0"/>
          <w:numId w:val="2"/>
        </w:numPr>
        <w:spacing w:after="20" w:before="20"/>
      </w:pPr>
      <w:r>
        <w:rPr>
          <w:rFonts w:ascii="Calibri" w:cs="Calibri" w:eastAsia="Calibri" w:hAnsi="Calibri"/>
          <w:color w:val="000000"/>
          <w:sz w:val="20"/>
          <w:szCs w:val="20"/>
        </w:rPr>
        <w:t xml:space="preserve">Qualquer outra necessidade não especificada nos itens acima será tratada caso a caso, com apresentação de proposta adicional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5"/>
        <w:szCs w:val="15"/>
      </w:rPr>
      <w:t xml:space="preserve">Página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E0" w:sz="4" w:space="4"/>
      </w:pBdr>
      <w:spacing w:after="120"/>
    </w:pPr>
    <w:r>
      <w:rPr>
        <w:color w:val="595959"/>
        <w:sz w:val="15"/>
        <w:szCs w:val="15"/>
      </w:rPr>
      <w:t xml:space="preserve">FGC Advisors  ·  Catálogo de Serviços e Projeto de Pacotes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2E6DA4"/>
      </w:rPr>
    </w:lvl>
  </w:abstractNum>
  <w:abstractNum w:abstractNumId="3" w15:restartNumberingAfterBreak="0">
    <w:multiLevelType w:val="hybridMultilevel"/>
    <w:lvl w:ilvl="0" w15:tentative="1">
      <w:start w:val="1"/>
      <w:numFmt w:val="decimal"/>
      <w:lvlText w:val="%1."/>
      <w:lvlJc w:val="left"/>
      <w:pPr>
        <w:ind w:left="380" w:hanging="240"/>
      </w:pPr>
      <w:rPr>
        <w:b/>
        <w:bCs/>
        <w:color w:val="2E6DA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FGC — Catálogo de Serviços e Valores</dc:title>
  <dc:creator>FGC Advisors</dc:creator>
  <dc:description>Export do Gerador de Propostas v2 + framework de pacotes</dc:description>
  <cp:lastModifiedBy>Un-named</cp:lastModifiedBy>
  <cp:revision>1</cp:revision>
  <dcterms:created xsi:type="dcterms:W3CDTF">2026-09-11T00:22:38.445Z</dcterms:created>
  <dcterms:modified xsi:type="dcterms:W3CDTF">2026-09-11T00:22:38.447Z</dcterms:modified>
</cp:coreProperties>
</file>

<file path=docProps/custom.xml><?xml version="1.0" encoding="utf-8"?>
<Properties xmlns="http://schemas.openxmlformats.org/officeDocument/2006/custom-properties" xmlns:vt="http://schemas.openxmlformats.org/officeDocument/2006/docPropsVTypes"/>
</file>