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24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FGC — Serviços, Preços e Projeto de Planos</w:t>
      </w:r>
    </w:p>
    <w:p>
      <w:pPr>
        <w:pBdr>
          <w:bottom w:val="single" w:color="2E6DA4" w:sz="12" w:space="2"/>
        </w:pBdr>
        <w:spacing w:after="200"/>
      </w:pPr>
      <w:r>
        <w:t xml:space="preserve"/>
      </w:r>
    </w:p>
    <w:p>
      <w:pPr>
        <w:spacing w:after="120" w:before="60"/>
      </w:pPr>
      <w:r>
        <w:rPr>
          <w:rFonts w:ascii="Calibri" w:cs="Calibri" w:eastAsia="Calibri" w:hAnsi="Calibri"/>
          <w:color w:val="000000"/>
          <w:sz w:val="20"/>
          <w:szCs w:val="20"/>
        </w:rPr>
        <w:t xml:space="preserve">Export do Gerador de Propostas · 10/09/2026 · valores em USD</w:t>
      </w:r>
    </w:p>
    <w:p>
      <w:pPr>
        <w:spacing w:after="120" w:before="60"/>
      </w:pPr>
      <w:r>
        <w:rPr>
          <w:rFonts w:ascii="Calibri" w:cs="Calibri" w:eastAsia="Calibri" w:hAnsi="Calibri"/>
          <w:color w:val="000000"/>
          <w:sz w:val="20"/>
          <w:szCs w:val="20"/>
        </w:rPr>
        <w:t xml:space="preserve">São </w:t>
      </w: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9 tipos de serviço</w:t>
      </w:r>
      <w:r>
        <w:rPr>
          <w:rFonts w:ascii="Calibri" w:cs="Calibri" w:eastAsia="Calibri" w:hAnsi="Calibri"/>
          <w:color w:val="000000"/>
          <w:sz w:val="20"/>
          <w:szCs w:val="20"/>
        </w:rPr>
        <w:t xml:space="preserve">. O que multiplica é a jurisdição: os mesmos 4 serviços</w:t>
      </w:r>
    </w:p>
    <w:p>
      <w:pPr>
        <w:spacing w:after="120" w:before="60"/>
      </w:pPr>
      <w:r>
        <w:rPr>
          <w:rFonts w:ascii="Calibri" w:cs="Calibri" w:eastAsia="Calibri" w:hAnsi="Calibri"/>
          <w:color w:val="000000"/>
          <w:sz w:val="20"/>
          <w:szCs w:val="20"/>
        </w:rPr>
        <w:t xml:space="preserve">básicos existem para 10 jurisdições diferentes. Por isso a lista longa.</w:t>
      </w:r>
    </w:p>
    <w:p>
      <w:pPr>
        <w:pBdr>
          <w:bottom w:val="single" w:color="C9D4E0" w:sz="6" w:space="1"/>
        </w:pBdr>
        <w:spacing w:after="200" w:before="160"/>
      </w:pPr>
      <w:r>
        <w:t xml:space="preserve"/>
      </w:r>
    </w:p>
    <w:p>
      <w:r>
        <w:br w:type="page"/>
      </w:r>
    </w:p>
    <w:p>
      <w:pPr>
        <w:pStyle w:val="Heading1"/>
        <w:spacing w:after="200" w:before="24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PARTE 1 — O que a FGC vende hoje</w:t>
      </w:r>
    </w:p>
    <w:p>
      <w:pPr>
        <w:pBdr>
          <w:bottom w:val="single" w:color="2E6DA4" w:sz="12" w:space="2"/>
        </w:pBdr>
        <w:spacing w:after="200"/>
      </w:pPr>
      <w:r>
        <w:t xml:space="preserve"/>
      </w:r>
    </w:p>
    <w:p>
      <w:pPr>
        <w:pStyle w:val="Heading2"/>
        <w:spacing w:after="140" w:before="340"/>
      </w:pPr>
      <w:r>
        <w:rPr>
          <w:rFonts w:ascii="Calibri" w:cs="Calibri" w:eastAsia="Calibri" w:hAnsi="Calibri"/>
          <w:b/>
          <w:bCs/>
          <w:color w:val="1F3A5F"/>
          <w:sz w:val="26"/>
          <w:szCs w:val="26"/>
        </w:rPr>
        <w:t xml:space="preserve">1.1 A matriz — 4 serviços × 10 jurisdições</w:t>
      </w:r>
    </w:p>
    <w:p>
      <w:pPr>
        <w:spacing w:after="120" w:before="60"/>
      </w:pPr>
      <w:r>
        <w:rPr>
          <w:rFonts w:ascii="Calibri" w:cs="Calibri" w:eastAsia="Calibri" w:hAnsi="Calibri"/>
          <w:color w:val="000000"/>
          <w:sz w:val="20"/>
          <w:szCs w:val="20"/>
        </w:rPr>
        <w:t xml:space="preserve">Estes quatro serviços existem para toda jurisdição. É o núcleo do negócio.</w:t>
      </w:r>
    </w:p>
    <w:tbl>
      <w:tblPr>
        <w:tblW w:type="dxa" w:w="9746"/>
        <w:tblBorders>
          <w:top w:val="single" w:color="C9D4E0" w:sz="2"/>
          <w:left w:val="single" w:color="C9D4E0" w:sz="2"/>
          <w:bottom w:val="single" w:color="C9D4E0" w:sz="2"/>
          <w:right w:val="single" w:color="C9D4E0" w:sz="2"/>
          <w:insideH w:val="single" w:color="C9D4E0" w:sz="2"/>
          <w:insideV w:val="single" w:color="C9D4E0" w:sz="2"/>
        </w:tblBorders>
      </w:tblPr>
      <w:tblGrid>
        <w:gridCol w:w="2406"/>
        <w:gridCol w:w="1443"/>
        <w:gridCol w:w="1925"/>
        <w:gridCol w:w="2767"/>
        <w:gridCol w:w="1205"/>
      </w:tblGrid>
      <w:tr>
        <w:trPr>
          <w:tblHeader/>
        </w:trPr>
        <w:tc>
          <w:tcPr>
            <w:tcW w:type="dxa" w:w="2406"/>
            <w:shd w:fill="1F3A5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Jurisdição</w:t>
            </w:r>
          </w:p>
        </w:tc>
        <w:tc>
          <w:tcPr>
            <w:tcW w:type="dxa" w:w="1443"/>
            <w:shd w:fill="1F3A5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Constituição</w:t>
            </w:r>
          </w:p>
        </w:tc>
        <w:tc>
          <w:tcPr>
            <w:tcW w:type="dxa" w:w="1925"/>
            <w:shd w:fill="1F3A5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Manutenção anual</w:t>
            </w:r>
          </w:p>
        </w:tc>
        <w:tc>
          <w:tcPr>
            <w:tcW w:type="dxa" w:w="2767"/>
            <w:shd w:fill="1F3A5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Transferência de agente</w:t>
            </w:r>
          </w:p>
        </w:tc>
        <w:tc>
          <w:tcPr>
            <w:tcW w:type="dxa" w:w="1205"/>
            <w:shd w:fill="1F3A5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Dissolução</w:t>
            </w:r>
          </w:p>
        </w:tc>
      </w:tr>
      <w:tr>
        <w:tc>
          <w:tcPr>
            <w:tcW w:type="dxa" w:w="2406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BVI</w:t>
            </w:r>
          </w:p>
        </w:tc>
        <w:tc>
          <w:tcPr>
            <w:tcW w:type="dxa" w:w="1443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2.900</w:t>
            </w:r>
          </w:p>
        </w:tc>
        <w:tc>
          <w:tcPr>
            <w:tcW w:type="dxa" w:w="1925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1.900</w:t>
            </w:r>
          </w:p>
        </w:tc>
        <w:tc>
          <w:tcPr>
            <w:tcW w:type="dxa" w:w="2767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1.200</w:t>
            </w:r>
          </w:p>
        </w:tc>
        <w:tc>
          <w:tcPr>
            <w:tcW w:type="dxa" w:w="1205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5.500</w:t>
            </w:r>
          </w:p>
        </w:tc>
      </w:tr>
      <w:tr>
        <w:tc>
          <w:tcPr>
            <w:tcW w:type="dxa" w:w="2406"/>
            <w:shd w:fill="F2F5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Bahamas</w:t>
            </w:r>
          </w:p>
        </w:tc>
        <w:tc>
          <w:tcPr>
            <w:tcW w:type="dxa" w:w="1443"/>
            <w:shd w:fill="F2F5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2.900</w:t>
            </w:r>
          </w:p>
        </w:tc>
        <w:tc>
          <w:tcPr>
            <w:tcW w:type="dxa" w:w="1925"/>
            <w:shd w:fill="F2F5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1.900</w:t>
            </w:r>
          </w:p>
        </w:tc>
        <w:tc>
          <w:tcPr>
            <w:tcW w:type="dxa" w:w="2767"/>
            <w:shd w:fill="F2F5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1.200</w:t>
            </w:r>
          </w:p>
        </w:tc>
        <w:tc>
          <w:tcPr>
            <w:tcW w:type="dxa" w:w="1205"/>
            <w:shd w:fill="F2F5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2.500</w:t>
            </w:r>
          </w:p>
        </w:tc>
      </w:tr>
      <w:tr>
        <w:tc>
          <w:tcPr>
            <w:tcW w:type="dxa" w:w="2406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Cayman</w:t>
            </w:r>
          </w:p>
        </w:tc>
        <w:tc>
          <w:tcPr>
            <w:tcW w:type="dxa" w:w="1443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6.700</w:t>
            </w:r>
          </w:p>
        </w:tc>
        <w:tc>
          <w:tcPr>
            <w:tcW w:type="dxa" w:w="1925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4.400</w:t>
            </w:r>
          </w:p>
        </w:tc>
        <w:tc>
          <w:tcPr>
            <w:tcW w:type="dxa" w:w="2767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1.200</w:t>
            </w:r>
          </w:p>
        </w:tc>
        <w:tc>
          <w:tcPr>
            <w:tcW w:type="dxa" w:w="1205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2.500</w:t>
            </w:r>
          </w:p>
        </w:tc>
      </w:tr>
      <w:tr>
        <w:tc>
          <w:tcPr>
            <w:tcW w:type="dxa" w:w="2406"/>
            <w:shd w:fill="F2F5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Nevis</w:t>
            </w:r>
          </w:p>
        </w:tc>
        <w:tc>
          <w:tcPr>
            <w:tcW w:type="dxa" w:w="1443"/>
            <w:shd w:fill="F2F5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2.900</w:t>
            </w:r>
          </w:p>
        </w:tc>
        <w:tc>
          <w:tcPr>
            <w:tcW w:type="dxa" w:w="1925"/>
            <w:shd w:fill="F2F5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1.900</w:t>
            </w:r>
          </w:p>
        </w:tc>
        <w:tc>
          <w:tcPr>
            <w:tcW w:type="dxa" w:w="2767"/>
            <w:shd w:fill="F2F5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1.200</w:t>
            </w:r>
          </w:p>
        </w:tc>
        <w:tc>
          <w:tcPr>
            <w:tcW w:type="dxa" w:w="1205"/>
            <w:shd w:fill="F2F5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2.500</w:t>
            </w:r>
          </w:p>
        </w:tc>
      </w:tr>
      <w:tr>
        <w:tc>
          <w:tcPr>
            <w:tcW w:type="dxa" w:w="2406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Florida LLC</w:t>
            </w:r>
          </w:p>
        </w:tc>
        <w:tc>
          <w:tcPr>
            <w:tcW w:type="dxa" w:w="1443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1.900</w:t>
            </w:r>
          </w:p>
        </w:tc>
        <w:tc>
          <w:tcPr>
            <w:tcW w:type="dxa" w:w="1925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750</w:t>
            </w:r>
          </w:p>
        </w:tc>
        <w:tc>
          <w:tcPr>
            <w:tcW w:type="dxa" w:w="2767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800</w:t>
            </w:r>
          </w:p>
        </w:tc>
        <w:tc>
          <w:tcPr>
            <w:tcW w:type="dxa" w:w="1205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800</w:t>
            </w:r>
          </w:p>
        </w:tc>
      </w:tr>
      <w:tr>
        <w:tc>
          <w:tcPr>
            <w:tcW w:type="dxa" w:w="2406"/>
            <w:shd w:fill="F2F5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Delaware LLC</w:t>
            </w:r>
          </w:p>
        </w:tc>
        <w:tc>
          <w:tcPr>
            <w:tcW w:type="dxa" w:w="1443"/>
            <w:shd w:fill="F2F5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1.900</w:t>
            </w:r>
          </w:p>
        </w:tc>
        <w:tc>
          <w:tcPr>
            <w:tcW w:type="dxa" w:w="1925"/>
            <w:shd w:fill="F2F5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1.100</w:t>
            </w:r>
          </w:p>
        </w:tc>
        <w:tc>
          <w:tcPr>
            <w:tcW w:type="dxa" w:w="2767"/>
            <w:shd w:fill="F2F5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800</w:t>
            </w:r>
          </w:p>
        </w:tc>
        <w:tc>
          <w:tcPr>
            <w:tcW w:type="dxa" w:w="1205"/>
            <w:shd w:fill="F2F5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2.000</w:t>
            </w:r>
          </w:p>
        </w:tc>
      </w:tr>
      <w:tr>
        <w:tc>
          <w:tcPr>
            <w:tcW w:type="dxa" w:w="2406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New York LLC</w:t>
            </w:r>
          </w:p>
        </w:tc>
        <w:tc>
          <w:tcPr>
            <w:tcW w:type="dxa" w:w="1443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1.900</w:t>
            </w:r>
          </w:p>
        </w:tc>
        <w:tc>
          <w:tcPr>
            <w:tcW w:type="dxa" w:w="1925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900</w:t>
            </w:r>
          </w:p>
        </w:tc>
        <w:tc>
          <w:tcPr>
            <w:tcW w:type="dxa" w:w="2767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800</w:t>
            </w:r>
          </w:p>
        </w:tc>
        <w:tc>
          <w:tcPr>
            <w:tcW w:type="dxa" w:w="1205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800</w:t>
            </w:r>
          </w:p>
        </w:tc>
      </w:tr>
      <w:tr>
        <w:tc>
          <w:tcPr>
            <w:tcW w:type="dxa" w:w="2406"/>
            <w:shd w:fill="F2F5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South Dakota LLC</w:t>
            </w:r>
          </w:p>
        </w:tc>
        <w:tc>
          <w:tcPr>
            <w:tcW w:type="dxa" w:w="1443"/>
            <w:shd w:fill="F2F5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1.900</w:t>
            </w:r>
          </w:p>
        </w:tc>
        <w:tc>
          <w:tcPr>
            <w:tcW w:type="dxa" w:w="1925"/>
            <w:shd w:fill="F2F5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750</w:t>
            </w:r>
          </w:p>
        </w:tc>
        <w:tc>
          <w:tcPr>
            <w:tcW w:type="dxa" w:w="2767"/>
            <w:shd w:fill="F2F5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800</w:t>
            </w:r>
          </w:p>
        </w:tc>
        <w:tc>
          <w:tcPr>
            <w:tcW w:type="dxa" w:w="1205"/>
            <w:shd w:fill="F2F5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800</w:t>
            </w:r>
          </w:p>
        </w:tc>
      </w:tr>
      <w:tr>
        <w:tc>
          <w:tcPr>
            <w:tcW w:type="dxa" w:w="2406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Wisconsin LLC</w:t>
            </w:r>
          </w:p>
        </w:tc>
        <w:tc>
          <w:tcPr>
            <w:tcW w:type="dxa" w:w="1443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1.900</w:t>
            </w:r>
          </w:p>
        </w:tc>
        <w:tc>
          <w:tcPr>
            <w:tcW w:type="dxa" w:w="1925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750</w:t>
            </w:r>
          </w:p>
        </w:tc>
        <w:tc>
          <w:tcPr>
            <w:tcW w:type="dxa" w:w="2767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800</w:t>
            </w:r>
          </w:p>
        </w:tc>
        <w:tc>
          <w:tcPr>
            <w:tcW w:type="dxa" w:w="1205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800</w:t>
            </w:r>
          </w:p>
        </w:tc>
      </w:tr>
      <w:tr>
        <w:tc>
          <w:tcPr>
            <w:tcW w:type="dxa" w:w="2406"/>
            <w:shd w:fill="F2F5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Minnesota LLC</w:t>
            </w:r>
          </w:p>
        </w:tc>
        <w:tc>
          <w:tcPr>
            <w:tcW w:type="dxa" w:w="1443"/>
            <w:shd w:fill="F2F5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1.900</w:t>
            </w:r>
          </w:p>
        </w:tc>
        <w:tc>
          <w:tcPr>
            <w:tcW w:type="dxa" w:w="1925"/>
            <w:shd w:fill="F2F5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750</w:t>
            </w:r>
          </w:p>
        </w:tc>
        <w:tc>
          <w:tcPr>
            <w:tcW w:type="dxa" w:w="2767"/>
            <w:shd w:fill="F2F5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800</w:t>
            </w:r>
          </w:p>
        </w:tc>
        <w:tc>
          <w:tcPr>
            <w:tcW w:type="dxa" w:w="1205"/>
            <w:shd w:fill="F2F5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800</w:t>
            </w:r>
          </w:p>
        </w:tc>
      </w:tr>
    </w:tbl>
    <w:p>
      <w:pPr>
        <w:spacing w:after="200"/>
      </w:pPr>
      <w:r>
        <w:t xml:space="preserve"/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Notas de leitura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Constituição e transferência</w:t>
      </w:r>
      <w:r>
        <w:rPr>
          <w:rFonts w:ascii="Calibri" w:cs="Calibri" w:eastAsia="Calibri" w:hAnsi="Calibri"/>
          <w:color w:val="000000"/>
          <w:sz w:val="20"/>
          <w:szCs w:val="20"/>
        </w:rPr>
        <w:t xml:space="preserve"> são pagos na aceitação. </w:t>
      </w: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Manutenção</w:t>
      </w:r>
      <w:r>
        <w:rPr>
          <w:rFonts w:ascii="Calibri" w:cs="Calibri" w:eastAsia="Calibri" w:hAnsi="Calibri"/>
          <w:color w:val="000000"/>
          <w:sz w:val="20"/>
          <w:szCs w:val="20"/>
        </w:rPr>
        <w:t xml:space="preserve"> é recorrente, a partir do 2º ano.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color w:val="000000"/>
          <w:sz w:val="20"/>
          <w:szCs w:val="20"/>
        </w:rPr>
        <w:t xml:space="preserve">Todas as LLCs americanas custam o mesmo para constituir (1.900). O que muda é a manutenção: Delaware 1.100, NY 900, as demais 750.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color w:val="000000"/>
          <w:sz w:val="20"/>
          <w:szCs w:val="20"/>
        </w:rPr>
        <w:t xml:space="preserve">Cayman é o outlier: 2,3× o preço de constituição das outras PICs e 2,3× a manutenção.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color w:val="000000"/>
          <w:sz w:val="20"/>
          <w:szCs w:val="20"/>
        </w:rPr>
        <w:t xml:space="preserve">Dissolução de BVI (5.500) custa quase o dobro de Bahamas, Cayman e Nevis. Delaware (2.000) custa 2,5× as outras LLCs.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color w:val="000000"/>
          <w:sz w:val="20"/>
          <w:szCs w:val="20"/>
        </w:rPr>
        <w:t xml:space="preserve">O gerador também aceita </w:t>
      </w: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jurisdição personalizada</w:t>
      </w:r>
      <w:r>
        <w:rPr>
          <w:rFonts w:ascii="Calibri" w:cs="Calibri" w:eastAsia="Calibri" w:hAnsi="Calibri"/>
          <w:color w:val="000000"/>
          <w:sz w:val="20"/>
          <w:szCs w:val="20"/>
        </w:rPr>
        <w:t xml:space="preserve"> (outro país offshore, outro estado americano) — sempre sem preço fixo.</w:t>
      </w:r>
    </w:p>
    <w:p>
      <w:pPr>
        <w:pStyle w:val="Heading2"/>
        <w:spacing w:after="140" w:before="340"/>
      </w:pPr>
      <w:r>
        <w:rPr>
          <w:rFonts w:ascii="Calibri" w:cs="Calibri" w:eastAsia="Calibri" w:hAnsi="Calibri"/>
          <w:b/>
          <w:bCs/>
          <w:color w:val="1F3A5F"/>
          <w:sz w:val="26"/>
          <w:szCs w:val="26"/>
        </w:rPr>
        <w:t xml:space="preserve">1.2 Serviços que não variam por jurisdição</w:t>
      </w:r>
    </w:p>
    <w:tbl>
      <w:tblPr>
        <w:tblW w:type="dxa" w:w="9746"/>
        <w:tblBorders>
          <w:top w:val="single" w:color="C9D4E0" w:sz="2"/>
          <w:left w:val="single" w:color="C9D4E0" w:sz="2"/>
          <w:bottom w:val="single" w:color="C9D4E0" w:sz="2"/>
          <w:right w:val="single" w:color="C9D4E0" w:sz="2"/>
          <w:insideH w:val="single" w:color="C9D4E0" w:sz="2"/>
          <w:insideV w:val="single" w:color="C9D4E0" w:sz="2"/>
        </w:tblBorders>
      </w:tblPr>
      <w:tblGrid>
        <w:gridCol w:w="5134"/>
        <w:gridCol w:w="943"/>
        <w:gridCol w:w="2515"/>
        <w:gridCol w:w="1154"/>
      </w:tblGrid>
      <w:tr>
        <w:trPr>
          <w:tblHeader/>
        </w:trPr>
        <w:tc>
          <w:tcPr>
            <w:tcW w:type="dxa" w:w="5134"/>
            <w:shd w:fill="1F3A5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Serviço</w:t>
            </w:r>
          </w:p>
        </w:tc>
        <w:tc>
          <w:tcPr>
            <w:tcW w:type="dxa" w:w="943"/>
            <w:shd w:fill="1F3A5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2515"/>
            <w:shd w:fill="1F3A5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Valor</w:t>
            </w:r>
          </w:p>
        </w:tc>
        <w:tc>
          <w:tcPr>
            <w:tcW w:type="dxa" w:w="1154"/>
            <w:shd w:fill="1F3A5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Recorrente?</w:t>
            </w:r>
          </w:p>
        </w:tc>
      </w:tr>
      <w:tr>
        <w:tc>
          <w:tcPr>
            <w:tcW w:type="dxa" w:w="513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Share Trust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 — constituição</w:t>
            </w:r>
          </w:p>
        </w:tc>
        <w:tc>
          <w:tcPr>
            <w:tcW w:type="dxa" w:w="943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Estrutura</w:t>
            </w:r>
          </w:p>
        </w:tc>
        <w:tc>
          <w:tcPr>
            <w:tcW w:type="dxa" w:w="2515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2.700</w:t>
            </w:r>
          </w:p>
        </w:tc>
        <w:tc>
          <w:tcPr>
            <w:tcW w:type="dxa" w:w="115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Não</w:t>
            </w:r>
          </w:p>
        </w:tc>
      </w:tr>
      <w:tr>
        <w:tc>
          <w:tcPr>
            <w:tcW w:type="dxa" w:w="5134"/>
            <w:shd w:fill="F2F5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Share Trust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 — manutenção anual</w:t>
            </w:r>
          </w:p>
        </w:tc>
        <w:tc>
          <w:tcPr>
            <w:tcW w:type="dxa" w:w="943"/>
            <w:shd w:fill="F2F5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Estrutura</w:t>
            </w:r>
          </w:p>
        </w:tc>
        <w:tc>
          <w:tcPr>
            <w:tcW w:type="dxa" w:w="2515"/>
            <w:shd w:fill="F2F5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1.400</w:t>
            </w:r>
          </w:p>
        </w:tc>
        <w:tc>
          <w:tcPr>
            <w:tcW w:type="dxa" w:w="1154"/>
            <w:shd w:fill="F2F5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Sim</w:t>
            </w:r>
          </w:p>
        </w:tc>
      </w:tr>
      <w:tr>
        <w:tc>
          <w:tcPr>
            <w:tcW w:type="dxa" w:w="513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Testamento BVI (Will)</w:t>
            </w:r>
          </w:p>
        </w:tc>
        <w:tc>
          <w:tcPr>
            <w:tcW w:type="dxa" w:w="943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Sucessão</w:t>
            </w:r>
          </w:p>
        </w:tc>
        <w:tc>
          <w:tcPr>
            <w:tcW w:type="dxa" w:w="2515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5.500 (estimado)</w:t>
            </w:r>
          </w:p>
        </w:tc>
        <w:tc>
          <w:tcPr>
            <w:tcW w:type="dxa" w:w="115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Não</w:t>
            </w:r>
          </w:p>
        </w:tc>
      </w:tr>
      <w:tr>
        <w:tc>
          <w:tcPr>
            <w:tcW w:type="dxa" w:w="5134"/>
            <w:shd w:fill="F2F5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Affidavit of Witness (add-on do testamento)</w:t>
            </w:r>
          </w:p>
        </w:tc>
        <w:tc>
          <w:tcPr>
            <w:tcW w:type="dxa" w:w="943"/>
            <w:shd w:fill="F2F5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Sucessão</w:t>
            </w:r>
          </w:p>
        </w:tc>
        <w:tc>
          <w:tcPr>
            <w:tcW w:type="dxa" w:w="2515"/>
            <w:shd w:fill="F2F5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1.000</w:t>
            </w:r>
          </w:p>
        </w:tc>
        <w:tc>
          <w:tcPr>
            <w:tcW w:type="dxa" w:w="1154"/>
            <w:shd w:fill="F2F5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Não</w:t>
            </w:r>
          </w:p>
        </w:tc>
      </w:tr>
      <w:tr>
        <w:tc>
          <w:tcPr>
            <w:tcW w:type="dxa" w:w="513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Financial Statements (FS)</w:t>
            </w:r>
          </w:p>
        </w:tc>
        <w:tc>
          <w:tcPr>
            <w:tcW w:type="dxa" w:w="943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Contábil</w:t>
            </w:r>
          </w:p>
        </w:tc>
        <w:tc>
          <w:tcPr>
            <w:tcW w:type="dxa" w:w="2515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1.400 /ano</w:t>
            </w:r>
          </w:p>
        </w:tc>
        <w:tc>
          <w:tcPr>
            <w:tcW w:type="dxa" w:w="115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Sim</w:t>
            </w:r>
          </w:p>
        </w:tc>
      </w:tr>
      <w:tr>
        <w:tc>
          <w:tcPr>
            <w:tcW w:type="dxa" w:w="5134"/>
            <w:shd w:fill="F2F5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Tax Return (TR)</w:t>
            </w:r>
          </w:p>
        </w:tc>
        <w:tc>
          <w:tcPr>
            <w:tcW w:type="dxa" w:w="943"/>
            <w:shd w:fill="F2F5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Contábil</w:t>
            </w:r>
          </w:p>
        </w:tc>
        <w:tc>
          <w:tcPr>
            <w:tcW w:type="dxa" w:w="2515"/>
            <w:shd w:fill="F2F5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1.500 /ano</w:t>
            </w:r>
          </w:p>
        </w:tc>
        <w:tc>
          <w:tcPr>
            <w:tcW w:type="dxa" w:w="1154"/>
            <w:shd w:fill="F2F5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Sim</w:t>
            </w:r>
          </w:p>
        </w:tc>
      </w:tr>
      <w:tr>
        <w:tc>
          <w:tcPr>
            <w:tcW w:type="dxa" w:w="513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Annual Financial Return (AFR)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 — só submissão</w:t>
            </w:r>
          </w:p>
        </w:tc>
        <w:tc>
          <w:tcPr>
            <w:tcW w:type="dxa" w:w="943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Contábil</w:t>
            </w:r>
          </w:p>
        </w:tc>
        <w:tc>
          <w:tcPr>
            <w:tcW w:type="dxa" w:w="2515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650 /ano</w:t>
            </w:r>
          </w:p>
        </w:tc>
        <w:tc>
          <w:tcPr>
            <w:tcW w:type="dxa" w:w="115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Sim</w:t>
            </w:r>
          </w:p>
        </w:tc>
      </w:tr>
      <w:tr>
        <w:tc>
          <w:tcPr>
            <w:tcW w:type="dxa" w:w="5134"/>
            <w:shd w:fill="F2F5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FS — anos anteriores</w:t>
            </w:r>
          </w:p>
        </w:tc>
        <w:tc>
          <w:tcPr>
            <w:tcW w:type="dxa" w:w="943"/>
            <w:shd w:fill="F2F5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Contábil</w:t>
            </w:r>
          </w:p>
        </w:tc>
        <w:tc>
          <w:tcPr>
            <w:tcW w:type="dxa" w:w="2515"/>
            <w:shd w:fill="F2F5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1.400 por ano retroativo</w:t>
            </w:r>
          </w:p>
        </w:tc>
        <w:tc>
          <w:tcPr>
            <w:tcW w:type="dxa" w:w="1154"/>
            <w:shd w:fill="F2F5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Não</w:t>
            </w:r>
          </w:p>
        </w:tc>
      </w:tr>
      <w:tr>
        <w:tc>
          <w:tcPr>
            <w:tcW w:type="dxa" w:w="513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 — anos anteriores</w:t>
            </w:r>
          </w:p>
        </w:tc>
        <w:tc>
          <w:tcPr>
            <w:tcW w:type="dxa" w:w="943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Contábil</w:t>
            </w:r>
          </w:p>
        </w:tc>
        <w:tc>
          <w:tcPr>
            <w:tcW w:type="dxa" w:w="2515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1.500 por ano retroativo</w:t>
            </w:r>
          </w:p>
        </w:tc>
        <w:tc>
          <w:tcPr>
            <w:tcW w:type="dxa" w:w="115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Não</w:t>
            </w:r>
          </w:p>
        </w:tc>
      </w:tr>
      <w:tr>
        <w:tc>
          <w:tcPr>
            <w:tcW w:type="dxa" w:w="5134"/>
            <w:shd w:fill="F2F5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Notarização e Apostilamento</w:t>
            </w:r>
          </w:p>
        </w:tc>
        <w:tc>
          <w:tcPr>
            <w:tcW w:type="dxa" w:w="943"/>
            <w:shd w:fill="F2F5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Add-on</w:t>
            </w:r>
          </w:p>
        </w:tc>
        <w:tc>
          <w:tcPr>
            <w:tcW w:type="dxa" w:w="2515"/>
            <w:shd w:fill="F2F5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1.500</w:t>
            </w:r>
          </w:p>
        </w:tc>
        <w:tc>
          <w:tcPr>
            <w:tcW w:type="dxa" w:w="1154"/>
            <w:shd w:fill="F2F5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Não</w:t>
            </w:r>
          </w:p>
        </w:tc>
      </w:tr>
      <w:tr>
        <w:tc>
          <w:tcPr>
            <w:tcW w:type="dxa" w:w="513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Mailing Address</w:t>
            </w:r>
          </w:p>
        </w:tc>
        <w:tc>
          <w:tcPr>
            <w:tcW w:type="dxa" w:w="943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Add-on</w:t>
            </w:r>
          </w:p>
        </w:tc>
        <w:tc>
          <w:tcPr>
            <w:tcW w:type="dxa" w:w="2515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300 /ano</w:t>
            </w:r>
          </w:p>
        </w:tc>
        <w:tc>
          <w:tcPr>
            <w:tcW w:type="dxa" w:w="115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Sim</w:t>
            </w:r>
          </w:p>
        </w:tc>
      </w:tr>
      <w:tr>
        <w:tc>
          <w:tcPr>
            <w:tcW w:type="dxa" w:w="5134"/>
            <w:shd w:fill="F2F5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Tax Return final (dissolução de FL LLC)</w:t>
            </w:r>
          </w:p>
        </w:tc>
        <w:tc>
          <w:tcPr>
            <w:tcW w:type="dxa" w:w="943"/>
            <w:shd w:fill="F2F5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Contábil</w:t>
            </w:r>
          </w:p>
        </w:tc>
        <w:tc>
          <w:tcPr>
            <w:tcW w:type="dxa" w:w="2515"/>
            <w:shd w:fill="F2F5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1.500</w:t>
            </w:r>
          </w:p>
        </w:tc>
        <w:tc>
          <w:tcPr>
            <w:tcW w:type="dxa" w:w="1154"/>
            <w:shd w:fill="F2F5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Não</w:t>
            </w:r>
          </w:p>
        </w:tc>
      </w:tr>
      <w:tr>
        <w:tc>
          <w:tcPr>
            <w:tcW w:type="dxa" w:w="513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Financial Statements final (dissolução de DE LLC)</w:t>
            </w:r>
          </w:p>
        </w:tc>
        <w:tc>
          <w:tcPr>
            <w:tcW w:type="dxa" w:w="943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Contábil</w:t>
            </w:r>
          </w:p>
        </w:tc>
        <w:tc>
          <w:tcPr>
            <w:tcW w:type="dxa" w:w="2515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1.400</w:t>
            </w:r>
          </w:p>
        </w:tc>
        <w:tc>
          <w:tcPr>
            <w:tcW w:type="dxa" w:w="115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Não</w:t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340"/>
      </w:pPr>
      <w:r>
        <w:rPr>
          <w:rFonts w:ascii="Calibri" w:cs="Calibri" w:eastAsia="Calibri" w:hAnsi="Calibri"/>
          <w:b/>
          <w:bCs/>
          <w:color w:val="1F3A5F"/>
          <w:sz w:val="26"/>
          <w:szCs w:val="26"/>
        </w:rPr>
        <w:t xml:space="preserve">1.3 O que já é entregue como cortesia</w:t>
      </w:r>
    </w:p>
    <w:p>
      <w:pPr>
        <w:spacing w:after="120" w:before="60"/>
      </w:pPr>
      <w:r>
        <w:rPr>
          <w:rFonts w:ascii="Calibri" w:cs="Calibri" w:eastAsia="Calibri" w:hAnsi="Calibri"/>
          <w:color w:val="000000"/>
          <w:sz w:val="20"/>
          <w:szCs w:val="20"/>
        </w:rPr>
        <w:t xml:space="preserve">Seis tipos de transferência aparecem na proposta com valor </w:t>
      </w: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USD 0, marcados como "Cortesia"</w:t>
      </w:r>
      <w:r>
        <w:rPr>
          <w:rFonts w:ascii="Calibri" w:cs="Calibri" w:eastAsia="Calibri" w:hAnsi="Calibri"/>
          <w:color w:val="000000"/>
          <w:sz w:val="20"/>
          <w:szCs w:val="20"/>
        </w:rPr>
        <w:t xml:space="preserve">:</w:t>
      </w:r>
    </w:p>
    <w:p>
      <w:pPr>
        <w:spacing w:after="120" w:before="60"/>
      </w:pPr>
      <w:r>
        <w:rPr>
          <w:rFonts w:ascii="Calibri" w:cs="Calibri" w:eastAsia="Calibri" w:hAnsi="Calibri"/>
          <w:color w:val="000000"/>
          <w:sz w:val="20"/>
          <w:szCs w:val="20"/>
        </w:rPr>
        <w:t xml:space="preserve">transferência sem troca de agente registrado para BVI, Bahamas, Cayman, Nevis, Florida LLC e Delaware LLC.</w:t>
      </w:r>
    </w:p>
    <w:p>
      <w:pPr>
        <w:pBdr>
          <w:left w:val="single" w:color="B8C6D6" w:sz="14" w:space="10"/>
        </w:pBdr>
        <w:spacing w:after="0" w:before="120"/>
        <w:ind w:left="340"/>
      </w:pPr>
      <w:r>
        <w:rPr>
          <w:rFonts w:ascii="Calibri" w:cs="Calibri" w:eastAsia="Calibri" w:hAnsi="Calibri"/>
          <w:i/>
          <w:iCs/>
          <w:color w:val="595959"/>
          <w:sz w:val="19"/>
          <w:szCs w:val="19"/>
        </w:rPr>
        <w:t xml:space="preserve">Este é o único lugar da proposta atual onde a FGC mostra valor entregue sem cobrar.</w:t>
      </w:r>
    </w:p>
    <w:p>
      <w:pPr>
        <w:pBdr>
          <w:left w:val="single" w:color="B8C6D6" w:sz="14" w:space="10"/>
        </w:pBdr>
        <w:spacing w:after="160" w:before="0"/>
        <w:ind w:left="340"/>
      </w:pPr>
      <w:r>
        <w:rPr>
          <w:rFonts w:ascii="Calibri" w:cs="Calibri" w:eastAsia="Calibri" w:hAnsi="Calibri"/>
          <w:i/>
          <w:iCs/>
          <w:color w:val="595959"/>
          <w:sz w:val="19"/>
          <w:szCs w:val="19"/>
        </w:rPr>
        <w:t xml:space="preserve">É o precedente para tudo que vem na Parte 3.</w:t>
      </w:r>
    </w:p>
    <w:p>
      <w:pPr>
        <w:pBdr>
          <w:bottom w:val="single" w:color="C9D4E0" w:sz="6" w:space="1"/>
        </w:pBdr>
        <w:spacing w:after="200" w:before="160"/>
      </w:pPr>
      <w:r>
        <w:t xml:space="preserve"/>
      </w:r>
    </w:p>
    <w:p>
      <w:r>
        <w:br w:type="page"/>
      </w:r>
    </w:p>
    <w:p>
      <w:pPr>
        <w:pStyle w:val="Heading1"/>
        <w:spacing w:after="200" w:before="24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PARTE 2 — O que não tem preço hoje</w:t>
      </w:r>
    </w:p>
    <w:p>
      <w:pPr>
        <w:pBdr>
          <w:bottom w:val="single" w:color="2E6DA4" w:sz="12" w:space="2"/>
        </w:pBdr>
        <w:spacing w:after="200"/>
      </w:pPr>
      <w:r>
        <w:t xml:space="preserve"/>
      </w:r>
    </w:p>
    <w:p>
      <w:pPr>
        <w:spacing w:after="120" w:before="60"/>
      </w:pPr>
      <w:r>
        <w:rPr>
          <w:rFonts w:ascii="Calibri" w:cs="Calibri" w:eastAsia="Calibri" w:hAnsi="Calibri"/>
          <w:color w:val="000000"/>
          <w:sz w:val="20"/>
          <w:szCs w:val="20"/>
        </w:rPr>
        <w:t xml:space="preserve">Estes serviços estão no gerador mas saem sem valor. Na prática significa que são</w:t>
      </w:r>
    </w:p>
    <w:p>
      <w:pPr>
        <w:spacing w:after="120" w:before="60"/>
      </w:pPr>
      <w:r>
        <w:rPr>
          <w:rFonts w:ascii="Calibri" w:cs="Calibri" w:eastAsia="Calibri" w:hAnsi="Calibri"/>
          <w:color w:val="000000"/>
          <w:sz w:val="20"/>
          <w:szCs w:val="20"/>
        </w:rPr>
        <w:t xml:space="preserve">cotados na hora — diferente entre Claudia, Fabiana e Meire — ou absorvidos.</w:t>
      </w:r>
    </w:p>
    <w:tbl>
      <w:tblPr>
        <w:tblW w:type="dxa" w:w="9746"/>
        <w:tblBorders>
          <w:top w:val="single" w:color="C9D4E0" w:sz="2"/>
          <w:left w:val="single" w:color="C9D4E0" w:sz="2"/>
          <w:bottom w:val="single" w:color="C9D4E0" w:sz="2"/>
          <w:right w:val="single" w:color="C9D4E0" w:sz="2"/>
          <w:insideH w:val="single" w:color="C9D4E0" w:sz="2"/>
          <w:insideV w:val="single" w:color="C9D4E0" w:sz="2"/>
        </w:tblBorders>
      </w:tblPr>
      <w:tblGrid>
        <w:gridCol w:w="8207"/>
        <w:gridCol w:w="1539"/>
      </w:tblGrid>
      <w:tr>
        <w:trPr>
          <w:tblHeader/>
        </w:trPr>
        <w:tc>
          <w:tcPr>
            <w:tcW w:type="dxa" w:w="8207"/>
            <w:shd w:fill="1F3A5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Serviço</w:t>
            </w:r>
          </w:p>
        </w:tc>
        <w:tc>
          <w:tcPr>
            <w:tcW w:type="dxa" w:w="1539"/>
            <w:shd w:fill="1F3A5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Situação</w:t>
            </w:r>
          </w:p>
        </w:tc>
      </w:tr>
      <w:tr>
        <w:tc>
          <w:tcPr>
            <w:tcW w:type="dxa" w:w="8207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Inclusão / exclusão de diretor</w:t>
            </w:r>
          </w:p>
        </w:tc>
        <w:tc>
          <w:tcPr>
            <w:tcW w:type="dxa" w:w="1539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Sem preço</w:t>
            </w:r>
          </w:p>
        </w:tc>
      </w:tr>
      <w:tr>
        <w:tc>
          <w:tcPr>
            <w:tcW w:type="dxa" w:w="8207"/>
            <w:shd w:fill="F2F5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Inclusão / exclusão de sócio</w:t>
            </w:r>
          </w:p>
        </w:tc>
        <w:tc>
          <w:tcPr>
            <w:tcW w:type="dxa" w:w="1539"/>
            <w:shd w:fill="F2F5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Sem preço</w:t>
            </w:r>
          </w:p>
        </w:tc>
      </w:tr>
      <w:tr>
        <w:tc>
          <w:tcPr>
            <w:tcW w:type="dxa" w:w="8207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Share Certificate</w:t>
            </w:r>
          </w:p>
        </w:tc>
        <w:tc>
          <w:tcPr>
            <w:tcW w:type="dxa" w:w="1539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Sem preço</w:t>
            </w:r>
          </w:p>
        </w:tc>
      </w:tr>
      <w:tr>
        <w:tc>
          <w:tcPr>
            <w:tcW w:type="dxa" w:w="8207"/>
            <w:shd w:fill="F2F5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Inclusão de Joint Tenancy</w:t>
            </w:r>
          </w:p>
        </w:tc>
        <w:tc>
          <w:tcPr>
            <w:tcW w:type="dxa" w:w="1539"/>
            <w:shd w:fill="F2F5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Sem preço</w:t>
            </w:r>
          </w:p>
        </w:tc>
      </w:tr>
      <w:tr>
        <w:tc>
          <w:tcPr>
            <w:tcW w:type="dxa" w:w="8207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Governança corporativa</w:t>
            </w:r>
          </w:p>
        </w:tc>
        <w:tc>
          <w:tcPr>
            <w:tcW w:type="dxa" w:w="1539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Sem preço</w:t>
            </w:r>
          </w:p>
        </w:tc>
      </w:tr>
      <w:tr>
        <w:tc>
          <w:tcPr>
            <w:tcW w:type="dxa" w:w="8207"/>
            <w:shd w:fill="F2F5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Criação ou alteração de classe de ações</w:t>
            </w:r>
          </w:p>
        </w:tc>
        <w:tc>
          <w:tcPr>
            <w:tcW w:type="dxa" w:w="1539"/>
            <w:shd w:fill="F2F5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Sem preço</w:t>
            </w:r>
          </w:p>
        </w:tc>
      </w:tr>
      <w:tr>
        <w:tc>
          <w:tcPr>
            <w:tcW w:type="dxa" w:w="8207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Reestruturação em múltiplas jurisdições</w:t>
            </w:r>
          </w:p>
        </w:tc>
        <w:tc>
          <w:tcPr>
            <w:tcW w:type="dxa" w:w="1539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Sem preço</w:t>
            </w:r>
          </w:p>
        </w:tc>
      </w:tr>
      <w:tr>
        <w:tc>
          <w:tcPr>
            <w:tcW w:type="dxa" w:w="8207"/>
            <w:shd w:fill="F2F5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Entrada de novo sócio / investidor</w:t>
            </w:r>
          </w:p>
        </w:tc>
        <w:tc>
          <w:tcPr>
            <w:tcW w:type="dxa" w:w="1539"/>
            <w:shd w:fill="F2F5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Sem preço</w:t>
            </w:r>
          </w:p>
        </w:tc>
      </w:tr>
      <w:tr>
        <w:tc>
          <w:tcPr>
            <w:tcW w:type="dxa" w:w="8207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DCBE</w:t>
            </w:r>
          </w:p>
        </w:tc>
        <w:tc>
          <w:tcPr>
            <w:tcW w:type="dxa" w:w="1539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Sem preço</w:t>
            </w:r>
          </w:p>
        </w:tc>
      </w:tr>
      <w:tr>
        <w:tc>
          <w:tcPr>
            <w:tcW w:type="dxa" w:w="8207"/>
            <w:shd w:fill="F2F5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FS / TR elaborados por terceiros (só submissão)</w:t>
            </w:r>
          </w:p>
        </w:tc>
        <w:tc>
          <w:tcPr>
            <w:tcW w:type="dxa" w:w="1539"/>
            <w:shd w:fill="F2F5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Sem preço</w:t>
            </w:r>
          </w:p>
        </w:tc>
      </w:tr>
      <w:tr>
        <w:tc>
          <w:tcPr>
            <w:tcW w:type="dxa" w:w="8207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Jurisdição personalizada (offshore ou estado US)</w:t>
            </w:r>
          </w:p>
        </w:tc>
        <w:tc>
          <w:tcPr>
            <w:tcW w:type="dxa" w:w="1539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Sem preço</w:t>
            </w:r>
          </w:p>
        </w:tc>
      </w:tr>
    </w:tbl>
    <w:p>
      <w:pPr>
        <w:spacing w:after="200"/>
      </w:pPr>
      <w:r>
        <w:t xml:space="preserve"/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São 8 serviços de reestruturação societária sem tabela.</w:t>
      </w:r>
      <w:r>
        <w:rPr>
          <w:rFonts w:ascii="Calibri" w:cs="Calibri" w:eastAsia="Calibri" w:hAnsi="Calibri"/>
          <w:color w:val="000000"/>
          <w:sz w:val="20"/>
          <w:szCs w:val="20"/>
        </w:rPr>
        <w:t xml:space="preserve"> É o buraco mais óbvio:</w:t>
      </w:r>
    </w:p>
    <w:p>
      <w:pPr>
        <w:spacing w:after="120" w:before="60"/>
      </w:pPr>
      <w:r>
        <w:rPr>
          <w:rFonts w:ascii="Calibri" w:cs="Calibri" w:eastAsia="Calibri" w:hAnsi="Calibri"/>
          <w:color w:val="000000"/>
          <w:sz w:val="20"/>
          <w:szCs w:val="20"/>
        </w:rPr>
        <w:t xml:space="preserve">trabalho técnico, demorado, e que hoje não tem âncora de preço nenhuma.</w:t>
      </w:r>
    </w:p>
    <w:p>
      <w:pPr>
        <w:pBdr>
          <w:bottom w:val="single" w:color="C9D4E0" w:sz="6" w:space="1"/>
        </w:pBdr>
        <w:spacing w:after="200" w:before="160"/>
      </w:pPr>
      <w:r>
        <w:t xml:space="preserve"/>
      </w:r>
    </w:p>
    <w:p>
      <w:r>
        <w:br w:type="page"/>
      </w:r>
    </w:p>
    <w:p>
      <w:pPr>
        <w:pStyle w:val="Heading1"/>
        <w:spacing w:after="200" w:before="24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PARTE 3 — Serviços invisíveis (o concierge)</w:t>
      </w:r>
    </w:p>
    <w:p>
      <w:pPr>
        <w:pBdr>
          <w:bottom w:val="single" w:color="2E6DA4" w:sz="12" w:space="2"/>
        </w:pBdr>
        <w:spacing w:after="200"/>
      </w:pPr>
      <w:r>
        <w:t xml:space="preserve"/>
      </w:r>
    </w:p>
    <w:p>
      <w:pPr>
        <w:spacing w:after="120" w:before="60"/>
      </w:pPr>
      <w:r>
        <w:rPr>
          <w:rFonts w:ascii="Calibri" w:cs="Calibri" w:eastAsia="Calibri" w:hAnsi="Calibri"/>
          <w:color w:val="000000"/>
          <w:sz w:val="20"/>
          <w:szCs w:val="20"/>
        </w:rPr>
        <w:t xml:space="preserve">Nada do que está abaixo existe no gerador. É entregue, não é cobrado, e — por não</w:t>
      </w:r>
    </w:p>
    <w:p>
      <w:pPr>
        <w:spacing w:after="120" w:before="60"/>
      </w:pPr>
      <w:r>
        <w:rPr>
          <w:rFonts w:ascii="Calibri" w:cs="Calibri" w:eastAsia="Calibri" w:hAnsi="Calibri"/>
          <w:color w:val="000000"/>
          <w:sz w:val="20"/>
          <w:szCs w:val="20"/>
        </w:rPr>
        <w:t xml:space="preserve">estar escrito em lugar nenhum — o cliente não sabe que recebe.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Esta lista precisa ser preenchida pela Claudia, Fabiana e Meire.</w:t>
      </w:r>
      <w:r>
        <w:rPr>
          <w:rFonts w:ascii="Calibri" w:cs="Calibri" w:eastAsia="Calibri" w:hAnsi="Calibri"/>
          <w:color w:val="000000"/>
          <w:sz w:val="20"/>
          <w:szCs w:val="20"/>
        </w:rPr>
        <w:t xml:space="preserve"> É o único</w:t>
      </w:r>
    </w:p>
    <w:p>
      <w:pPr>
        <w:spacing w:after="120" w:before="60"/>
      </w:pPr>
      <w:r>
        <w:rPr>
          <w:rFonts w:ascii="Calibri" w:cs="Calibri" w:eastAsia="Calibri" w:hAnsi="Calibri"/>
          <w:color w:val="000000"/>
          <w:sz w:val="20"/>
          <w:szCs w:val="20"/>
        </w:rPr>
        <w:t xml:space="preserve">insumo que falta para montar os planos.</w:t>
      </w:r>
    </w:p>
    <w:p>
      <w:pPr>
        <w:pStyle w:val="Heading2"/>
        <w:spacing w:after="140" w:before="340"/>
      </w:pPr>
      <w:r>
        <w:rPr>
          <w:rFonts w:ascii="Calibri" w:cs="Calibri" w:eastAsia="Calibri" w:hAnsi="Calibri"/>
          <w:b/>
          <w:bCs/>
          <w:color w:val="1F3A5F"/>
          <w:sz w:val="26"/>
          <w:szCs w:val="26"/>
        </w:rPr>
        <w:t xml:space="preserve">3.1 A lista para marcar</w:t>
      </w:r>
    </w:p>
    <w:p>
      <w:pPr>
        <w:pStyle w:val="Heading3"/>
        <w:spacing w:after="110" w:before="260"/>
      </w:pPr>
      <w:r>
        <w:rPr>
          <w:rFonts w:ascii="Calibri" w:cs="Calibri" w:eastAsia="Calibri" w:hAnsi="Calibri"/>
          <w:b/>
          <w:bCs/>
          <w:color w:val="2E6DA4"/>
          <w:sz w:val="22"/>
          <w:szCs w:val="22"/>
        </w:rPr>
        <w:t xml:space="preserve">A. Relacionamento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color w:val="000000"/>
          <w:sz w:val="20"/>
          <w:szCs w:val="20"/>
        </w:rPr>
        <w:t xml:space="preserve">[ ] Reunião de onboarding da estrutura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color w:val="000000"/>
          <w:sz w:val="20"/>
          <w:szCs w:val="20"/>
        </w:rPr>
        <w:t xml:space="preserve">[ ] Reunião anual de revisão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color w:val="000000"/>
          <w:sz w:val="20"/>
          <w:szCs w:val="20"/>
        </w:rPr>
        <w:t xml:space="preserve">[ ] Reuniões ad hoc (dúvida, mudança de vida, novo investimento)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color w:val="000000"/>
          <w:sz w:val="20"/>
          <w:szCs w:val="20"/>
        </w:rPr>
        <w:t xml:space="preserve">[ ] WhatsApp e telefone fora de escopo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color w:val="000000"/>
          <w:sz w:val="20"/>
          <w:szCs w:val="20"/>
        </w:rPr>
        <w:t xml:space="preserve">[ ] E-mails de dúvida geral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color w:val="000000"/>
          <w:sz w:val="20"/>
          <w:szCs w:val="20"/>
        </w:rPr>
        <w:t xml:space="preserve">[ ] Follow-up proativo de prazos (AFR, Tax Return, renovação)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color w:val="000000"/>
          <w:sz w:val="20"/>
          <w:szCs w:val="20"/>
        </w:rPr>
        <w:t xml:space="preserve">[ ] Cobrança de documentos ao cliente</w:t>
      </w:r>
    </w:p>
    <w:p>
      <w:pPr>
        <w:pStyle w:val="Heading3"/>
        <w:spacing w:after="110" w:before="260"/>
      </w:pPr>
      <w:r>
        <w:rPr>
          <w:rFonts w:ascii="Calibri" w:cs="Calibri" w:eastAsia="Calibri" w:hAnsi="Calibri"/>
          <w:b/>
          <w:bCs/>
          <w:color w:val="2E6DA4"/>
          <w:sz w:val="22"/>
          <w:szCs w:val="22"/>
        </w:rPr>
        <w:t xml:space="preserve">B. Coordenação com terceiros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color w:val="000000"/>
          <w:sz w:val="20"/>
          <w:szCs w:val="20"/>
        </w:rPr>
        <w:t xml:space="preserve">[ ] Contador brasileiro do cliente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color w:val="000000"/>
          <w:sz w:val="20"/>
          <w:szCs w:val="20"/>
        </w:rPr>
        <w:t xml:space="preserve">[ ] Explicar a estrutura ao contador (todo ano, de novo)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color w:val="000000"/>
          <w:sz w:val="20"/>
          <w:szCs w:val="20"/>
        </w:rPr>
        <w:t xml:space="preserve">[ ] Suporte ao DCBE e declarações no Brasil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color w:val="000000"/>
          <w:sz w:val="20"/>
          <w:szCs w:val="20"/>
        </w:rPr>
        <w:t xml:space="preserve">[ ] Advogado tributarista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color w:val="000000"/>
          <w:sz w:val="20"/>
          <w:szCs w:val="20"/>
        </w:rPr>
        <w:t xml:space="preserve">[ ] Advogado sucessório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color w:val="000000"/>
          <w:sz w:val="20"/>
          <w:szCs w:val="20"/>
        </w:rPr>
        <w:t xml:space="preserve">[ ] Banco / private banking (abertura, KYC, refresh)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color w:val="000000"/>
          <w:sz w:val="20"/>
          <w:szCs w:val="20"/>
        </w:rPr>
        <w:t xml:space="preserve">[ ] Formulários bancários (W-8, FATCA, CRS)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color w:val="000000"/>
          <w:sz w:val="20"/>
          <w:szCs w:val="20"/>
        </w:rPr>
        <w:t xml:space="preserve">[ ] Gestora, corretora, family office</w:t>
      </w:r>
    </w:p>
    <w:p>
      <w:pPr>
        <w:pStyle w:val="Heading3"/>
        <w:spacing w:after="110" w:before="260"/>
      </w:pPr>
      <w:r>
        <w:rPr>
          <w:rFonts w:ascii="Calibri" w:cs="Calibri" w:eastAsia="Calibri" w:hAnsi="Calibri"/>
          <w:b/>
          <w:bCs/>
          <w:color w:val="2E6DA4"/>
          <w:sz w:val="22"/>
          <w:szCs w:val="22"/>
        </w:rPr>
        <w:t xml:space="preserve">C. Documentos avulsos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color w:val="000000"/>
          <w:sz w:val="20"/>
          <w:szCs w:val="20"/>
        </w:rPr>
        <w:t xml:space="preserve">[ ] Certificate of Good Standing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color w:val="000000"/>
          <w:sz w:val="20"/>
          <w:szCs w:val="20"/>
        </w:rPr>
        <w:t xml:space="preserve">[ ] Certificate of Incumbency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color w:val="000000"/>
          <w:sz w:val="20"/>
          <w:szCs w:val="20"/>
        </w:rPr>
        <w:t xml:space="preserve">[ ] Elaboração de atas (aporte, redução de capital, distribuição)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color w:val="000000"/>
          <w:sz w:val="20"/>
          <w:szCs w:val="20"/>
        </w:rPr>
        <w:t xml:space="preserve">[ ] Segunda via de documentos societários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color w:val="000000"/>
          <w:sz w:val="20"/>
          <w:szCs w:val="20"/>
        </w:rPr>
        <w:t xml:space="preserve">[ ] Cartas e declarações a pedido do banco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color w:val="000000"/>
          <w:sz w:val="20"/>
          <w:szCs w:val="20"/>
        </w:rPr>
        <w:t xml:space="preserve">[ ] Courier e postagem</w:t>
      </w:r>
    </w:p>
    <w:p>
      <w:pPr>
        <w:pBdr>
          <w:left w:val="single" w:color="B8C6D6" w:sz="14" w:space="10"/>
        </w:pBdr>
        <w:spacing w:after="0" w:before="120"/>
        <w:ind w:left="340"/>
      </w:pPr>
      <w:r>
        <w:rPr>
          <w:rFonts w:ascii="Calibri" w:cs="Calibri" w:eastAsia="Calibri" w:hAnsi="Calibri"/>
          <w:b/>
          <w:bCs/>
          <w:i/>
          <w:iCs/>
          <w:color w:val="595959"/>
          <w:sz w:val="19"/>
          <w:szCs w:val="19"/>
        </w:rPr>
        <w:t xml:space="preserve">Atenção:</w:t>
      </w:r>
      <w:r>
        <w:rPr>
          <w:rFonts w:ascii="Calibri" w:cs="Calibri" w:eastAsia="Calibri" w:hAnsi="Calibri"/>
          <w:i/>
          <w:iCs/>
          <w:color w:val="595959"/>
          <w:sz w:val="19"/>
          <w:szCs w:val="19"/>
        </w:rPr>
        <w:t xml:space="preserve"> os itens da família C </w:t>
      </w:r>
      <w:r>
        <w:rPr>
          <w:rFonts w:ascii="Calibri" w:cs="Calibri" w:eastAsia="Calibri" w:hAnsi="Calibri"/>
          <w:b/>
          <w:bCs/>
          <w:i/>
          <w:iCs/>
          <w:color w:val="595959"/>
          <w:sz w:val="19"/>
          <w:szCs w:val="19"/>
        </w:rPr>
        <w:t xml:space="preserve">já estão</w:t>
      </w:r>
      <w:r>
        <w:rPr>
          <w:rFonts w:ascii="Calibri" w:cs="Calibri" w:eastAsia="Calibri" w:hAnsi="Calibri"/>
          <w:i/>
          <w:iCs/>
          <w:color w:val="595959"/>
          <w:sz w:val="19"/>
          <w:szCs w:val="19"/>
        </w:rPr>
        <w:t xml:space="preserve"> na cláusula "Não está incluído</w:t>
      </w:r>
    </w:p>
    <w:p>
      <w:pPr>
        <w:pBdr>
          <w:left w:val="single" w:color="B8C6D6" w:sz="14" w:space="10"/>
        </w:pBdr>
        <w:spacing w:after="0" w:before="0"/>
        <w:ind w:left="340"/>
      </w:pPr>
      <w:r>
        <w:rPr>
          <w:rFonts w:ascii="Calibri" w:cs="Calibri" w:eastAsia="Calibri" w:hAnsi="Calibri"/>
          <w:i/>
          <w:iCs/>
          <w:color w:val="595959"/>
          <w:sz w:val="19"/>
          <w:szCs w:val="19"/>
        </w:rPr>
        <w:t xml:space="preserve">nesta proposta". A FGC já declarou que não estão inclusos — só nunca colocou</w:t>
      </w:r>
    </w:p>
    <w:p>
      <w:pPr>
        <w:pBdr>
          <w:left w:val="single" w:color="B8C6D6" w:sz="14" w:space="10"/>
        </w:pBdr>
        <w:spacing w:after="160" w:before="0"/>
        <w:ind w:left="340"/>
      </w:pPr>
      <w:r>
        <w:rPr>
          <w:rFonts w:ascii="Calibri" w:cs="Calibri" w:eastAsia="Calibri" w:hAnsi="Calibri"/>
          <w:i/>
          <w:iCs/>
          <w:color w:val="595959"/>
          <w:sz w:val="19"/>
          <w:szCs w:val="19"/>
        </w:rPr>
        <w:t xml:space="preserve">preço. É o primeiro lugar onde dá para cobrar sem mudar nada de política.</w:t>
      </w:r>
    </w:p>
    <w:p>
      <w:pPr>
        <w:pStyle w:val="Heading3"/>
        <w:spacing w:after="110" w:before="260"/>
      </w:pPr>
      <w:r>
        <w:rPr>
          <w:rFonts w:ascii="Calibri" w:cs="Calibri" w:eastAsia="Calibri" w:hAnsi="Calibri"/>
          <w:b/>
          <w:bCs/>
          <w:color w:val="2E6DA4"/>
          <w:sz w:val="22"/>
          <w:szCs w:val="22"/>
        </w:rPr>
        <w:t xml:space="preserve">D. Compliance contínuo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color w:val="000000"/>
          <w:sz w:val="20"/>
          <w:szCs w:val="20"/>
        </w:rPr>
        <w:t xml:space="preserve">[ ] Monitorar mudanças regulatórias na jurisdição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color w:val="000000"/>
          <w:sz w:val="20"/>
          <w:szCs w:val="20"/>
        </w:rPr>
        <w:t xml:space="preserve">[ ] Avisar o cliente quando a lei muda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color w:val="000000"/>
          <w:sz w:val="20"/>
          <w:szCs w:val="20"/>
        </w:rPr>
        <w:t xml:space="preserve">[ ] Reclassificar Substância Econômica quando a atividade muda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color w:val="000000"/>
          <w:sz w:val="20"/>
          <w:szCs w:val="20"/>
        </w:rPr>
        <w:t xml:space="preserve">[ ] Refresh periódico de due diligence / KYC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color w:val="000000"/>
          <w:sz w:val="20"/>
          <w:szCs w:val="20"/>
        </w:rPr>
        <w:t xml:space="preserve">[ ] Atualização cadastral</w:t>
      </w:r>
    </w:p>
    <w:p>
      <w:pPr>
        <w:pStyle w:val="Heading3"/>
        <w:spacing w:after="110" w:before="260"/>
      </w:pPr>
      <w:r>
        <w:rPr>
          <w:rFonts w:ascii="Calibri" w:cs="Calibri" w:eastAsia="Calibri" w:hAnsi="Calibri"/>
          <w:b/>
          <w:bCs/>
          <w:color w:val="2E6DA4"/>
          <w:sz w:val="22"/>
          <w:szCs w:val="22"/>
        </w:rPr>
        <w:t xml:space="preserve">E. Eventos de vida do cliente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color w:val="000000"/>
          <w:sz w:val="20"/>
          <w:szCs w:val="20"/>
        </w:rPr>
        <w:t xml:space="preserve">[ ] Mudança de residência fiscal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color w:val="000000"/>
          <w:sz w:val="20"/>
          <w:szCs w:val="20"/>
        </w:rPr>
        <w:t xml:space="preserve">[ ] Casamento, divórcio, nascimento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color w:val="000000"/>
          <w:sz w:val="20"/>
          <w:szCs w:val="20"/>
        </w:rPr>
        <w:t xml:space="preserve">[ ] Falecimento — acionar sucessão e apoiar herdeiros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color w:val="000000"/>
          <w:sz w:val="20"/>
          <w:szCs w:val="20"/>
        </w:rPr>
        <w:t xml:space="preserve">[ ] Venda de ativo / evento de liquidez</w:t>
      </w:r>
    </w:p>
    <w:p>
      <w:pPr>
        <w:pStyle w:val="Heading3"/>
        <w:spacing w:after="110" w:before="260"/>
      </w:pPr>
      <w:r>
        <w:rPr>
          <w:rFonts w:ascii="Calibri" w:cs="Calibri" w:eastAsia="Calibri" w:hAnsi="Calibri"/>
          <w:b/>
          <w:bCs/>
          <w:color w:val="2E6DA4"/>
          <w:sz w:val="22"/>
          <w:szCs w:val="22"/>
        </w:rPr>
        <w:t xml:space="preserve">F. Educação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color w:val="000000"/>
          <w:sz w:val="20"/>
          <w:szCs w:val="20"/>
        </w:rPr>
        <w:t xml:space="preserve">[ ] Explicar a estrutura ao cliente e à família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color w:val="000000"/>
          <w:sz w:val="20"/>
          <w:szCs w:val="20"/>
        </w:rPr>
        <w:t xml:space="preserve">[ ] Reunião com filhos e herdeiros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color w:val="000000"/>
          <w:sz w:val="20"/>
          <w:szCs w:val="20"/>
        </w:rPr>
        <w:t xml:space="preserve">[ ] Organogramas e material explicativo</w:t>
      </w:r>
    </w:p>
    <w:p>
      <w:pPr>
        <w:pStyle w:val="Heading2"/>
        <w:spacing w:after="140" w:before="340"/>
      </w:pPr>
      <w:r>
        <w:rPr>
          <w:rFonts w:ascii="Calibri" w:cs="Calibri" w:eastAsia="Calibri" w:hAnsi="Calibri"/>
          <w:b/>
          <w:bCs/>
          <w:color w:val="1F3A5F"/>
          <w:sz w:val="26"/>
          <w:szCs w:val="26"/>
        </w:rPr>
        <w:t xml:space="preserve">3.2 O que medir em cada item marcado</w:t>
      </w:r>
    </w:p>
    <w:p>
      <w:pPr>
        <w:spacing w:after="120" w:before="60"/>
      </w:pPr>
      <w:r>
        <w:rPr>
          <w:rFonts w:ascii="Calibri" w:cs="Calibri" w:eastAsia="Calibri" w:hAnsi="Calibri"/>
          <w:color w:val="000000"/>
          <w:sz w:val="20"/>
          <w:szCs w:val="20"/>
        </w:rPr>
        <w:t xml:space="preserve">Para cada caixa marcada, responder cinco coisas:</w:t>
      </w:r>
    </w:p>
    <w:tbl>
      <w:tblPr>
        <w:tblW w:type="dxa" w:w="9746"/>
        <w:tblBorders>
          <w:top w:val="single" w:color="C9D4E0" w:sz="2"/>
          <w:left w:val="single" w:color="C9D4E0" w:sz="2"/>
          <w:bottom w:val="single" w:color="C9D4E0" w:sz="2"/>
          <w:right w:val="single" w:color="C9D4E0" w:sz="2"/>
          <w:insideH w:val="single" w:color="C9D4E0" w:sz="2"/>
          <w:insideV w:val="single" w:color="C9D4E0" w:sz="2"/>
        </w:tblBorders>
      </w:tblPr>
      <w:tblGrid>
        <w:gridCol w:w="5775"/>
        <w:gridCol w:w="3971"/>
      </w:tblGrid>
      <w:tr>
        <w:trPr>
          <w:tblHeader/>
        </w:trPr>
        <w:tc>
          <w:tcPr>
            <w:tcW w:type="dxa" w:w="5775"/>
            <w:shd w:fill="1F3A5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Pergunta</w:t>
            </w:r>
          </w:p>
        </w:tc>
        <w:tc>
          <w:tcPr>
            <w:tcW w:type="dxa" w:w="3971"/>
            <w:shd w:fill="1F3A5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Por que importa</w:t>
            </w:r>
          </w:p>
        </w:tc>
      </w:tr>
      <w:tr>
        <w:tc>
          <w:tcPr>
            <w:tcW w:type="dxa" w:w="5775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Quem faz? (Claudia / Fabiana / Meire / terceiro)</w:t>
            </w:r>
          </w:p>
        </w:tc>
        <w:tc>
          <w:tcPr>
            <w:tcW w:type="dxa" w:w="3971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Define o custo-hora</w:t>
            </w:r>
          </w:p>
        </w:tc>
      </w:tr>
      <w:tr>
        <w:tc>
          <w:tcPr>
            <w:tcW w:type="dxa" w:w="5775"/>
            <w:shd w:fill="F2F5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Quanto tempo leva por vez?</w:t>
            </w:r>
          </w:p>
        </w:tc>
        <w:tc>
          <w:tcPr>
            <w:tcW w:type="dxa" w:w="3971"/>
            <w:shd w:fill="F2F5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Base do custo</w:t>
            </w:r>
          </w:p>
        </w:tc>
      </w:tr>
      <w:tr>
        <w:tc>
          <w:tcPr>
            <w:tcW w:type="dxa" w:w="5775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Quantas vezes por ano, por cliente?</w:t>
            </w:r>
          </w:p>
        </w:tc>
        <w:tc>
          <w:tcPr>
            <w:tcW w:type="dxa" w:w="3971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Vira custo anual</w:t>
            </w:r>
          </w:p>
        </w:tc>
      </w:tr>
      <w:tr>
        <w:tc>
          <w:tcPr>
            <w:tcW w:type="dxa" w:w="5775"/>
            <w:shd w:fill="F2F5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Quantos % dos clientes usam?</w:t>
            </w:r>
          </w:p>
        </w:tc>
        <w:tc>
          <w:tcPr>
            <w:tcW w:type="dxa" w:w="3971"/>
            <w:shd w:fill="F2F5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Separa o universal do excepcional</w:t>
            </w:r>
          </w:p>
        </w:tc>
      </w:tr>
      <w:tr>
        <w:tc>
          <w:tcPr>
            <w:tcW w:type="dxa" w:w="5775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Quem puxa: o cliente, a FGC, ou a lei?</w:t>
            </w:r>
          </w:p>
        </w:tc>
        <w:tc>
          <w:tcPr>
            <w:tcW w:type="dxa" w:w="3971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Diz se dá para controlar o volume</w:t>
            </w:r>
          </w:p>
        </w:tc>
      </w:tr>
    </w:tbl>
    <w:p>
      <w:pPr>
        <w:spacing w:after="200"/>
      </w:pPr>
      <w:r>
        <w:t xml:space="preserve"/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Custo oculto por cliente/ano = Σ (tempo × frequência × custo-hora)</w:t>
      </w:r>
    </w:p>
    <w:p>
      <w:pPr>
        <w:spacing w:after="120" w:before="60"/>
      </w:pPr>
      <w:r>
        <w:rPr>
          <w:rFonts w:ascii="Calibri" w:cs="Calibri" w:eastAsia="Calibri" w:hAnsi="Calibri"/>
          <w:color w:val="000000"/>
          <w:sz w:val="20"/>
          <w:szCs w:val="20"/>
        </w:rPr>
        <w:t xml:space="preserve">Esse número é a resposta para "quanto estamos deixando na mesa" — e é o que</w:t>
      </w:r>
    </w:p>
    <w:p>
      <w:pPr>
        <w:spacing w:after="120" w:before="60"/>
      </w:pPr>
      <w:r>
        <w:rPr>
          <w:rFonts w:ascii="Calibri" w:cs="Calibri" w:eastAsia="Calibri" w:hAnsi="Calibri"/>
          <w:color w:val="000000"/>
          <w:sz w:val="20"/>
          <w:szCs w:val="20"/>
        </w:rPr>
        <w:t xml:space="preserve">justifica o preço do plano.</w:t>
      </w:r>
    </w:p>
    <w:p>
      <w:pPr>
        <w:pStyle w:val="Heading2"/>
        <w:spacing w:after="140" w:before="340"/>
      </w:pPr>
      <w:r>
        <w:rPr>
          <w:rFonts w:ascii="Calibri" w:cs="Calibri" w:eastAsia="Calibri" w:hAnsi="Calibri"/>
          <w:b/>
          <w:bCs/>
          <w:color w:val="1F3A5F"/>
          <w:sz w:val="26"/>
          <w:szCs w:val="26"/>
        </w:rPr>
        <w:t xml:space="preserve">3.3 Onde cada serviço vai parar</w:t>
      </w:r>
    </w:p>
    <w:tbl>
      <w:tblPr>
        <w:tblW w:type="dxa" w:w="9746"/>
        <w:tblBorders>
          <w:top w:val="single" w:color="C9D4E0" w:sz="2"/>
          <w:left w:val="single" w:color="C9D4E0" w:sz="2"/>
          <w:bottom w:val="single" w:color="C9D4E0" w:sz="2"/>
          <w:right w:val="single" w:color="C9D4E0" w:sz="2"/>
          <w:insideH w:val="single" w:color="C9D4E0" w:sz="2"/>
          <w:insideV w:val="single" w:color="C9D4E0" w:sz="2"/>
        </w:tblBorders>
      </w:tblPr>
      <w:tblGrid>
        <w:gridCol w:w="3480"/>
        <w:gridCol w:w="6266"/>
      </w:tblGrid>
      <w:tr>
        <w:trPr>
          <w:tblHeader/>
        </w:trPr>
        <w:tc>
          <w:tcPr>
            <w:tcW w:type="dxa" w:w="3480"/>
            <w:shd w:fill="1F3A5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Destino</w:t>
            </w:r>
          </w:p>
        </w:tc>
        <w:tc>
          <w:tcPr>
            <w:tcW w:type="dxa" w:w="6266"/>
            <w:shd w:fill="1F3A5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Critério</w:t>
            </w:r>
          </w:p>
        </w:tc>
      </w:tr>
      <w:tr>
        <w:tc>
          <w:tcPr>
            <w:tcW w:type="dxa" w:w="348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Incluído no plano base</w:t>
            </w:r>
          </w:p>
        </w:tc>
        <w:tc>
          <w:tcPr>
            <w:tcW w:type="dxa" w:w="6266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Frequente, barato, todo cliente espera</w:t>
            </w:r>
          </w:p>
        </w:tc>
      </w:tr>
      <w:tr>
        <w:tc>
          <w:tcPr>
            <w:tcW w:type="dxa" w:w="3480"/>
            <w:shd w:fill="F2F5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Incluído em plano superior</w:t>
            </w:r>
          </w:p>
        </w:tc>
        <w:tc>
          <w:tcPr>
            <w:tcW w:type="dxa" w:w="6266"/>
            <w:shd w:fill="F2F5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Custo médio, é diferenciador, nem todo cliente precisa</w:t>
            </w:r>
          </w:p>
        </w:tc>
      </w:tr>
      <w:tr>
        <w:tc>
          <w:tcPr>
            <w:tcW w:type="dxa" w:w="348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Cobrado sempre à parte</w:t>
            </w:r>
          </w:p>
        </w:tc>
        <w:tc>
          <w:tcPr>
            <w:tcW w:type="dxa" w:w="6266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Caro, esporádico, o gatilho é externo</w:t>
            </w:r>
          </w:p>
        </w:tc>
      </w:tr>
    </w:tbl>
    <w:p>
      <w:pPr>
        <w:spacing w:after="200"/>
      </w:pPr>
      <w:r>
        <w:t xml:space="preserve"/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A analogia da Claudia, aplicada:</w:t>
      </w:r>
      <w:r>
        <w:rPr>
          <w:rFonts w:ascii="Calibri" w:cs="Calibri" w:eastAsia="Calibri" w:hAnsi="Calibri"/>
          <w:color w:val="000000"/>
          <w:sz w:val="20"/>
          <w:szCs w:val="20"/>
        </w:rPr>
        <w:t xml:space="preserve"> plano base são as aulas — todo mundo tem,</w:t>
      </w:r>
    </w:p>
    <w:p>
      <w:pPr>
        <w:spacing w:after="120" w:before="60"/>
      </w:pPr>
      <w:r>
        <w:rPr>
          <w:rFonts w:ascii="Calibri" w:cs="Calibri" w:eastAsia="Calibri" w:hAnsi="Calibri"/>
          <w:color w:val="000000"/>
          <w:sz w:val="20"/>
          <w:szCs w:val="20"/>
        </w:rPr>
        <w:t xml:space="preserve">está no preço. Plano superior é a sauna inclusa. Avulso é a sauna comprada por</w:t>
      </w:r>
    </w:p>
    <w:p>
      <w:pPr>
        <w:spacing w:after="120" w:before="60"/>
      </w:pPr>
      <w:r>
        <w:rPr>
          <w:rFonts w:ascii="Calibri" w:cs="Calibri" w:eastAsia="Calibri" w:hAnsi="Calibri"/>
          <w:color w:val="000000"/>
          <w:sz w:val="20"/>
          <w:szCs w:val="20"/>
        </w:rPr>
        <w:t xml:space="preserve">dia. O ponto não é cobrar mais de todo mundo. É deixar visível, para que quem</w:t>
      </w:r>
    </w:p>
    <w:p>
      <w:pPr>
        <w:spacing w:after="120" w:before="60"/>
      </w:pPr>
      <w:r>
        <w:rPr>
          <w:rFonts w:ascii="Calibri" w:cs="Calibri" w:eastAsia="Calibri" w:hAnsi="Calibri"/>
          <w:color w:val="000000"/>
          <w:sz w:val="20"/>
          <w:szCs w:val="20"/>
        </w:rPr>
        <w:t xml:space="preserve">usa mais pague mais e quem usa pouco perceba que economiza.</w:t>
      </w:r>
    </w:p>
    <w:p>
      <w:pPr>
        <w:pBdr>
          <w:bottom w:val="single" w:color="C9D4E0" w:sz="6" w:space="1"/>
        </w:pBdr>
        <w:spacing w:after="200" w:before="160"/>
      </w:pPr>
      <w:r>
        <w:t xml:space="preserve"/>
      </w:r>
    </w:p>
    <w:p>
      <w:r>
        <w:br w:type="page"/>
      </w:r>
    </w:p>
    <w:p>
      <w:pPr>
        <w:pStyle w:val="Heading1"/>
        <w:spacing w:after="200" w:before="24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PARTE 4 — O prompt</w:t>
      </w:r>
    </w:p>
    <w:p>
      <w:pPr>
        <w:pBdr>
          <w:bottom w:val="single" w:color="2E6DA4" w:sz="12" w:space="2"/>
        </w:pBdr>
        <w:spacing w:after="200"/>
      </w:pPr>
      <w:r>
        <w:t xml:space="preserve"/>
      </w:r>
    </w:p>
    <w:p>
      <w:pPr>
        <w:spacing w:after="120" w:before="60"/>
      </w:pPr>
      <w:r>
        <w:rPr>
          <w:rFonts w:ascii="Calibri" w:cs="Calibri" w:eastAsia="Calibri" w:hAnsi="Calibri"/>
          <w:color w:val="000000"/>
          <w:sz w:val="20"/>
          <w:szCs w:val="20"/>
        </w:rPr>
        <w:t xml:space="preserve">Colar no Claude junto com este documento, </w:t>
      </w: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depois</w:t>
      </w:r>
      <w:r>
        <w:rPr>
          <w:rFonts w:ascii="Calibri" w:cs="Calibri" w:eastAsia="Calibri" w:hAnsi="Calibri"/>
          <w:color w:val="000000"/>
          <w:sz w:val="20"/>
          <w:szCs w:val="20"/>
        </w:rPr>
        <w:t xml:space="preserve"> que a Parte 3.1 estiver</w:t>
      </w:r>
    </w:p>
    <w:p>
      <w:pPr>
        <w:spacing w:after="120" w:before="60"/>
      </w:pPr>
      <w:r>
        <w:rPr>
          <w:rFonts w:ascii="Calibri" w:cs="Calibri" w:eastAsia="Calibri" w:hAnsi="Calibri"/>
          <w:color w:val="000000"/>
          <w:sz w:val="20"/>
          <w:szCs w:val="20"/>
        </w:rPr>
        <w:t xml:space="preserve">preenchida.</w:t>
      </w:r>
    </w:p>
    <w:p>
      <w:pPr>
        <w:pBdr>
          <w:left w:val="single" w:color="2E6DA4" w:sz="12" w:space="6"/>
        </w:pBdr>
        <w:shd w:fill="F6F8FA" w:color="auto" w:val="clear"/>
        <w:spacing w:after="0" w:before="120"/>
        <w:ind w:left="240" w:right="240"/>
      </w:pPr>
      <w:r>
        <w:rPr>
          <w:rFonts w:ascii="Consolas" w:cs="Consolas" w:eastAsia="Consolas" w:hAnsi="Consolas"/>
          <w:color w:val="24292E"/>
          <w:sz w:val="16"/>
          <w:szCs w:val="16"/>
        </w:rPr>
        <w:t xml:space="preserve">Você é consultor de pricing e packaging da FGC Advisors, empresa de estruturação</w:t>
      </w:r>
    </w:p>
    <w:p>
      <w:pPr>
        <w:pBdr>
          <w:left w:val="single" w:color="2E6DA4" w:sz="12" w:space="6"/>
        </w:pBdr>
        <w:shd w:fill="F6F8FA" w:color="auto" w:val="clear"/>
        <w:spacing w:after="0" w:before="0"/>
        <w:ind w:left="240" w:right="240"/>
      </w:pPr>
      <w:r>
        <w:rPr>
          <w:rFonts w:ascii="Consolas" w:cs="Consolas" w:eastAsia="Consolas" w:hAnsi="Consolas"/>
          <w:color w:val="24292E"/>
          <w:sz w:val="16"/>
          <w:szCs w:val="16"/>
        </w:rPr>
        <w:t xml:space="preserve">societária internacional (BVI, Bahamas, Cayman, Nevis e LLCs americanas) que</w:t>
      </w:r>
    </w:p>
    <w:p>
      <w:pPr>
        <w:pBdr>
          <w:left w:val="single" w:color="2E6DA4" w:sz="12" w:space="6"/>
        </w:pBdr>
        <w:shd w:fill="F6F8FA" w:color="auto" w:val="clear"/>
        <w:spacing w:after="0" w:before="0"/>
        <w:ind w:left="240" w:right="240"/>
      </w:pPr>
      <w:r>
        <w:rPr>
          <w:rFonts w:ascii="Consolas" w:cs="Consolas" w:eastAsia="Consolas" w:hAnsi="Consolas"/>
          <w:color w:val="24292E"/>
          <w:sz w:val="16"/>
          <w:szCs w:val="16"/>
        </w:rPr>
        <w:t xml:space="preserve">atende famílias e empresários brasileiros.</w:t>
      </w:r>
    </w:p>
    <w:p>
      <w:pPr>
        <w:pBdr>
          <w:left w:val="single" w:color="2E6DA4" w:sz="12" w:space="6"/>
        </w:pBdr>
        <w:shd w:fill="F6F8FA" w:color="auto" w:val="clear"/>
        <w:spacing w:after="0" w:before="0"/>
        <w:ind w:left="240" w:right="240"/>
      </w:pPr>
      <w:r>
        <w:rPr>
          <w:rFonts w:ascii="Consolas" w:cs="Consolas" w:eastAsia="Consolas" w:hAnsi="Consolas"/>
          <w:color w:val="24292E"/>
          <w:sz w:val="16"/>
          <w:szCs w:val="16"/>
        </w:rPr>
        <w:t xml:space="preserve"> </w:t>
      </w:r>
    </w:p>
    <w:p>
      <w:pPr>
        <w:pBdr>
          <w:left w:val="single" w:color="2E6DA4" w:sz="12" w:space="6"/>
        </w:pBdr>
        <w:shd w:fill="F6F8FA" w:color="auto" w:val="clear"/>
        <w:spacing w:after="0" w:before="0"/>
        <w:ind w:left="240" w:right="240"/>
      </w:pPr>
      <w:r>
        <w:rPr>
          <w:rFonts w:ascii="Consolas" w:cs="Consolas" w:eastAsia="Consolas" w:hAnsi="Consolas"/>
          <w:color w:val="24292E"/>
          <w:sz w:val="16"/>
          <w:szCs w:val="16"/>
        </w:rPr>
        <w:t xml:space="preserve">ANEXO</w:t>
      </w:r>
    </w:p>
    <w:p>
      <w:pPr>
        <w:pBdr>
          <w:left w:val="single" w:color="2E6DA4" w:sz="12" w:space="6"/>
        </w:pBdr>
        <w:shd w:fill="F6F8FA" w:color="auto" w:val="clear"/>
        <w:spacing w:after="0" w:before="0"/>
        <w:ind w:left="240" w:right="240"/>
      </w:pPr>
      <w:r>
        <w:rPr>
          <w:rFonts w:ascii="Consolas" w:cs="Consolas" w:eastAsia="Consolas" w:hAnsi="Consolas"/>
          <w:color w:val="24292E"/>
          <w:sz w:val="16"/>
          <w:szCs w:val="16"/>
        </w:rPr>
        <w:t xml:space="preserve">Documento com: (1) a matriz de preços atual da FGC, (2) os serviços que hoje</w:t>
      </w:r>
    </w:p>
    <w:p>
      <w:pPr>
        <w:pBdr>
          <w:left w:val="single" w:color="2E6DA4" w:sz="12" w:space="6"/>
        </w:pBdr>
        <w:shd w:fill="F6F8FA" w:color="auto" w:val="clear"/>
        <w:spacing w:after="0" w:before="0"/>
        <w:ind w:left="240" w:right="240"/>
      </w:pPr>
      <w:r>
        <w:rPr>
          <w:rFonts w:ascii="Consolas" w:cs="Consolas" w:eastAsia="Consolas" w:hAnsi="Consolas"/>
          <w:color w:val="24292E"/>
          <w:sz w:val="16"/>
          <w:szCs w:val="16"/>
        </w:rPr>
        <w:t xml:space="preserve">saem sem preço, (3) a lista de serviços invisíveis preenchida por nós, com</w:t>
      </w:r>
    </w:p>
    <w:p>
      <w:pPr>
        <w:pBdr>
          <w:left w:val="single" w:color="2E6DA4" w:sz="12" w:space="6"/>
        </w:pBdr>
        <w:shd w:fill="F6F8FA" w:color="auto" w:val="clear"/>
        <w:spacing w:after="0" w:before="0"/>
        <w:ind w:left="240" w:right="240"/>
      </w:pPr>
      <w:r>
        <w:rPr>
          <w:rFonts w:ascii="Consolas" w:cs="Consolas" w:eastAsia="Consolas" w:hAnsi="Consolas"/>
          <w:color w:val="24292E"/>
          <w:sz w:val="16"/>
          <w:szCs w:val="16"/>
        </w:rPr>
        <w:t xml:space="preserve">tempo, frequência e quem executa.</w:t>
      </w:r>
    </w:p>
    <w:p>
      <w:pPr>
        <w:pBdr>
          <w:left w:val="single" w:color="2E6DA4" w:sz="12" w:space="6"/>
        </w:pBdr>
        <w:shd w:fill="F6F8FA" w:color="auto" w:val="clear"/>
        <w:spacing w:after="0" w:before="0"/>
        <w:ind w:left="240" w:right="240"/>
      </w:pPr>
      <w:r>
        <w:rPr>
          <w:rFonts w:ascii="Consolas" w:cs="Consolas" w:eastAsia="Consolas" w:hAnsi="Consolas"/>
          <w:color w:val="24292E"/>
          <w:sz w:val="16"/>
          <w:szCs w:val="16"/>
        </w:rPr>
        <w:t xml:space="preserve"> </w:t>
      </w:r>
    </w:p>
    <w:p>
      <w:pPr>
        <w:pBdr>
          <w:left w:val="single" w:color="2E6DA4" w:sz="12" w:space="6"/>
        </w:pBdr>
        <w:shd w:fill="F6F8FA" w:color="auto" w:val="clear"/>
        <w:spacing w:after="0" w:before="0"/>
        <w:ind w:left="240" w:right="240"/>
      </w:pPr>
      <w:r>
        <w:rPr>
          <w:rFonts w:ascii="Consolas" w:cs="Consolas" w:eastAsia="Consolas" w:hAnsi="Consolas"/>
          <w:color w:val="24292E"/>
          <w:sz w:val="16"/>
          <w:szCs w:val="16"/>
        </w:rPr>
        <w:t xml:space="preserve">O PROBLEMA</w:t>
      </w:r>
    </w:p>
    <w:p>
      <w:pPr>
        <w:pBdr>
          <w:left w:val="single" w:color="2E6DA4" w:sz="12" w:space="6"/>
        </w:pBdr>
        <w:shd w:fill="F6F8FA" w:color="auto" w:val="clear"/>
        <w:spacing w:after="0" w:before="0"/>
        <w:ind w:left="240" w:right="240"/>
      </w:pPr>
      <w:r>
        <w:rPr>
          <w:rFonts w:ascii="Consolas" w:cs="Consolas" w:eastAsia="Consolas" w:hAnsi="Consolas"/>
          <w:color w:val="24292E"/>
          <w:sz w:val="16"/>
          <w:szCs w:val="16"/>
        </w:rPr>
        <w:t xml:space="preserve">Hoje vendemos serviço avulso com preço por item. Existe um conjunto grande de</w:t>
      </w:r>
    </w:p>
    <w:p>
      <w:pPr>
        <w:pBdr>
          <w:left w:val="single" w:color="2E6DA4" w:sz="12" w:space="6"/>
        </w:pBdr>
        <w:shd w:fill="F6F8FA" w:color="auto" w:val="clear"/>
        <w:spacing w:after="0" w:before="0"/>
        <w:ind w:left="240" w:right="240"/>
      </w:pPr>
      <w:r>
        <w:rPr>
          <w:rFonts w:ascii="Consolas" w:cs="Consolas" w:eastAsia="Consolas" w:hAnsi="Consolas"/>
          <w:color w:val="24292E"/>
          <w:sz w:val="16"/>
          <w:szCs w:val="16"/>
        </w:rPr>
        <w:t xml:space="preserve">trabalho relacional — acompanhamento, reuniões, coordenação com contador e</w:t>
      </w:r>
    </w:p>
    <w:p>
      <w:pPr>
        <w:pBdr>
          <w:left w:val="single" w:color="2E6DA4" w:sz="12" w:space="6"/>
        </w:pBdr>
        <w:shd w:fill="F6F8FA" w:color="auto" w:val="clear"/>
        <w:spacing w:after="0" w:before="0"/>
        <w:ind w:left="240" w:right="240"/>
      </w:pPr>
      <w:r>
        <w:rPr>
          <w:rFonts w:ascii="Consolas" w:cs="Consolas" w:eastAsia="Consolas" w:hAnsi="Consolas"/>
          <w:color w:val="24292E"/>
          <w:sz w:val="16"/>
          <w:szCs w:val="16"/>
        </w:rPr>
        <w:t xml:space="preserve">advogado, certidões, atas — que entregamos e não cobramos. O cliente recebe,</w:t>
      </w:r>
    </w:p>
    <w:p>
      <w:pPr>
        <w:pBdr>
          <w:left w:val="single" w:color="2E6DA4" w:sz="12" w:space="6"/>
        </w:pBdr>
        <w:shd w:fill="F6F8FA" w:color="auto" w:val="clear"/>
        <w:spacing w:after="0" w:before="0"/>
        <w:ind w:left="240" w:right="240"/>
      </w:pPr>
      <w:r>
        <w:rPr>
          <w:rFonts w:ascii="Consolas" w:cs="Consolas" w:eastAsia="Consolas" w:hAnsi="Consolas"/>
          <w:color w:val="24292E"/>
          <w:sz w:val="16"/>
          <w:szCs w:val="16"/>
        </w:rPr>
        <w:t xml:space="preserve">não sabe que recebe, e por isso não atribui valor. Além disso, 8 serviços de</w:t>
      </w:r>
    </w:p>
    <w:p>
      <w:pPr>
        <w:pBdr>
          <w:left w:val="single" w:color="2E6DA4" w:sz="12" w:space="6"/>
        </w:pBdr>
        <w:shd w:fill="F6F8FA" w:color="auto" w:val="clear"/>
        <w:spacing w:after="0" w:before="0"/>
        <w:ind w:left="240" w:right="240"/>
      </w:pPr>
      <w:r>
        <w:rPr>
          <w:rFonts w:ascii="Consolas" w:cs="Consolas" w:eastAsia="Consolas" w:hAnsi="Consolas"/>
          <w:color w:val="24292E"/>
          <w:sz w:val="16"/>
          <w:szCs w:val="16"/>
        </w:rPr>
        <w:t xml:space="preserve">reestruturação não têm preço nenhum e são cotados na hora.</w:t>
      </w:r>
    </w:p>
    <w:p>
      <w:pPr>
        <w:pBdr>
          <w:left w:val="single" w:color="2E6DA4" w:sz="12" w:space="6"/>
        </w:pBdr>
        <w:shd w:fill="F6F8FA" w:color="auto" w:val="clear"/>
        <w:spacing w:after="0" w:before="0"/>
        <w:ind w:left="240" w:right="240"/>
      </w:pPr>
      <w:r>
        <w:rPr>
          <w:rFonts w:ascii="Consolas" w:cs="Consolas" w:eastAsia="Consolas" w:hAnsi="Consolas"/>
          <w:color w:val="24292E"/>
          <w:sz w:val="16"/>
          <w:szCs w:val="16"/>
        </w:rPr>
        <w:t xml:space="preserve"> </w:t>
      </w:r>
    </w:p>
    <w:p>
      <w:pPr>
        <w:pBdr>
          <w:left w:val="single" w:color="2E6DA4" w:sz="12" w:space="6"/>
        </w:pBdr>
        <w:shd w:fill="F6F8FA" w:color="auto" w:val="clear"/>
        <w:spacing w:after="0" w:before="0"/>
        <w:ind w:left="240" w:right="240"/>
      </w:pPr>
      <w:r>
        <w:rPr>
          <w:rFonts w:ascii="Consolas" w:cs="Consolas" w:eastAsia="Consolas" w:hAnsi="Consolas"/>
          <w:color w:val="24292E"/>
          <w:sz w:val="16"/>
          <w:szCs w:val="16"/>
        </w:rPr>
        <w:t xml:space="preserve">O OBJETIVO</w:t>
      </w:r>
    </w:p>
    <w:p>
      <w:pPr>
        <w:pBdr>
          <w:left w:val="single" w:color="2E6DA4" w:sz="12" w:space="6"/>
        </w:pBdr>
        <w:shd w:fill="F6F8FA" w:color="auto" w:val="clear"/>
        <w:spacing w:after="0" w:before="0"/>
        <w:ind w:left="240" w:right="240"/>
      </w:pPr>
      <w:r>
        <w:rPr>
          <w:rFonts w:ascii="Consolas" w:cs="Consolas" w:eastAsia="Consolas" w:hAnsi="Consolas"/>
          <w:color w:val="24292E"/>
          <w:sz w:val="16"/>
          <w:szCs w:val="16"/>
        </w:rPr>
        <w:t xml:space="preserve">Planos em níveis onde fique explícito o que está incluído E o que não está.</w:t>
      </w:r>
    </w:p>
    <w:p>
      <w:pPr>
        <w:pBdr>
          <w:left w:val="single" w:color="2E6DA4" w:sz="12" w:space="6"/>
        </w:pBdr>
        <w:shd w:fill="F6F8FA" w:color="auto" w:val="clear"/>
        <w:spacing w:after="0" w:before="0"/>
        <w:ind w:left="240" w:right="240"/>
      </w:pPr>
      <w:r>
        <w:rPr>
          <w:rFonts w:ascii="Consolas" w:cs="Consolas" w:eastAsia="Consolas" w:hAnsi="Consolas"/>
          <w:color w:val="24292E"/>
          <w:sz w:val="16"/>
          <w:szCs w:val="16"/>
        </w:rPr>
        <w:t xml:space="preserve">A analogia: academia. O plano básico dá acesso às aulas. A sauna é do plano</w:t>
      </w:r>
    </w:p>
    <w:p>
      <w:pPr>
        <w:pBdr>
          <w:left w:val="single" w:color="2E6DA4" w:sz="12" w:space="6"/>
        </w:pBdr>
        <w:shd w:fill="F6F8FA" w:color="auto" w:val="clear"/>
        <w:spacing w:after="0" w:before="0"/>
        <w:ind w:left="240" w:right="240"/>
      </w:pPr>
      <w:r>
        <w:rPr>
          <w:rFonts w:ascii="Consolas" w:cs="Consolas" w:eastAsia="Consolas" w:hAnsi="Consolas"/>
          <w:color w:val="24292E"/>
          <w:sz w:val="16"/>
          <w:szCs w:val="16"/>
        </w:rPr>
        <w:t xml:space="preserve">superior ou se paga à parte. O importante é o cliente enxergar o que não</w:t>
      </w:r>
    </w:p>
    <w:p>
      <w:pPr>
        <w:pBdr>
          <w:left w:val="single" w:color="2E6DA4" w:sz="12" w:space="6"/>
        </w:pBdr>
        <w:shd w:fill="F6F8FA" w:color="auto" w:val="clear"/>
        <w:spacing w:after="0" w:before="0"/>
        <w:ind w:left="240" w:right="240"/>
      </w:pPr>
      <w:r>
        <w:rPr>
          <w:rFonts w:ascii="Consolas" w:cs="Consolas" w:eastAsia="Consolas" w:hAnsi="Consolas"/>
          <w:color w:val="24292E"/>
          <w:sz w:val="16"/>
          <w:szCs w:val="16"/>
        </w:rPr>
        <w:t xml:space="preserve">comprou — é daí que vem o valor percebido.</w:t>
      </w:r>
    </w:p>
    <w:p>
      <w:pPr>
        <w:pBdr>
          <w:left w:val="single" w:color="2E6DA4" w:sz="12" w:space="6"/>
        </w:pBdr>
        <w:shd w:fill="F6F8FA" w:color="auto" w:val="clear"/>
        <w:spacing w:after="0" w:before="0"/>
        <w:ind w:left="240" w:right="240"/>
      </w:pPr>
      <w:r>
        <w:rPr>
          <w:rFonts w:ascii="Consolas" w:cs="Consolas" w:eastAsia="Consolas" w:hAnsi="Consolas"/>
          <w:color w:val="24292E"/>
          <w:sz w:val="16"/>
          <w:szCs w:val="16"/>
        </w:rPr>
        <w:t xml:space="preserve"> </w:t>
      </w:r>
    </w:p>
    <w:p>
      <w:pPr>
        <w:pBdr>
          <w:left w:val="single" w:color="2E6DA4" w:sz="12" w:space="6"/>
        </w:pBdr>
        <w:shd w:fill="F6F8FA" w:color="auto" w:val="clear"/>
        <w:spacing w:after="0" w:before="0"/>
        <w:ind w:left="240" w:right="240"/>
      </w:pPr>
      <w:r>
        <w:rPr>
          <w:rFonts w:ascii="Consolas" w:cs="Consolas" w:eastAsia="Consolas" w:hAnsi="Consolas"/>
          <w:color w:val="24292E"/>
          <w:sz w:val="16"/>
          <w:szCs w:val="16"/>
        </w:rPr>
        <w:t xml:space="preserve">ENTREGÁVEIS</w:t>
      </w:r>
    </w:p>
    <w:p>
      <w:pPr>
        <w:pBdr>
          <w:left w:val="single" w:color="2E6DA4" w:sz="12" w:space="6"/>
        </w:pBdr>
        <w:shd w:fill="F6F8FA" w:color="auto" w:val="clear"/>
        <w:spacing w:after="0" w:before="0"/>
        <w:ind w:left="240" w:right="240"/>
      </w:pPr>
      <w:r>
        <w:rPr>
          <w:rFonts w:ascii="Consolas" w:cs="Consolas" w:eastAsia="Consolas" w:hAnsi="Consolas"/>
          <w:color w:val="24292E"/>
          <w:sz w:val="16"/>
          <w:szCs w:val="16"/>
        </w:rPr>
        <w:t xml:space="preserve"> </w:t>
      </w:r>
    </w:p>
    <w:p>
      <w:pPr>
        <w:pBdr>
          <w:left w:val="single" w:color="2E6DA4" w:sz="12" w:space="6"/>
        </w:pBdr>
        <w:shd w:fill="F6F8FA" w:color="auto" w:val="clear"/>
        <w:spacing w:after="0" w:before="0"/>
        <w:ind w:left="240" w:right="240"/>
      </w:pPr>
      <w:r>
        <w:rPr>
          <w:rFonts w:ascii="Consolas" w:cs="Consolas" w:eastAsia="Consolas" w:hAnsi="Consolas"/>
          <w:color w:val="24292E"/>
          <w:sz w:val="16"/>
          <w:szCs w:val="16"/>
        </w:rPr>
        <w:t xml:space="preserve">1. ALOCAÇÃO</w:t>
      </w:r>
    </w:p>
    <w:p>
      <w:pPr>
        <w:pBdr>
          <w:left w:val="single" w:color="2E6DA4" w:sz="12" w:space="6"/>
        </w:pBdr>
        <w:shd w:fill="F6F8FA" w:color="auto" w:val="clear"/>
        <w:spacing w:after="0" w:before="0"/>
        <w:ind w:left="240" w:right="240"/>
      </w:pPr>
      <w:r>
        <w:rPr>
          <w:rFonts w:ascii="Consolas" w:cs="Consolas" w:eastAsia="Consolas" w:hAnsi="Consolas"/>
          <w:color w:val="24292E"/>
          <w:sz w:val="16"/>
          <w:szCs w:val="16"/>
        </w:rPr>
        <w:t xml:space="preserve">   Distribuir todos os serviços — os da matriz e os invisíveis — entre três</w:t>
      </w:r>
    </w:p>
    <w:p>
      <w:pPr>
        <w:pBdr>
          <w:left w:val="single" w:color="2E6DA4" w:sz="12" w:space="6"/>
        </w:pBdr>
        <w:shd w:fill="F6F8FA" w:color="auto" w:val="clear"/>
        <w:spacing w:after="0" w:before="0"/>
        <w:ind w:left="240" w:right="240"/>
      </w:pPr>
      <w:r>
        <w:rPr>
          <w:rFonts w:ascii="Consolas" w:cs="Consolas" w:eastAsia="Consolas" w:hAnsi="Consolas"/>
          <w:color w:val="24292E"/>
          <w:sz w:val="16"/>
          <w:szCs w:val="16"/>
        </w:rPr>
        <w:t xml:space="preserve">   destinos: incluso no plano base, incluso em nível superior, ou sempre</w:t>
      </w:r>
    </w:p>
    <w:p>
      <w:pPr>
        <w:pBdr>
          <w:left w:val="single" w:color="2E6DA4" w:sz="12" w:space="6"/>
        </w:pBdr>
        <w:shd w:fill="F6F8FA" w:color="auto" w:val="clear"/>
        <w:spacing w:after="0" w:before="0"/>
        <w:ind w:left="240" w:right="240"/>
      </w:pPr>
      <w:r>
        <w:rPr>
          <w:rFonts w:ascii="Consolas" w:cs="Consolas" w:eastAsia="Consolas" w:hAnsi="Consolas"/>
          <w:color w:val="24292E"/>
          <w:sz w:val="16"/>
          <w:szCs w:val="16"/>
        </w:rPr>
        <w:t xml:space="preserve">   avulso. Justificar cada um com o dado de custo e frequência que te dei.</w:t>
      </w:r>
    </w:p>
    <w:p>
      <w:pPr>
        <w:pBdr>
          <w:left w:val="single" w:color="2E6DA4" w:sz="12" w:space="6"/>
        </w:pBdr>
        <w:shd w:fill="F6F8FA" w:color="auto" w:val="clear"/>
        <w:spacing w:after="0" w:before="0"/>
        <w:ind w:left="240" w:right="240"/>
      </w:pPr>
      <w:r>
        <w:rPr>
          <w:rFonts w:ascii="Consolas" w:cs="Consolas" w:eastAsia="Consolas" w:hAnsi="Consolas"/>
          <w:color w:val="24292E"/>
          <w:sz w:val="16"/>
          <w:szCs w:val="16"/>
        </w:rPr>
        <w:t xml:space="preserve"> </w:t>
      </w:r>
    </w:p>
    <w:p>
      <w:pPr>
        <w:pBdr>
          <w:left w:val="single" w:color="2E6DA4" w:sz="12" w:space="6"/>
        </w:pBdr>
        <w:shd w:fill="F6F8FA" w:color="auto" w:val="clear"/>
        <w:spacing w:after="0" w:before="0"/>
        <w:ind w:left="240" w:right="240"/>
      </w:pPr>
      <w:r>
        <w:rPr>
          <w:rFonts w:ascii="Consolas" w:cs="Consolas" w:eastAsia="Consolas" w:hAnsi="Consolas"/>
          <w:color w:val="24292E"/>
          <w:sz w:val="16"/>
          <w:szCs w:val="16"/>
        </w:rPr>
        <w:t xml:space="preserve">2. TRÊS PLANOS (sugestão: Essencial / Avançado / Private)</w:t>
      </w:r>
    </w:p>
    <w:p>
      <w:pPr>
        <w:pBdr>
          <w:left w:val="single" w:color="2E6DA4" w:sz="12" w:space="6"/>
        </w:pBdr>
        <w:shd w:fill="F6F8FA" w:color="auto" w:val="clear"/>
        <w:spacing w:after="0" w:before="0"/>
        <w:ind w:left="240" w:right="240"/>
      </w:pPr>
      <w:r>
        <w:rPr>
          <w:rFonts w:ascii="Consolas" w:cs="Consolas" w:eastAsia="Consolas" w:hAnsi="Consolas"/>
          <w:color w:val="24292E"/>
          <w:sz w:val="16"/>
          <w:szCs w:val="16"/>
        </w:rPr>
        <w:t xml:space="preserve">   Para cada um:</w:t>
      </w:r>
    </w:p>
    <w:p>
      <w:pPr>
        <w:pBdr>
          <w:left w:val="single" w:color="2E6DA4" w:sz="12" w:space="6"/>
        </w:pBdr>
        <w:shd w:fill="F6F8FA" w:color="auto" w:val="clear"/>
        <w:spacing w:after="0" w:before="0"/>
        <w:ind w:left="240" w:right="240"/>
      </w:pPr>
      <w:r>
        <w:rPr>
          <w:rFonts w:ascii="Consolas" w:cs="Consolas" w:eastAsia="Consolas" w:hAnsi="Consolas"/>
          <w:color w:val="24292E"/>
          <w:sz w:val="16"/>
          <w:szCs w:val="16"/>
        </w:rPr>
        <w:t xml:space="preserve">   - Serviços inclusos, lista fechada</w:t>
      </w:r>
    </w:p>
    <w:p>
      <w:pPr>
        <w:pBdr>
          <w:left w:val="single" w:color="2E6DA4" w:sz="12" w:space="6"/>
        </w:pBdr>
        <w:shd w:fill="F6F8FA" w:color="auto" w:val="clear"/>
        <w:spacing w:after="0" w:before="0"/>
        <w:ind w:left="240" w:right="240"/>
      </w:pPr>
      <w:r>
        <w:rPr>
          <w:rFonts w:ascii="Consolas" w:cs="Consolas" w:eastAsia="Consolas" w:hAnsi="Consolas"/>
          <w:color w:val="24292E"/>
          <w:sz w:val="16"/>
          <w:szCs w:val="16"/>
        </w:rPr>
        <w:t xml:space="preserve">   - Concierge incluso: quantas reuniões, qual tempo de resposta, quantas</w:t>
      </w:r>
    </w:p>
    <w:p>
      <w:pPr>
        <w:pBdr>
          <w:left w:val="single" w:color="2E6DA4" w:sz="12" w:space="6"/>
        </w:pBdr>
        <w:shd w:fill="F6F8FA" w:color="auto" w:val="clear"/>
        <w:spacing w:after="0" w:before="0"/>
        <w:ind w:left="240" w:right="240"/>
      </w:pPr>
      <w:r>
        <w:rPr>
          <w:rFonts w:ascii="Consolas" w:cs="Consolas" w:eastAsia="Consolas" w:hAnsi="Consolas"/>
          <w:color w:val="24292E"/>
          <w:sz w:val="16"/>
          <w:szCs w:val="16"/>
        </w:rPr>
        <w:t xml:space="preserve">     horas de coordenação com terceiros</w:t>
      </w:r>
    </w:p>
    <w:p>
      <w:pPr>
        <w:pBdr>
          <w:left w:val="single" w:color="2E6DA4" w:sz="12" w:space="6"/>
        </w:pBdr>
        <w:shd w:fill="F6F8FA" w:color="auto" w:val="clear"/>
        <w:spacing w:after="0" w:before="0"/>
        <w:ind w:left="240" w:right="240"/>
      </w:pPr>
      <w:r>
        <w:rPr>
          <w:rFonts w:ascii="Consolas" w:cs="Consolas" w:eastAsia="Consolas" w:hAnsi="Consolas"/>
          <w:color w:val="24292E"/>
          <w:sz w:val="16"/>
          <w:szCs w:val="16"/>
        </w:rPr>
        <w:t xml:space="preserve">   - O que explicitamente NÃO está incluso</w:t>
      </w:r>
    </w:p>
    <w:p>
      <w:pPr>
        <w:pBdr>
          <w:left w:val="single" w:color="2E6DA4" w:sz="12" w:space="6"/>
        </w:pBdr>
        <w:shd w:fill="F6F8FA" w:color="auto" w:val="clear"/>
        <w:spacing w:after="0" w:before="0"/>
        <w:ind w:left="240" w:right="240"/>
      </w:pPr>
      <w:r>
        <w:rPr>
          <w:rFonts w:ascii="Consolas" w:cs="Consolas" w:eastAsia="Consolas" w:hAnsi="Consolas"/>
          <w:color w:val="24292E"/>
          <w:sz w:val="16"/>
          <w:szCs w:val="16"/>
        </w:rPr>
        <w:t xml:space="preserve">   - Preço anual em USD, com a conta que chega nele</w:t>
      </w:r>
    </w:p>
    <w:p>
      <w:pPr>
        <w:pBdr>
          <w:left w:val="single" w:color="2E6DA4" w:sz="12" w:space="6"/>
        </w:pBdr>
        <w:shd w:fill="F6F8FA" w:color="auto" w:val="clear"/>
        <w:spacing w:after="0" w:before="0"/>
        <w:ind w:left="240" w:right="240"/>
      </w:pPr>
      <w:r>
        <w:rPr>
          <w:rFonts w:ascii="Consolas" w:cs="Consolas" w:eastAsia="Consolas" w:hAnsi="Consolas"/>
          <w:color w:val="24292E"/>
          <w:sz w:val="16"/>
          <w:szCs w:val="16"/>
        </w:rPr>
        <w:t xml:space="preserve">   - Qual perfil da nossa base se encaixa</w:t>
      </w:r>
    </w:p>
    <w:p>
      <w:pPr>
        <w:pBdr>
          <w:left w:val="single" w:color="2E6DA4" w:sz="12" w:space="6"/>
        </w:pBdr>
        <w:shd w:fill="F6F8FA" w:color="auto" w:val="clear"/>
        <w:spacing w:after="0" w:before="0"/>
        <w:ind w:left="240" w:right="240"/>
      </w:pPr>
      <w:r>
        <w:rPr>
          <w:rFonts w:ascii="Consolas" w:cs="Consolas" w:eastAsia="Consolas" w:hAnsi="Consolas"/>
          <w:color w:val="24292E"/>
          <w:sz w:val="16"/>
          <w:szCs w:val="16"/>
        </w:rPr>
        <w:t xml:space="preserve"> </w:t>
      </w:r>
    </w:p>
    <w:p>
      <w:pPr>
        <w:pBdr>
          <w:left w:val="single" w:color="2E6DA4" w:sz="12" w:space="6"/>
        </w:pBdr>
        <w:shd w:fill="F6F8FA" w:color="auto" w:val="clear"/>
        <w:spacing w:after="0" w:before="0"/>
        <w:ind w:left="240" w:right="240"/>
      </w:pPr>
      <w:r>
        <w:rPr>
          <w:rFonts w:ascii="Consolas" w:cs="Consolas" w:eastAsia="Consolas" w:hAnsi="Consolas"/>
          <w:color w:val="24292E"/>
          <w:sz w:val="16"/>
          <w:szCs w:val="16"/>
        </w:rPr>
        <w:t xml:space="preserve">3. PREÇO DO CONCIERGE</w:t>
      </w:r>
    </w:p>
    <w:p>
      <w:pPr>
        <w:pBdr>
          <w:left w:val="single" w:color="2E6DA4" w:sz="12" w:space="6"/>
        </w:pBdr>
        <w:shd w:fill="F6F8FA" w:color="auto" w:val="clear"/>
        <w:spacing w:after="0" w:before="0"/>
        <w:ind w:left="240" w:right="240"/>
      </w:pPr>
      <w:r>
        <w:rPr>
          <w:rFonts w:ascii="Consolas" w:cs="Consolas" w:eastAsia="Consolas" w:hAnsi="Consolas"/>
          <w:color w:val="24292E"/>
          <w:sz w:val="16"/>
          <w:szCs w:val="16"/>
        </w:rPr>
        <w:t xml:space="preserve">   Metodologia, não chute. Custo em horas, valor percebido, e o modelo:</w:t>
      </w:r>
    </w:p>
    <w:p>
      <w:pPr>
        <w:pBdr>
          <w:left w:val="single" w:color="2E6DA4" w:sz="12" w:space="6"/>
        </w:pBdr>
        <w:shd w:fill="F6F8FA" w:color="auto" w:val="clear"/>
        <w:spacing w:after="0" w:before="0"/>
        <w:ind w:left="240" w:right="240"/>
      </w:pPr>
      <w:r>
        <w:rPr>
          <w:rFonts w:ascii="Consolas" w:cs="Consolas" w:eastAsia="Consolas" w:hAnsi="Consolas"/>
          <w:color w:val="24292E"/>
          <w:sz w:val="16"/>
          <w:szCs w:val="16"/>
        </w:rPr>
        <w:t xml:space="preserve">   embutido no plano, taxa de acesso, ou pacote de horas. Mostre a conta.</w:t>
      </w:r>
    </w:p>
    <w:p>
      <w:pPr>
        <w:pBdr>
          <w:left w:val="single" w:color="2E6DA4" w:sz="12" w:space="6"/>
        </w:pBdr>
        <w:shd w:fill="F6F8FA" w:color="auto" w:val="clear"/>
        <w:spacing w:after="0" w:before="0"/>
        <w:ind w:left="240" w:right="240"/>
      </w:pPr>
      <w:r>
        <w:rPr>
          <w:rFonts w:ascii="Consolas" w:cs="Consolas" w:eastAsia="Consolas" w:hAnsi="Consolas"/>
          <w:color w:val="24292E"/>
          <w:sz w:val="16"/>
          <w:szCs w:val="16"/>
        </w:rPr>
        <w:t xml:space="preserve"> </w:t>
      </w:r>
    </w:p>
    <w:p>
      <w:pPr>
        <w:pBdr>
          <w:left w:val="single" w:color="2E6DA4" w:sz="12" w:space="6"/>
        </w:pBdr>
        <w:shd w:fill="F6F8FA" w:color="auto" w:val="clear"/>
        <w:spacing w:after="0" w:before="0"/>
        <w:ind w:left="240" w:right="240"/>
      </w:pPr>
      <w:r>
        <w:rPr>
          <w:rFonts w:ascii="Consolas" w:cs="Consolas" w:eastAsia="Consolas" w:hAnsi="Consolas"/>
          <w:color w:val="24292E"/>
          <w:sz w:val="16"/>
          <w:szCs w:val="16"/>
        </w:rPr>
        <w:t xml:space="preserve">4. OS 8 SERVIÇOS SEM PREÇO</w:t>
      </w:r>
    </w:p>
    <w:p>
      <w:pPr>
        <w:pBdr>
          <w:left w:val="single" w:color="2E6DA4" w:sz="12" w:space="6"/>
        </w:pBdr>
        <w:shd w:fill="F6F8FA" w:color="auto" w:val="clear"/>
        <w:spacing w:after="0" w:before="0"/>
        <w:ind w:left="240" w:right="240"/>
      </w:pPr>
      <w:r>
        <w:rPr>
          <w:rFonts w:ascii="Consolas" w:cs="Consolas" w:eastAsia="Consolas" w:hAnsi="Consolas"/>
          <w:color w:val="24292E"/>
          <w:sz w:val="16"/>
          <w:szCs w:val="16"/>
        </w:rPr>
        <w:t xml:space="preserve">   Propor faixa de preço para cada reestruturação, ou transformar em</w:t>
      </w:r>
    </w:p>
    <w:p>
      <w:pPr>
        <w:pBdr>
          <w:left w:val="single" w:color="2E6DA4" w:sz="12" w:space="6"/>
        </w:pBdr>
        <w:shd w:fill="F6F8FA" w:color="auto" w:val="clear"/>
        <w:spacing w:after="0" w:before="0"/>
        <w:ind w:left="240" w:right="240"/>
      </w:pPr>
      <w:r>
        <w:rPr>
          <w:rFonts w:ascii="Consolas" w:cs="Consolas" w:eastAsia="Consolas" w:hAnsi="Consolas"/>
          <w:color w:val="24292E"/>
          <w:sz w:val="16"/>
          <w:szCs w:val="16"/>
        </w:rPr>
        <w:t xml:space="preserve">   benefício de nível superior.</w:t>
      </w:r>
    </w:p>
    <w:p>
      <w:pPr>
        <w:pBdr>
          <w:left w:val="single" w:color="2E6DA4" w:sz="12" w:space="6"/>
        </w:pBdr>
        <w:shd w:fill="F6F8FA" w:color="auto" w:val="clear"/>
        <w:spacing w:after="0" w:before="0"/>
        <w:ind w:left="240" w:right="240"/>
      </w:pPr>
      <w:r>
        <w:rPr>
          <w:rFonts w:ascii="Consolas" w:cs="Consolas" w:eastAsia="Consolas" w:hAnsi="Consolas"/>
          <w:color w:val="24292E"/>
          <w:sz w:val="16"/>
          <w:szCs w:val="16"/>
        </w:rPr>
        <w:t xml:space="preserve"> </w:t>
      </w:r>
    </w:p>
    <w:p>
      <w:pPr>
        <w:pBdr>
          <w:left w:val="single" w:color="2E6DA4" w:sz="12" w:space="6"/>
        </w:pBdr>
        <w:shd w:fill="F6F8FA" w:color="auto" w:val="clear"/>
        <w:spacing w:after="0" w:before="0"/>
        <w:ind w:left="240" w:right="240"/>
      </w:pPr>
      <w:r>
        <w:rPr>
          <w:rFonts w:ascii="Consolas" w:cs="Consolas" w:eastAsia="Consolas" w:hAnsi="Consolas"/>
          <w:color w:val="24292E"/>
          <w:sz w:val="16"/>
          <w:szCs w:val="16"/>
        </w:rPr>
        <w:t xml:space="preserve">5. A SEÇÃO "NÃO INCLUÍDO"</w:t>
      </w:r>
    </w:p>
    <w:p>
      <w:pPr>
        <w:pBdr>
          <w:left w:val="single" w:color="2E6DA4" w:sz="12" w:space="6"/>
        </w:pBdr>
        <w:shd w:fill="F6F8FA" w:color="auto" w:val="clear"/>
        <w:spacing w:after="0" w:before="0"/>
        <w:ind w:left="240" w:right="240"/>
      </w:pPr>
      <w:r>
        <w:rPr>
          <w:rFonts w:ascii="Consolas" w:cs="Consolas" w:eastAsia="Consolas" w:hAnsi="Consolas"/>
          <w:color w:val="24292E"/>
          <w:sz w:val="16"/>
          <w:szCs w:val="16"/>
        </w:rPr>
        <w:t xml:space="preserve">   Hoje é uma cláusula genérica de 6 linhas no fim da proposta, que só nos</w:t>
      </w:r>
    </w:p>
    <w:p>
      <w:pPr>
        <w:pBdr>
          <w:left w:val="single" w:color="2E6DA4" w:sz="12" w:space="6"/>
        </w:pBdr>
        <w:shd w:fill="F6F8FA" w:color="auto" w:val="clear"/>
        <w:spacing w:after="0" w:before="0"/>
        <w:ind w:left="240" w:right="240"/>
      </w:pPr>
      <w:r>
        <w:rPr>
          <w:rFonts w:ascii="Consolas" w:cs="Consolas" w:eastAsia="Consolas" w:hAnsi="Consolas"/>
          <w:color w:val="24292E"/>
          <w:sz w:val="16"/>
          <w:szCs w:val="16"/>
        </w:rPr>
        <w:t xml:space="preserve">   protege juridicamente. Reescrever como tabela comparativa por nível, para</w:t>
      </w:r>
    </w:p>
    <w:p>
      <w:pPr>
        <w:pBdr>
          <w:left w:val="single" w:color="2E6DA4" w:sz="12" w:space="6"/>
        </w:pBdr>
        <w:shd w:fill="F6F8FA" w:color="auto" w:val="clear"/>
        <w:spacing w:after="0" w:before="0"/>
        <w:ind w:left="240" w:right="240"/>
      </w:pPr>
      <w:r>
        <w:rPr>
          <w:rFonts w:ascii="Consolas" w:cs="Consolas" w:eastAsia="Consolas" w:hAnsi="Consolas"/>
          <w:color w:val="24292E"/>
          <w:sz w:val="16"/>
          <w:szCs w:val="16"/>
        </w:rPr>
        <w:t xml:space="preserve">   o cliente ver o que está deixando na mesa.</w:t>
      </w:r>
    </w:p>
    <w:p>
      <w:pPr>
        <w:pBdr>
          <w:left w:val="single" w:color="2E6DA4" w:sz="12" w:space="6"/>
        </w:pBdr>
        <w:shd w:fill="F6F8FA" w:color="auto" w:val="clear"/>
        <w:spacing w:after="0" w:before="0"/>
        <w:ind w:left="240" w:right="240"/>
      </w:pPr>
      <w:r>
        <w:rPr>
          <w:rFonts w:ascii="Consolas" w:cs="Consolas" w:eastAsia="Consolas" w:hAnsi="Consolas"/>
          <w:color w:val="24292E"/>
          <w:sz w:val="16"/>
          <w:szCs w:val="16"/>
        </w:rPr>
        <w:t xml:space="preserve"> </w:t>
      </w:r>
    </w:p>
    <w:p>
      <w:pPr>
        <w:pBdr>
          <w:left w:val="single" w:color="2E6DA4" w:sz="12" w:space="6"/>
        </w:pBdr>
        <w:shd w:fill="F6F8FA" w:color="auto" w:val="clear"/>
        <w:spacing w:after="0" w:before="0"/>
        <w:ind w:left="240" w:right="240"/>
      </w:pPr>
      <w:r>
        <w:rPr>
          <w:rFonts w:ascii="Consolas" w:cs="Consolas" w:eastAsia="Consolas" w:hAnsi="Consolas"/>
          <w:color w:val="24292E"/>
          <w:sz w:val="16"/>
          <w:szCs w:val="16"/>
        </w:rPr>
        <w:t xml:space="preserve">6. RISCOS E TRANSIÇÃO</w:t>
      </w:r>
    </w:p>
    <w:p>
      <w:pPr>
        <w:pBdr>
          <w:left w:val="single" w:color="2E6DA4" w:sz="12" w:space="6"/>
        </w:pBdr>
        <w:shd w:fill="F6F8FA" w:color="auto" w:val="clear"/>
        <w:spacing w:after="0" w:before="0"/>
        <w:ind w:left="240" w:right="240"/>
      </w:pPr>
      <w:r>
        <w:rPr>
          <w:rFonts w:ascii="Consolas" w:cs="Consolas" w:eastAsia="Consolas" w:hAnsi="Consolas"/>
          <w:color w:val="24292E"/>
          <w:sz w:val="16"/>
          <w:szCs w:val="16"/>
        </w:rPr>
        <w:t xml:space="preserve">   Onde isso gera atrito com a base atual. Como migrar quem já é cliente.</w:t>
      </w:r>
    </w:p>
    <w:p>
      <w:pPr>
        <w:pBdr>
          <w:left w:val="single" w:color="2E6DA4" w:sz="12" w:space="6"/>
        </w:pBdr>
        <w:shd w:fill="F6F8FA" w:color="auto" w:val="clear"/>
        <w:spacing w:after="0" w:before="0"/>
        <w:ind w:left="240" w:right="240"/>
      </w:pPr>
      <w:r>
        <w:rPr>
          <w:rFonts w:ascii="Consolas" w:cs="Consolas" w:eastAsia="Consolas" w:hAnsi="Consolas"/>
          <w:color w:val="24292E"/>
          <w:sz w:val="16"/>
          <w:szCs w:val="16"/>
        </w:rPr>
        <w:t xml:space="preserve">   O que responder para quem reclamar de pagar por algo que era de graça.</w:t>
      </w:r>
    </w:p>
    <w:p>
      <w:pPr>
        <w:pBdr>
          <w:left w:val="single" w:color="2E6DA4" w:sz="12" w:space="6"/>
        </w:pBdr>
        <w:shd w:fill="F6F8FA" w:color="auto" w:val="clear"/>
        <w:spacing w:after="0" w:before="0"/>
        <w:ind w:left="240" w:right="240"/>
      </w:pPr>
      <w:r>
        <w:rPr>
          <w:rFonts w:ascii="Consolas" w:cs="Consolas" w:eastAsia="Consolas" w:hAnsi="Consolas"/>
          <w:color w:val="24292E"/>
          <w:sz w:val="16"/>
          <w:szCs w:val="16"/>
        </w:rPr>
        <w:t xml:space="preserve"> </w:t>
      </w:r>
    </w:p>
    <w:p>
      <w:pPr>
        <w:pBdr>
          <w:left w:val="single" w:color="2E6DA4" w:sz="12" w:space="6"/>
        </w:pBdr>
        <w:shd w:fill="F6F8FA" w:color="auto" w:val="clear"/>
        <w:spacing w:after="0" w:before="0"/>
        <w:ind w:left="240" w:right="240"/>
      </w:pPr>
      <w:r>
        <w:rPr>
          <w:rFonts w:ascii="Consolas" w:cs="Consolas" w:eastAsia="Consolas" w:hAnsi="Consolas"/>
          <w:color w:val="24292E"/>
          <w:sz w:val="16"/>
          <w:szCs w:val="16"/>
        </w:rPr>
        <w:t xml:space="preserve">REGRAS</w:t>
      </w:r>
    </w:p>
    <w:p>
      <w:pPr>
        <w:pBdr>
          <w:left w:val="single" w:color="2E6DA4" w:sz="12" w:space="6"/>
        </w:pBdr>
        <w:shd w:fill="F6F8FA" w:color="auto" w:val="clear"/>
        <w:spacing w:after="0" w:before="0"/>
        <w:ind w:left="240" w:right="240"/>
      </w:pPr>
      <w:r>
        <w:rPr>
          <w:rFonts w:ascii="Consolas" w:cs="Consolas" w:eastAsia="Consolas" w:hAnsi="Consolas"/>
          <w:color w:val="24292E"/>
          <w:sz w:val="16"/>
          <w:szCs w:val="16"/>
        </w:rPr>
        <w:t xml:space="preserve">- Não invente número que não esteja no anexo. Se faltar dado, pergunte.</w:t>
      </w:r>
    </w:p>
    <w:p>
      <w:pPr>
        <w:pBdr>
          <w:left w:val="single" w:color="2E6DA4" w:sz="12" w:space="6"/>
        </w:pBdr>
        <w:shd w:fill="F6F8FA" w:color="auto" w:val="clear"/>
        <w:spacing w:after="0" w:before="0"/>
        <w:ind w:left="240" w:right="240"/>
      </w:pPr>
      <w:r>
        <w:rPr>
          <w:rFonts w:ascii="Consolas" w:cs="Consolas" w:eastAsia="Consolas" w:hAnsi="Consolas"/>
          <w:color w:val="24292E"/>
          <w:sz w:val="16"/>
          <w:szCs w:val="16"/>
        </w:rPr>
        <w:t xml:space="preserve">- Seja específico: USD, número de reuniões, prazo em dias úteis.</w:t>
      </w:r>
    </w:p>
    <w:p>
      <w:pPr>
        <w:pBdr>
          <w:left w:val="single" w:color="2E6DA4" w:sz="12" w:space="6"/>
        </w:pBdr>
        <w:shd w:fill="F6F8FA" w:color="auto" w:val="clear"/>
        <w:spacing w:after="0" w:before="0"/>
        <w:ind w:left="240" w:right="240"/>
      </w:pPr>
      <w:r>
        <w:rPr>
          <w:rFonts w:ascii="Consolas" w:cs="Consolas" w:eastAsia="Consolas" w:hAnsi="Consolas"/>
          <w:color w:val="24292E"/>
          <w:sz w:val="16"/>
          <w:szCs w:val="16"/>
        </w:rPr>
        <w:t xml:space="preserve">- Nossa base é brasileira e sensível a preço, mas compra estruturas de</w:t>
      </w:r>
    </w:p>
    <w:p>
      <w:pPr>
        <w:pBdr>
          <w:left w:val="single" w:color="2E6DA4" w:sz="12" w:space="6"/>
        </w:pBdr>
        <w:shd w:fill="F6F8FA" w:color="auto" w:val="clear"/>
        <w:spacing w:after="0" w:before="0"/>
        <w:ind w:left="240" w:right="240"/>
      </w:pPr>
      <w:r>
        <w:rPr>
          <w:rFonts w:ascii="Consolas" w:cs="Consolas" w:eastAsia="Consolas" w:hAnsi="Consolas"/>
          <w:color w:val="24292E"/>
          <w:sz w:val="16"/>
          <w:szCs w:val="16"/>
        </w:rPr>
        <w:t xml:space="preserve">  USD 3.000 a USD 15.000+.</w:t>
      </w:r>
    </w:p>
    <w:p>
      <w:pPr>
        <w:pBdr>
          <w:left w:val="single" w:color="2E6DA4" w:sz="12" w:space="6"/>
        </w:pBdr>
        <w:shd w:fill="F6F8FA" w:color="auto" w:val="clear"/>
        <w:spacing w:after="0" w:before="0"/>
        <w:ind w:left="240" w:right="240"/>
      </w:pPr>
      <w:r>
        <w:rPr>
          <w:rFonts w:ascii="Consolas" w:cs="Consolas" w:eastAsia="Consolas" w:hAnsi="Consolas"/>
          <w:color w:val="24292E"/>
          <w:sz w:val="16"/>
          <w:szCs w:val="16"/>
        </w:rPr>
        <w:t xml:space="preserve">- Pense em receita recorrente. O dinheiro está na manutenção e na</w:t>
      </w:r>
    </w:p>
    <w:p>
      <w:pPr>
        <w:pBdr>
          <w:left w:val="single" w:color="2E6DA4" w:sz="12" w:space="6"/>
        </w:pBdr>
        <w:shd w:fill="F6F8FA" w:color="auto" w:val="clear"/>
        <w:spacing w:after="160" w:before="0"/>
        <w:ind w:left="240" w:right="240"/>
      </w:pPr>
      <w:r>
        <w:rPr>
          <w:rFonts w:ascii="Consolas" w:cs="Consolas" w:eastAsia="Consolas" w:hAnsi="Consolas"/>
          <w:color w:val="24292E"/>
          <w:sz w:val="16"/>
          <w:szCs w:val="16"/>
        </w:rPr>
        <w:t xml:space="preserve">  contabilidade, não na constituição.</w:t>
      </w:r>
    </w:p>
    <w:p>
      <w:pPr>
        <w:pBdr>
          <w:bottom w:val="single" w:color="C9D4E0" w:sz="6" w:space="1"/>
        </w:pBdr>
        <w:spacing w:after="200" w:before="160"/>
      </w:pPr>
      <w:r>
        <w:t xml:space="preserve"/>
      </w:r>
    </w:p>
    <w:p>
      <w:pPr>
        <w:pStyle w:val="Heading2"/>
        <w:spacing w:after="140" w:before="340"/>
      </w:pPr>
      <w:r>
        <w:rPr>
          <w:rFonts w:ascii="Calibri" w:cs="Calibri" w:eastAsia="Calibri" w:hAnsi="Calibri"/>
          <w:b/>
          <w:bCs/>
          <w:color w:val="1F3A5F"/>
          <w:sz w:val="26"/>
          <w:szCs w:val="26"/>
        </w:rPr>
        <w:t xml:space="preserve">Sequência</w:t>
      </w:r>
    </w:p>
    <w:tbl>
      <w:tblPr>
        <w:tblW w:type="dxa" w:w="9746"/>
        <w:tblBorders>
          <w:top w:val="single" w:color="C9D4E0" w:sz="2"/>
          <w:left w:val="single" w:color="C9D4E0" w:sz="2"/>
          <w:bottom w:val="single" w:color="C9D4E0" w:sz="2"/>
          <w:right w:val="single" w:color="C9D4E0" w:sz="2"/>
          <w:insideH w:val="single" w:color="C9D4E0" w:sz="2"/>
          <w:insideV w:val="single" w:color="C9D4E0" w:sz="2"/>
        </w:tblBorders>
      </w:tblPr>
      <w:tblGrid>
        <w:gridCol w:w="657"/>
        <w:gridCol w:w="6570"/>
        <w:gridCol w:w="2519"/>
      </w:tblGrid>
      <w:tr>
        <w:trPr>
          <w:tblHeader/>
        </w:trPr>
        <w:tc>
          <w:tcPr>
            <w:tcW w:type="dxa" w:w="657"/>
            <w:shd w:fill="1F3A5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6570"/>
            <w:shd w:fill="1F3A5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Etapa</w:t>
            </w:r>
          </w:p>
        </w:tc>
        <w:tc>
          <w:tcPr>
            <w:tcW w:type="dxa" w:w="2519"/>
            <w:shd w:fill="1F3A5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Quem</w:t>
            </w:r>
          </w:p>
        </w:tc>
      </w:tr>
      <w:tr>
        <w:tc>
          <w:tcPr>
            <w:tcW w:type="dxa" w:w="657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657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Preencher a lista da Parte 3.1 — cada uma separadamente, depois cruzar</w:t>
            </w:r>
          </w:p>
        </w:tc>
        <w:tc>
          <w:tcPr>
            <w:tcW w:type="dxa" w:w="2519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Claudia, Fabiana, Meire</w:t>
            </w:r>
          </w:p>
        </w:tc>
      </w:tr>
      <w:tr>
        <w:tc>
          <w:tcPr>
            <w:tcW w:type="dxa" w:w="657"/>
            <w:shd w:fill="F2F5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6570"/>
            <w:shd w:fill="F2F5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Medir os 5 campos da Parte 3.2 para tudo que foi marcado</w:t>
            </w:r>
          </w:p>
        </w:tc>
        <w:tc>
          <w:tcPr>
            <w:tcW w:type="dxa" w:w="2519"/>
            <w:shd w:fill="F2F5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As três juntas</w:t>
            </w:r>
          </w:p>
        </w:tc>
      </w:tr>
      <w:tr>
        <w:tc>
          <w:tcPr>
            <w:tcW w:type="dxa" w:w="657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657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Levantar nº de clientes, ticket anual, e quem consome mais concierge</w:t>
            </w:r>
          </w:p>
        </w:tc>
        <w:tc>
          <w:tcPr>
            <w:tcW w:type="dxa" w:w="2519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Claudia</w:t>
            </w:r>
          </w:p>
        </w:tc>
      </w:tr>
      <w:tr>
        <w:tc>
          <w:tcPr>
            <w:tcW w:type="dxa" w:w="657"/>
            <w:shd w:fill="F2F5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6570"/>
            <w:shd w:fill="F2F5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Rodar o prompt da Parte 4</w:t>
            </w:r>
          </w:p>
        </w:tc>
        <w:tc>
          <w:tcPr>
            <w:tcW w:type="dxa" w:w="2519"/>
            <w:shd w:fill="F2F5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Sessão com Claude</w:t>
            </w:r>
          </w:p>
        </w:tc>
      </w:tr>
    </w:tbl>
    <w:p>
      <w:pPr>
        <w:spacing w:after="200"/>
      </w:pPr>
      <w:r>
        <w:t xml:space="preserve"/>
      </w:r>
    </w:p>
    <w:p>
      <w:pPr>
        <w:spacing w:after="120" w:before="60"/>
      </w:pPr>
      <w:r>
        <w:rPr>
          <w:rFonts w:ascii="Calibri" w:cs="Calibri" w:eastAsia="Calibri" w:hAnsi="Calibri"/>
          <w:color w:val="000000"/>
          <w:sz w:val="20"/>
          <w:szCs w:val="20"/>
        </w:rPr>
        <w:t xml:space="preserve">As etapas 1 a 3 dependem só da FGC. **Sem elas, o prompt da etapa 4 devolve</w:t>
      </w:r>
    </w:p>
    <w:p>
      <w:pPr>
        <w:spacing w:after="120" w:before="60"/>
      </w:pPr>
      <w:r>
        <w:rPr>
          <w:rFonts w:ascii="Calibri" w:cs="Calibri" w:eastAsia="Calibri" w:hAnsi="Calibri"/>
          <w:color w:val="000000"/>
          <w:sz w:val="20"/>
          <w:szCs w:val="20"/>
        </w:rPr>
        <w:t xml:space="preserve">número inventado.**</w:t>
      </w:r>
    </w:p>
    <w:p>
      <w:pPr>
        <w:pBdr>
          <w:bottom w:val="single" w:color="C9D4E0" w:sz="6" w:space="1"/>
        </w:pBdr>
        <w:spacing w:after="200" w:before="160"/>
      </w:pPr>
      <w:r>
        <w:t xml:space="preserve"/>
      </w:r>
    </w:p>
    <w:p>
      <w:pPr>
        <w:spacing w:after="120" w:before="60"/>
      </w:pPr>
      <w:r>
        <w:rPr>
          <w:rFonts w:ascii="Calibri" w:cs="Calibri" w:eastAsia="Calibri" w:hAnsi="Calibri"/>
          <w:color w:val="000000"/>
          <w:sz w:val="20"/>
          <w:szCs w:val="20"/>
        </w:rPr>
        <w:t xml:space="preserve">*O escopo detalhado de cada serviço — o que está incluído item a item em cada</w:t>
      </w:r>
    </w:p>
    <w:p>
      <w:pPr>
        <w:spacing w:after="120" w:before="60"/>
      </w:pPr>
      <w:r>
        <w:rPr>
          <w:rFonts w:ascii="Calibri" w:cs="Calibri" w:eastAsia="Calibri" w:hAnsi="Calibri"/>
          <w:color w:val="000000"/>
          <w:sz w:val="20"/>
          <w:szCs w:val="20"/>
        </w:rPr>
        <w:t xml:space="preserve">constituição, manutenção, transferência e dissolução — está no anexo separado</w:t>
      </w:r>
    </w:p>
    <w:p>
      <w:pPr>
        <w:spacing w:after="120" w:before="60"/>
      </w:pPr>
      <w:r>
        <w:rPr>
          <w:rFonts w:ascii="Calibri" w:cs="Calibri" w:eastAsia="Calibri" w:hAnsi="Calibri"/>
          <w:color w:val="000000"/>
          <w:sz w:val="20"/>
          <w:szCs w:val="20"/>
        </w:rPr>
        <w:t xml:space="preserve">"FGC — Anexo, escopo detalhado por serviço".*</w:t>
      </w:r>
    </w:p>
    <w:sectPr>
      <w:headerReference w:type="default" r:id="rId7"/>
      <w:footerReference w:type="default" r:id="rId8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595959"/>
        <w:sz w:val="15"/>
        <w:szCs w:val="15"/>
      </w:rPr>
      <w:t xml:space="preserve">Página </w:t>
    </w:r>
    <w:r>
      <w:rPr>
        <w:color w:val="595959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D4E0" w:sz="4" w:space="4"/>
      </w:pBdr>
      <w:spacing w:after="120"/>
    </w:pPr>
    <w:r>
      <w:rPr>
        <w:color w:val="595959"/>
        <w:sz w:val="15"/>
        <w:szCs w:val="15"/>
      </w:rPr>
      <w:t xml:space="preserve">FGC Advisors  ·  Catálogo de Serviços e Projeto de Pacotes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40" w:hanging="200"/>
      </w:pPr>
      <w:rPr>
        <w:color w:val="2E6DA4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80" w:hanging="240"/>
      </w:pPr>
      <w:rPr>
        <w:b/>
        <w:bCs/>
        <w:color w:val="2E6DA4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FGC — Catálogo de Serviços e Valores</dc:title>
  <dc:creator>FGC Advisors</dc:creator>
  <dc:description>Export do Gerador de Propostas v2 + framework de pacotes</dc:description>
  <cp:lastModifiedBy>Un-named</cp:lastModifiedBy>
  <cp:revision>1</cp:revision>
  <dcterms:created xsi:type="dcterms:W3CDTF">2026-09-11T00:22:38.309Z</dcterms:created>
  <dcterms:modified xsi:type="dcterms:W3CDTF">2026-09-11T00:22:38.316Z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