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40"/>
      </w:pPr>
      <w:r>
        <w:rPr>
          <w:rFonts w:ascii="Calibri" w:cs="Calibri" w:eastAsia="Calibri" w:hAnsi="Calibri"/>
          <w:b/>
          <w:bCs/>
          <w:color w:val="1F3A5F"/>
          <w:sz w:val="34"/>
          <w:szCs w:val="34"/>
        </w:rPr>
        <w:t xml:space="preserve">FGC — Catálogo Completo de Serviços e Valores</w:t>
      </w:r>
    </w:p>
    <w:p>
      <w:pPr>
        <w:pBdr>
          <w:bottom w:val="single" w:color="2E6DA4" w:sz="12" w:space="2"/>
        </w:pBdr>
        <w:spacing w:after="200"/>
      </w:pPr>
      <w:r>
        <w:t xml:space="preserve"/>
      </w:r>
    </w:p>
    <w:p>
      <w:pPr>
        <w:spacing w:after="120" w:before="60"/>
      </w:pPr>
      <w:r>
        <w:rPr>
          <w:rFonts w:ascii="Calibri" w:cs="Calibri" w:eastAsia="Calibri" w:hAnsi="Calibri"/>
          <w:b/>
          <w:bCs/>
          <w:color w:val="000000"/>
          <w:sz w:val="20"/>
          <w:szCs w:val="20"/>
        </w:rPr>
        <w:t xml:space="preserve">Exportado do Gerador de Propostas v2 em 10/09/2026</w:t>
      </w:r>
    </w:p>
    <w:p>
      <w:pPr>
        <w:spacing w:after="120" w:before="60"/>
      </w:pPr>
      <w:r>
        <w:rPr>
          <w:rFonts w:ascii="Calibri" w:cs="Calibri" w:eastAsia="Calibri" w:hAnsi="Calibri"/>
          <w:color w:val="000000"/>
          <w:sz w:val="20"/>
          <w:szCs w:val="20"/>
        </w:rPr>
        <w:t xml:space="preserve">Fonte: </w:t>
      </w:r>
      <w:r>
        <w:rPr>
          <w:rFonts w:ascii="Consolas" w:cs="Consolas" w:eastAsia="Consolas" w:hAnsi="Consolas"/>
          <w:color w:val="2E6DA4"/>
          <w:sz w:val="18"/>
          <w:szCs w:val="18"/>
        </w:rPr>
        <w:t xml:space="preserve">index.html</w:t>
      </w:r>
      <w:r>
        <w:rPr>
          <w:rFonts w:ascii="Calibri" w:cs="Calibri" w:eastAsia="Calibri" w:hAnsi="Calibri"/>
          <w:color w:val="000000"/>
          <w:sz w:val="20"/>
          <w:szCs w:val="20"/>
        </w:rPr>
        <w:t xml:space="preserve"> → </w:t>
      </w:r>
      <w:r>
        <w:rPr>
          <w:rFonts w:ascii="Consolas" w:cs="Consolas" w:eastAsia="Consolas" w:hAnsi="Consolas"/>
          <w:color w:val="2E6DA4"/>
          <w:sz w:val="18"/>
          <w:szCs w:val="18"/>
        </w:rPr>
        <w:t xml:space="preserve">FGC_CONFIG.services</w:t>
      </w:r>
      <w:r>
        <w:rPr>
          <w:rFonts w:ascii="Calibri" w:cs="Calibri" w:eastAsia="Calibri" w:hAnsi="Calibri"/>
          <w:color w:val="000000"/>
          <w:sz w:val="20"/>
          <w:szCs w:val="20"/>
        </w:rPr>
        <w:t xml:space="preserve"> + </w:t>
      </w:r>
      <w:r>
        <w:rPr>
          <w:rFonts w:ascii="Consolas" w:cs="Consolas" w:eastAsia="Consolas" w:hAnsi="Consolas"/>
          <w:color w:val="2E6DA4"/>
          <w:sz w:val="18"/>
          <w:szCs w:val="18"/>
        </w:rPr>
        <w:t xml:space="preserve">FGC_CONFIG.terms.pt</w:t>
      </w:r>
    </w:p>
    <w:p>
      <w:pPr>
        <w:spacing w:after="120" w:before="60"/>
      </w:pPr>
      <w:r>
        <w:rPr>
          <w:rFonts w:ascii="Calibri" w:cs="Calibri" w:eastAsia="Calibri" w:hAnsi="Calibri"/>
          <w:color w:val="000000"/>
          <w:sz w:val="20"/>
          <w:szCs w:val="20"/>
        </w:rPr>
        <w:t xml:space="preserve">Todos os valores em USD. Este é o estado atual do gerador — nada foi ajustado ou interpretado.</w:t>
      </w:r>
    </w:p>
    <w:p>
      <w:pPr>
        <w:pBdr>
          <w:bottom w:val="single" w:color="C9D4E0" w:sz="6" w:space="1"/>
        </w:pBdr>
        <w:spacing w:after="200" w:before="160"/>
      </w:pPr>
      <w:r>
        <w:t xml:space="preserve"/>
      </w:r>
    </w:p>
    <w:p>
      <w:pPr>
        <w:pStyle w:val="Heading2"/>
        <w:spacing w:after="140" w:before="340"/>
      </w:pPr>
      <w:r>
        <w:rPr>
          <w:rFonts w:ascii="Calibri" w:cs="Calibri" w:eastAsia="Calibri" w:hAnsi="Calibri"/>
          <w:b/>
          <w:bCs/>
          <w:color w:val="1F3A5F"/>
          <w:sz w:val="26"/>
          <w:szCs w:val="26"/>
        </w:rPr>
        <w:t xml:space="preserve">Resumo executivo — 73 serviços em 9 categorias</w:t>
      </w:r>
    </w:p>
    <w:tbl>
      <w:tblPr>
        <w:tblW w:type="dxa" w:w="9746"/>
        <w:tblBorders>
          <w:top w:val="single" w:color="C9D4E0" w:sz="2"/>
          <w:left w:val="single" w:color="C9D4E0" w:sz="2"/>
          <w:bottom w:val="single" w:color="C9D4E0" w:sz="2"/>
          <w:right w:val="single" w:color="C9D4E0" w:sz="2"/>
          <w:insideH w:val="single" w:color="C9D4E0" w:sz="2"/>
          <w:insideV w:val="single" w:color="C9D4E0" w:sz="2"/>
        </w:tblBorders>
      </w:tblPr>
      <w:tblGrid>
        <w:gridCol w:w="3096"/>
        <w:gridCol w:w="2368"/>
        <w:gridCol w:w="2459"/>
        <w:gridCol w:w="1823"/>
      </w:tblGrid>
      <w:tr>
        <w:trPr>
          <w:tblHeader/>
        </w:trPr>
        <w:tc>
          <w:tcPr>
            <w:tcW w:type="dxa" w:w="3096"/>
            <w:shd w:fill="1F3A5F" w:color="auto" w:val="clear"/>
            <w:tcMar>
              <w:top w:type="dxa" w:w="60"/>
              <w:left w:type="dxa" w:w="110"/>
              <w:bottom w:type="dxa" w:w="60"/>
              <w:right w:type="dxa" w:w="110"/>
            </w:tcMar>
          </w:tcPr>
          <w:p>
            <w:pPr>
              <w:spacing w:after="0" w:before="0"/>
              <w:jc w:val="left"/>
            </w:pPr>
            <w:r>
              <w:rPr>
                <w:rFonts w:ascii="Calibri" w:cs="Calibri" w:eastAsia="Calibri" w:hAnsi="Calibri"/>
                <w:b/>
                <w:bCs/>
                <w:color w:val="FFFFFF"/>
                <w:sz w:val="18"/>
                <w:szCs w:val="18"/>
              </w:rPr>
              <w:t xml:space="preserve">Categoria</w:t>
            </w:r>
          </w:p>
        </w:tc>
        <w:tc>
          <w:tcPr>
            <w:tcW w:type="dxa" w:w="2368"/>
            <w:shd w:fill="1F3A5F" w:color="auto" w:val="clear"/>
            <w:tcMar>
              <w:top w:type="dxa" w:w="60"/>
              <w:left w:type="dxa" w:w="110"/>
              <w:bottom w:type="dxa" w:w="60"/>
              <w:right w:type="dxa" w:w="110"/>
            </w:tcMar>
          </w:tcPr>
          <w:p>
            <w:pPr>
              <w:spacing w:after="0" w:before="0"/>
              <w:jc w:val="left"/>
            </w:pPr>
            <w:r>
              <w:rPr>
                <w:rFonts w:ascii="Calibri" w:cs="Calibri" w:eastAsia="Calibri" w:hAnsi="Calibri"/>
                <w:b/>
                <w:bCs/>
                <w:color w:val="FFFFFF"/>
                <w:sz w:val="18"/>
                <w:szCs w:val="18"/>
              </w:rPr>
              <w:t xml:space="preserve">Nº de serviços</w:t>
            </w:r>
          </w:p>
        </w:tc>
        <w:tc>
          <w:tcPr>
            <w:tcW w:type="dxa" w:w="2459"/>
            <w:shd w:fill="1F3A5F" w:color="auto" w:val="clear"/>
            <w:tcMar>
              <w:top w:type="dxa" w:w="60"/>
              <w:left w:type="dxa" w:w="110"/>
              <w:bottom w:type="dxa" w:w="60"/>
              <w:right w:type="dxa" w:w="110"/>
            </w:tcMar>
          </w:tcPr>
          <w:p>
            <w:pPr>
              <w:spacing w:after="0" w:before="0"/>
              <w:jc w:val="left"/>
            </w:pPr>
            <w:r>
              <w:rPr>
                <w:rFonts w:ascii="Calibri" w:cs="Calibri" w:eastAsia="Calibri" w:hAnsi="Calibri"/>
                <w:b/>
                <w:bCs/>
                <w:color w:val="FFFFFF"/>
                <w:sz w:val="18"/>
                <w:szCs w:val="18"/>
              </w:rPr>
              <w:t xml:space="preserve">Faixa de preço</w:t>
            </w:r>
          </w:p>
        </w:tc>
        <w:tc>
          <w:tcPr>
            <w:tcW w:type="dxa" w:w="1823"/>
            <w:shd w:fill="1F3A5F" w:color="auto" w:val="clear"/>
            <w:tcMar>
              <w:top w:type="dxa" w:w="60"/>
              <w:left w:type="dxa" w:w="110"/>
              <w:bottom w:type="dxa" w:w="60"/>
              <w:right w:type="dxa" w:w="110"/>
            </w:tcMar>
          </w:tcPr>
          <w:p>
            <w:pPr>
              <w:spacing w:after="0" w:before="0"/>
              <w:jc w:val="left"/>
            </w:pPr>
            <w:r>
              <w:rPr>
                <w:rFonts w:ascii="Calibri" w:cs="Calibri" w:eastAsia="Calibri" w:hAnsi="Calibri"/>
                <w:b/>
                <w:bCs/>
                <w:color w:val="FFFFFF"/>
                <w:sz w:val="18"/>
                <w:szCs w:val="18"/>
              </w:rPr>
              <w:t xml:space="preserve">Recorrente?</w:t>
            </w:r>
          </w:p>
        </w:tc>
      </w:tr>
      <w:tr>
        <w:tc>
          <w:tcPr>
            <w:tcW w:type="dxa" w:w="3096"/>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Constituição PIC/Offshore</w:t>
            </w:r>
          </w:p>
        </w:tc>
        <w:tc>
          <w:tcPr>
            <w:tcW w:type="dxa" w:w="2368"/>
            <w:shd w:fill="FFFFFF"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4 + custom</w:t>
            </w:r>
          </w:p>
        </w:tc>
        <w:tc>
          <w:tcPr>
            <w:tcW w:type="dxa" w:w="2459"/>
            <w:shd w:fill="FFFFFF"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2.900 – 6.700</w:t>
            </w:r>
          </w:p>
        </w:tc>
        <w:tc>
          <w:tcPr>
            <w:tcW w:type="dxa" w:w="1823"/>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Não (one-off)</w:t>
            </w:r>
          </w:p>
        </w:tc>
      </w:tr>
      <w:tr>
        <w:tc>
          <w:tcPr>
            <w:tcW w:type="dxa" w:w="3096"/>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Constituição US LLC</w:t>
            </w:r>
          </w:p>
        </w:tc>
        <w:tc>
          <w:tcPr>
            <w:tcW w:type="dxa" w:w="2368"/>
            <w:shd w:fill="F2F5F8"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6 + custom</w:t>
            </w:r>
          </w:p>
        </w:tc>
        <w:tc>
          <w:tcPr>
            <w:tcW w:type="dxa" w:w="2459"/>
            <w:shd w:fill="F2F5F8"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1.900 (todos)</w:t>
            </w:r>
          </w:p>
        </w:tc>
        <w:tc>
          <w:tcPr>
            <w:tcW w:type="dxa" w:w="1823"/>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Não (one-off)</w:t>
            </w:r>
          </w:p>
        </w:tc>
      </w:tr>
      <w:tr>
        <w:tc>
          <w:tcPr>
            <w:tcW w:type="dxa" w:w="3096"/>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Manutenção Anual</w:t>
            </w:r>
          </w:p>
        </w:tc>
        <w:tc>
          <w:tcPr>
            <w:tcW w:type="dxa" w:w="2368"/>
            <w:shd w:fill="FFFFFF"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11</w:t>
            </w:r>
          </w:p>
        </w:tc>
        <w:tc>
          <w:tcPr>
            <w:tcW w:type="dxa" w:w="2459"/>
            <w:shd w:fill="FFFFFF"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750 – 4.400</w:t>
            </w:r>
          </w:p>
        </w:tc>
        <w:tc>
          <w:tcPr>
            <w:tcW w:type="dxa" w:w="1823"/>
            <w:shd w:fill="FFFFFF" w:color="auto" w:val="clear"/>
            <w:tcMar>
              <w:top w:type="dxa" w:w="60"/>
              <w:left w:type="dxa" w:w="110"/>
              <w:bottom w:type="dxa" w:w="60"/>
              <w:right w:type="dxa" w:w="110"/>
            </w:tcMar>
          </w:tcPr>
          <w:p>
            <w:pPr>
              <w:spacing w:after="0" w:before="0"/>
              <w:jc w:val="left"/>
            </w:pPr>
            <w:r>
              <w:rPr>
                <w:rFonts w:ascii="Calibri" w:cs="Calibri" w:eastAsia="Calibri" w:hAnsi="Calibri"/>
                <w:b/>
                <w:bCs/>
                <w:color w:val="000000"/>
                <w:sz w:val="18"/>
                <w:szCs w:val="18"/>
              </w:rPr>
              <w:t xml:space="preserve">Sim</w:t>
            </w:r>
          </w:p>
        </w:tc>
      </w:tr>
      <w:tr>
        <w:tc>
          <w:tcPr>
            <w:tcW w:type="dxa" w:w="3096"/>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Transferência de Agente</w:t>
            </w:r>
          </w:p>
        </w:tc>
        <w:tc>
          <w:tcPr>
            <w:tcW w:type="dxa" w:w="2368"/>
            <w:shd w:fill="F2F5F8"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16 (10 pagos + 6 cortesia)</w:t>
            </w:r>
          </w:p>
        </w:tc>
        <w:tc>
          <w:tcPr>
            <w:tcW w:type="dxa" w:w="2459"/>
            <w:shd w:fill="F2F5F8"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0 – 1.200</w:t>
            </w:r>
          </w:p>
        </w:tc>
        <w:tc>
          <w:tcPr>
            <w:tcW w:type="dxa" w:w="1823"/>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Não</w:t>
            </w:r>
          </w:p>
        </w:tc>
      </w:tr>
      <w:tr>
        <w:tc>
          <w:tcPr>
            <w:tcW w:type="dxa" w:w="3096"/>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Sucessão (Testamento BVI)</w:t>
            </w:r>
          </w:p>
        </w:tc>
        <w:tc>
          <w:tcPr>
            <w:tcW w:type="dxa" w:w="2368"/>
            <w:shd w:fill="FFFFFF"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1</w:t>
            </w:r>
          </w:p>
        </w:tc>
        <w:tc>
          <w:tcPr>
            <w:tcW w:type="dxa" w:w="2459"/>
            <w:shd w:fill="FFFFFF"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5.500 (estimado)</w:t>
            </w:r>
          </w:p>
        </w:tc>
        <w:tc>
          <w:tcPr>
            <w:tcW w:type="dxa" w:w="1823"/>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Não</w:t>
            </w:r>
          </w:p>
        </w:tc>
      </w:tr>
      <w:tr>
        <w:tc>
          <w:tcPr>
            <w:tcW w:type="dxa" w:w="3096"/>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Add-ons (Trust, Apostila, Mailing)</w:t>
            </w:r>
          </w:p>
        </w:tc>
        <w:tc>
          <w:tcPr>
            <w:tcW w:type="dxa" w:w="2368"/>
            <w:shd w:fill="F2F5F8"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3</w:t>
            </w:r>
          </w:p>
        </w:tc>
        <w:tc>
          <w:tcPr>
            <w:tcW w:type="dxa" w:w="2459"/>
            <w:shd w:fill="F2F5F8"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300 – 2.700</w:t>
            </w:r>
          </w:p>
        </w:tc>
        <w:tc>
          <w:tcPr>
            <w:tcW w:type="dxa" w:w="1823"/>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Mailing e Trust: sim</w:t>
            </w:r>
          </w:p>
        </w:tc>
      </w:tr>
      <w:tr>
        <w:tc>
          <w:tcPr>
            <w:tcW w:type="dxa" w:w="3096"/>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Contabilidade / Fiscal</w:t>
            </w:r>
          </w:p>
        </w:tc>
        <w:tc>
          <w:tcPr>
            <w:tcW w:type="dxa" w:w="2368"/>
            <w:shd w:fill="FFFFFF"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9</w:t>
            </w:r>
          </w:p>
        </w:tc>
        <w:tc>
          <w:tcPr>
            <w:tcW w:type="dxa" w:w="2459"/>
            <w:shd w:fill="FFFFFF"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650 – 1.500</w:t>
            </w:r>
          </w:p>
        </w:tc>
        <w:tc>
          <w:tcPr>
            <w:tcW w:type="dxa" w:w="1823"/>
            <w:shd w:fill="FFFFFF" w:color="auto" w:val="clear"/>
            <w:tcMar>
              <w:top w:type="dxa" w:w="60"/>
              <w:left w:type="dxa" w:w="110"/>
              <w:bottom w:type="dxa" w:w="60"/>
              <w:right w:type="dxa" w:w="110"/>
            </w:tcMar>
          </w:tcPr>
          <w:p>
            <w:pPr>
              <w:spacing w:after="0" w:before="0"/>
              <w:jc w:val="left"/>
            </w:pPr>
            <w:r>
              <w:rPr>
                <w:rFonts w:ascii="Calibri" w:cs="Calibri" w:eastAsia="Calibri" w:hAnsi="Calibri"/>
                <w:b/>
                <w:bCs/>
                <w:color w:val="000000"/>
                <w:sz w:val="18"/>
                <w:szCs w:val="18"/>
              </w:rPr>
              <w:t xml:space="preserve">Sim</w:t>
            </w:r>
          </w:p>
        </w:tc>
      </w:tr>
      <w:tr>
        <w:tc>
          <w:tcPr>
            <w:tcW w:type="dxa" w:w="3096"/>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Dissolução</w:t>
            </w:r>
          </w:p>
        </w:tc>
        <w:tc>
          <w:tcPr>
            <w:tcW w:type="dxa" w:w="2368"/>
            <w:shd w:fill="F2F5F8"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12</w:t>
            </w:r>
          </w:p>
        </w:tc>
        <w:tc>
          <w:tcPr>
            <w:tcW w:type="dxa" w:w="2459"/>
            <w:shd w:fill="F2F5F8"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800 – 5.500</w:t>
            </w:r>
          </w:p>
        </w:tc>
        <w:tc>
          <w:tcPr>
            <w:tcW w:type="dxa" w:w="1823"/>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Não</w:t>
            </w:r>
          </w:p>
        </w:tc>
      </w:tr>
      <w:tr>
        <w:tc>
          <w:tcPr>
            <w:tcW w:type="dxa" w:w="3096"/>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Reestruturação Societária</w:t>
            </w:r>
          </w:p>
        </w:tc>
        <w:tc>
          <w:tcPr>
            <w:tcW w:type="dxa" w:w="2368"/>
            <w:shd w:fill="FFFFFF"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8</w:t>
            </w:r>
          </w:p>
        </w:tc>
        <w:tc>
          <w:tcPr>
            <w:tcW w:type="dxa" w:w="2459"/>
            <w:shd w:fill="FFFFFF" w:color="auto" w:val="clear"/>
            <w:tcMar>
              <w:top w:type="dxa" w:w="60"/>
              <w:left w:type="dxa" w:w="110"/>
              <w:bottom w:type="dxa" w:w="60"/>
              <w:right w:type="dxa" w:w="110"/>
            </w:tcMar>
          </w:tcPr>
          <w:p>
            <w:pPr>
              <w:spacing w:after="0" w:before="0"/>
              <w:jc w:val="left"/>
            </w:pPr>
            <w:r>
              <w:rPr>
                <w:rFonts w:ascii="Calibri" w:cs="Calibri" w:eastAsia="Calibri" w:hAnsi="Calibri"/>
                <w:b/>
                <w:bCs/>
                <w:color w:val="000000"/>
                <w:sz w:val="18"/>
                <w:szCs w:val="18"/>
              </w:rPr>
              <w:t xml:space="preserve">Sem preço — caso a caso</w:t>
            </w:r>
          </w:p>
        </w:tc>
        <w:tc>
          <w:tcPr>
            <w:tcW w:type="dxa" w:w="1823"/>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Não</w:t>
            </w:r>
          </w:p>
        </w:tc>
      </w:tr>
    </w:tbl>
    <w:p>
      <w:pPr>
        <w:spacing w:after="200"/>
      </w:pPr>
      <w:r>
        <w:t xml:space="preserve"/>
      </w:r>
    </w:p>
    <w:p>
      <w:pPr>
        <w:pStyle w:val="Heading3"/>
        <w:spacing w:after="110" w:before="260"/>
      </w:pPr>
      <w:r>
        <w:rPr>
          <w:rFonts w:ascii="Calibri" w:cs="Calibri" w:eastAsia="Calibri" w:hAnsi="Calibri"/>
          <w:b/>
          <w:bCs/>
          <w:color w:val="2E6DA4"/>
          <w:sz w:val="22"/>
          <w:szCs w:val="22"/>
        </w:rPr>
        <w:t xml:space="preserve">Tabela rápida de preços — constituição + manutenção</w:t>
      </w:r>
    </w:p>
    <w:tbl>
      <w:tblPr>
        <w:tblW w:type="dxa" w:w="9746"/>
        <w:tblBorders>
          <w:top w:val="single" w:color="C9D4E0" w:sz="2"/>
          <w:left w:val="single" w:color="C9D4E0" w:sz="2"/>
          <w:bottom w:val="single" w:color="C9D4E0" w:sz="2"/>
          <w:right w:val="single" w:color="C9D4E0" w:sz="2"/>
          <w:insideH w:val="single" w:color="C9D4E0" w:sz="2"/>
          <w:insideV w:val="single" w:color="C9D4E0" w:sz="2"/>
        </w:tblBorders>
      </w:tblPr>
      <w:tblGrid>
        <w:gridCol w:w="2436"/>
        <w:gridCol w:w="1719"/>
        <w:gridCol w:w="2293"/>
        <w:gridCol w:w="3298"/>
      </w:tblGrid>
      <w:tr>
        <w:trPr>
          <w:tblHeader/>
        </w:trPr>
        <w:tc>
          <w:tcPr>
            <w:tcW w:type="dxa" w:w="2436"/>
            <w:shd w:fill="1F3A5F" w:color="auto" w:val="clear"/>
            <w:tcMar>
              <w:top w:type="dxa" w:w="60"/>
              <w:left w:type="dxa" w:w="110"/>
              <w:bottom w:type="dxa" w:w="60"/>
              <w:right w:type="dxa" w:w="110"/>
            </w:tcMar>
          </w:tcPr>
          <w:p>
            <w:pPr>
              <w:spacing w:after="0" w:before="0"/>
              <w:jc w:val="left"/>
            </w:pPr>
            <w:r>
              <w:rPr>
                <w:rFonts w:ascii="Calibri" w:cs="Calibri" w:eastAsia="Calibri" w:hAnsi="Calibri"/>
                <w:b/>
                <w:bCs/>
                <w:color w:val="FFFFFF"/>
                <w:sz w:val="18"/>
                <w:szCs w:val="18"/>
              </w:rPr>
              <w:t xml:space="preserve">Jurisdição</w:t>
            </w:r>
          </w:p>
        </w:tc>
        <w:tc>
          <w:tcPr>
            <w:tcW w:type="dxa" w:w="1719"/>
            <w:shd w:fill="1F3A5F" w:color="auto" w:val="clear"/>
            <w:tcMar>
              <w:top w:type="dxa" w:w="60"/>
              <w:left w:type="dxa" w:w="110"/>
              <w:bottom w:type="dxa" w:w="60"/>
              <w:right w:type="dxa" w:w="110"/>
            </w:tcMar>
          </w:tcPr>
          <w:p>
            <w:pPr>
              <w:spacing w:after="0" w:before="0"/>
              <w:jc w:val="left"/>
            </w:pPr>
            <w:r>
              <w:rPr>
                <w:rFonts w:ascii="Calibri" w:cs="Calibri" w:eastAsia="Calibri" w:hAnsi="Calibri"/>
                <w:b/>
                <w:bCs/>
                <w:color w:val="FFFFFF"/>
                <w:sz w:val="18"/>
                <w:szCs w:val="18"/>
              </w:rPr>
              <w:t xml:space="preserve">Constituição</w:t>
            </w:r>
          </w:p>
        </w:tc>
        <w:tc>
          <w:tcPr>
            <w:tcW w:type="dxa" w:w="2293"/>
            <w:shd w:fill="1F3A5F" w:color="auto" w:val="clear"/>
            <w:tcMar>
              <w:top w:type="dxa" w:w="60"/>
              <w:left w:type="dxa" w:w="110"/>
              <w:bottom w:type="dxa" w:w="60"/>
              <w:right w:type="dxa" w:w="110"/>
            </w:tcMar>
          </w:tcPr>
          <w:p>
            <w:pPr>
              <w:spacing w:after="0" w:before="0"/>
              <w:jc w:val="left"/>
            </w:pPr>
            <w:r>
              <w:rPr>
                <w:rFonts w:ascii="Calibri" w:cs="Calibri" w:eastAsia="Calibri" w:hAnsi="Calibri"/>
                <w:b/>
                <w:bCs/>
                <w:color w:val="FFFFFF"/>
                <w:sz w:val="18"/>
                <w:szCs w:val="18"/>
              </w:rPr>
              <w:t xml:space="preserve">Manutenção anual</w:t>
            </w:r>
          </w:p>
        </w:tc>
        <w:tc>
          <w:tcPr>
            <w:tcW w:type="dxa" w:w="3298"/>
            <w:shd w:fill="1F3A5F" w:color="auto" w:val="clear"/>
            <w:tcMar>
              <w:top w:type="dxa" w:w="60"/>
              <w:left w:type="dxa" w:w="110"/>
              <w:bottom w:type="dxa" w:w="60"/>
              <w:right w:type="dxa" w:w="110"/>
            </w:tcMar>
          </w:tcPr>
          <w:p>
            <w:pPr>
              <w:spacing w:after="0" w:before="0"/>
              <w:jc w:val="left"/>
            </w:pPr>
            <w:r>
              <w:rPr>
                <w:rFonts w:ascii="Calibri" w:cs="Calibri" w:eastAsia="Calibri" w:hAnsi="Calibri"/>
                <w:b/>
                <w:bCs/>
                <w:color w:val="FFFFFF"/>
                <w:sz w:val="18"/>
                <w:szCs w:val="18"/>
              </w:rPr>
              <w:t xml:space="preserve">Transferência de agente</w:t>
            </w:r>
          </w:p>
        </w:tc>
      </w:tr>
      <w:tr>
        <w:tc>
          <w:tcPr>
            <w:tcW w:type="dxa" w:w="2436"/>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BVI</w:t>
            </w:r>
          </w:p>
        </w:tc>
        <w:tc>
          <w:tcPr>
            <w:tcW w:type="dxa" w:w="1719"/>
            <w:shd w:fill="FFFFFF"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2.900</w:t>
            </w:r>
          </w:p>
        </w:tc>
        <w:tc>
          <w:tcPr>
            <w:tcW w:type="dxa" w:w="2293"/>
            <w:shd w:fill="FFFFFF"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1.900</w:t>
            </w:r>
          </w:p>
        </w:tc>
        <w:tc>
          <w:tcPr>
            <w:tcW w:type="dxa" w:w="3298"/>
            <w:shd w:fill="FFFFFF"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1.200</w:t>
            </w:r>
          </w:p>
        </w:tc>
      </w:tr>
      <w:tr>
        <w:tc>
          <w:tcPr>
            <w:tcW w:type="dxa" w:w="2436"/>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Bahamas</w:t>
            </w:r>
          </w:p>
        </w:tc>
        <w:tc>
          <w:tcPr>
            <w:tcW w:type="dxa" w:w="1719"/>
            <w:shd w:fill="F2F5F8"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2.900</w:t>
            </w:r>
          </w:p>
        </w:tc>
        <w:tc>
          <w:tcPr>
            <w:tcW w:type="dxa" w:w="2293"/>
            <w:shd w:fill="F2F5F8"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1.900</w:t>
            </w:r>
          </w:p>
        </w:tc>
        <w:tc>
          <w:tcPr>
            <w:tcW w:type="dxa" w:w="3298"/>
            <w:shd w:fill="F2F5F8"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1.200</w:t>
            </w:r>
          </w:p>
        </w:tc>
      </w:tr>
      <w:tr>
        <w:tc>
          <w:tcPr>
            <w:tcW w:type="dxa" w:w="2436"/>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Cayman</w:t>
            </w:r>
          </w:p>
        </w:tc>
        <w:tc>
          <w:tcPr>
            <w:tcW w:type="dxa" w:w="1719"/>
            <w:shd w:fill="FFFFFF"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6.700</w:t>
            </w:r>
          </w:p>
        </w:tc>
        <w:tc>
          <w:tcPr>
            <w:tcW w:type="dxa" w:w="2293"/>
            <w:shd w:fill="FFFFFF"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4.400</w:t>
            </w:r>
          </w:p>
        </w:tc>
        <w:tc>
          <w:tcPr>
            <w:tcW w:type="dxa" w:w="3298"/>
            <w:shd w:fill="FFFFFF"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1.200</w:t>
            </w:r>
          </w:p>
        </w:tc>
      </w:tr>
      <w:tr>
        <w:tc>
          <w:tcPr>
            <w:tcW w:type="dxa" w:w="2436"/>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Nevis</w:t>
            </w:r>
          </w:p>
        </w:tc>
        <w:tc>
          <w:tcPr>
            <w:tcW w:type="dxa" w:w="1719"/>
            <w:shd w:fill="F2F5F8"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2.900</w:t>
            </w:r>
          </w:p>
        </w:tc>
        <w:tc>
          <w:tcPr>
            <w:tcW w:type="dxa" w:w="2293"/>
            <w:shd w:fill="F2F5F8"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1.900</w:t>
            </w:r>
          </w:p>
        </w:tc>
        <w:tc>
          <w:tcPr>
            <w:tcW w:type="dxa" w:w="3298"/>
            <w:shd w:fill="F2F5F8"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1.200</w:t>
            </w:r>
          </w:p>
        </w:tc>
      </w:tr>
      <w:tr>
        <w:tc>
          <w:tcPr>
            <w:tcW w:type="dxa" w:w="2436"/>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Florida LLC</w:t>
            </w:r>
          </w:p>
        </w:tc>
        <w:tc>
          <w:tcPr>
            <w:tcW w:type="dxa" w:w="1719"/>
            <w:shd w:fill="FFFFFF"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1.900</w:t>
            </w:r>
          </w:p>
        </w:tc>
        <w:tc>
          <w:tcPr>
            <w:tcW w:type="dxa" w:w="2293"/>
            <w:shd w:fill="FFFFFF"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750</w:t>
            </w:r>
          </w:p>
        </w:tc>
        <w:tc>
          <w:tcPr>
            <w:tcW w:type="dxa" w:w="3298"/>
            <w:shd w:fill="FFFFFF"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800</w:t>
            </w:r>
          </w:p>
        </w:tc>
      </w:tr>
      <w:tr>
        <w:tc>
          <w:tcPr>
            <w:tcW w:type="dxa" w:w="2436"/>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Delaware LLC</w:t>
            </w:r>
          </w:p>
        </w:tc>
        <w:tc>
          <w:tcPr>
            <w:tcW w:type="dxa" w:w="1719"/>
            <w:shd w:fill="F2F5F8"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1.900</w:t>
            </w:r>
          </w:p>
        </w:tc>
        <w:tc>
          <w:tcPr>
            <w:tcW w:type="dxa" w:w="2293"/>
            <w:shd w:fill="F2F5F8"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1.100</w:t>
            </w:r>
          </w:p>
        </w:tc>
        <w:tc>
          <w:tcPr>
            <w:tcW w:type="dxa" w:w="3298"/>
            <w:shd w:fill="F2F5F8"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800</w:t>
            </w:r>
          </w:p>
        </w:tc>
      </w:tr>
      <w:tr>
        <w:tc>
          <w:tcPr>
            <w:tcW w:type="dxa" w:w="2436"/>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New York LLC</w:t>
            </w:r>
          </w:p>
        </w:tc>
        <w:tc>
          <w:tcPr>
            <w:tcW w:type="dxa" w:w="1719"/>
            <w:shd w:fill="FFFFFF"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1.900</w:t>
            </w:r>
          </w:p>
        </w:tc>
        <w:tc>
          <w:tcPr>
            <w:tcW w:type="dxa" w:w="2293"/>
            <w:shd w:fill="FFFFFF"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900</w:t>
            </w:r>
          </w:p>
        </w:tc>
        <w:tc>
          <w:tcPr>
            <w:tcW w:type="dxa" w:w="3298"/>
            <w:shd w:fill="FFFFFF"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800</w:t>
            </w:r>
          </w:p>
        </w:tc>
      </w:tr>
      <w:tr>
        <w:tc>
          <w:tcPr>
            <w:tcW w:type="dxa" w:w="2436"/>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South Dakota LLC</w:t>
            </w:r>
          </w:p>
        </w:tc>
        <w:tc>
          <w:tcPr>
            <w:tcW w:type="dxa" w:w="1719"/>
            <w:shd w:fill="F2F5F8"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1.900</w:t>
            </w:r>
          </w:p>
        </w:tc>
        <w:tc>
          <w:tcPr>
            <w:tcW w:type="dxa" w:w="2293"/>
            <w:shd w:fill="F2F5F8"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750</w:t>
            </w:r>
          </w:p>
        </w:tc>
        <w:tc>
          <w:tcPr>
            <w:tcW w:type="dxa" w:w="3298"/>
            <w:shd w:fill="F2F5F8"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800</w:t>
            </w:r>
          </w:p>
        </w:tc>
      </w:tr>
      <w:tr>
        <w:tc>
          <w:tcPr>
            <w:tcW w:type="dxa" w:w="2436"/>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Wisconsin LLC</w:t>
            </w:r>
          </w:p>
        </w:tc>
        <w:tc>
          <w:tcPr>
            <w:tcW w:type="dxa" w:w="1719"/>
            <w:shd w:fill="FFFFFF"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1.900</w:t>
            </w:r>
          </w:p>
        </w:tc>
        <w:tc>
          <w:tcPr>
            <w:tcW w:type="dxa" w:w="2293"/>
            <w:shd w:fill="FFFFFF"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750</w:t>
            </w:r>
          </w:p>
        </w:tc>
        <w:tc>
          <w:tcPr>
            <w:tcW w:type="dxa" w:w="3298"/>
            <w:shd w:fill="FFFFFF"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800</w:t>
            </w:r>
          </w:p>
        </w:tc>
      </w:tr>
      <w:tr>
        <w:tc>
          <w:tcPr>
            <w:tcW w:type="dxa" w:w="2436"/>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Minnesota LLC</w:t>
            </w:r>
          </w:p>
        </w:tc>
        <w:tc>
          <w:tcPr>
            <w:tcW w:type="dxa" w:w="1719"/>
            <w:shd w:fill="F2F5F8"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1.900</w:t>
            </w:r>
          </w:p>
        </w:tc>
        <w:tc>
          <w:tcPr>
            <w:tcW w:type="dxa" w:w="2293"/>
            <w:shd w:fill="F2F5F8"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750</w:t>
            </w:r>
          </w:p>
        </w:tc>
        <w:tc>
          <w:tcPr>
            <w:tcW w:type="dxa" w:w="3298"/>
            <w:shd w:fill="F2F5F8"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800</w:t>
            </w:r>
          </w:p>
        </w:tc>
      </w:tr>
      <w:tr>
        <w:tc>
          <w:tcPr>
            <w:tcW w:type="dxa" w:w="2436"/>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Share Trust (BVI)</w:t>
            </w:r>
          </w:p>
        </w:tc>
        <w:tc>
          <w:tcPr>
            <w:tcW w:type="dxa" w:w="1719"/>
            <w:shd w:fill="FFFFFF"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2.700</w:t>
            </w:r>
          </w:p>
        </w:tc>
        <w:tc>
          <w:tcPr>
            <w:tcW w:type="dxa" w:w="2293"/>
            <w:shd w:fill="FFFFFF"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1.400</w:t>
            </w:r>
          </w:p>
        </w:tc>
        <w:tc>
          <w:tcPr>
            <w:tcW w:type="dxa" w:w="3298"/>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w:t>
            </w:r>
          </w:p>
        </w:tc>
      </w:tr>
    </w:tbl>
    <w:p>
      <w:pPr>
        <w:spacing w:after="200"/>
      </w:pPr>
      <w:r>
        <w:t xml:space="preserve"/>
      </w:r>
    </w:p>
    <w:p>
      <w:pPr>
        <w:pStyle w:val="Heading3"/>
        <w:spacing w:after="110" w:before="260"/>
      </w:pPr>
      <w:r>
        <w:rPr>
          <w:rFonts w:ascii="Calibri" w:cs="Calibri" w:eastAsia="Calibri" w:hAnsi="Calibri"/>
          <w:b/>
          <w:bCs/>
          <w:color w:val="2E6DA4"/>
          <w:sz w:val="22"/>
          <w:szCs w:val="22"/>
        </w:rPr>
        <w:t xml:space="preserve">Contabilidade e fiscal — valores recorrentes</w:t>
      </w:r>
    </w:p>
    <w:tbl>
      <w:tblPr>
        <w:tblW w:type="dxa" w:w="9746"/>
        <w:tblBorders>
          <w:top w:val="single" w:color="C9D4E0" w:sz="2"/>
          <w:left w:val="single" w:color="C9D4E0" w:sz="2"/>
          <w:bottom w:val="single" w:color="C9D4E0" w:sz="2"/>
          <w:right w:val="single" w:color="C9D4E0" w:sz="2"/>
          <w:insideH w:val="single" w:color="C9D4E0" w:sz="2"/>
          <w:insideV w:val="single" w:color="C9D4E0" w:sz="2"/>
        </w:tblBorders>
      </w:tblPr>
      <w:tblGrid>
        <w:gridCol w:w="6645"/>
        <w:gridCol w:w="3101"/>
      </w:tblGrid>
      <w:tr>
        <w:trPr>
          <w:tblHeader/>
        </w:trPr>
        <w:tc>
          <w:tcPr>
            <w:tcW w:type="dxa" w:w="6645"/>
            <w:shd w:fill="1F3A5F" w:color="auto" w:val="clear"/>
            <w:tcMar>
              <w:top w:type="dxa" w:w="60"/>
              <w:left w:type="dxa" w:w="110"/>
              <w:bottom w:type="dxa" w:w="60"/>
              <w:right w:type="dxa" w:w="110"/>
            </w:tcMar>
          </w:tcPr>
          <w:p>
            <w:pPr>
              <w:spacing w:after="0" w:before="0"/>
              <w:jc w:val="left"/>
            </w:pPr>
            <w:r>
              <w:rPr>
                <w:rFonts w:ascii="Calibri" w:cs="Calibri" w:eastAsia="Calibri" w:hAnsi="Calibri"/>
                <w:b/>
                <w:bCs/>
                <w:color w:val="FFFFFF"/>
                <w:sz w:val="18"/>
                <w:szCs w:val="18"/>
              </w:rPr>
              <w:t xml:space="preserve">Serviço</w:t>
            </w:r>
          </w:p>
        </w:tc>
        <w:tc>
          <w:tcPr>
            <w:tcW w:type="dxa" w:w="3101"/>
            <w:shd w:fill="1F3A5F" w:color="auto" w:val="clear"/>
            <w:tcMar>
              <w:top w:type="dxa" w:w="60"/>
              <w:left w:type="dxa" w:w="110"/>
              <w:bottom w:type="dxa" w:w="60"/>
              <w:right w:type="dxa" w:w="110"/>
            </w:tcMar>
          </w:tcPr>
          <w:p>
            <w:pPr>
              <w:spacing w:after="0" w:before="0"/>
              <w:jc w:val="left"/>
            </w:pPr>
            <w:r>
              <w:rPr>
                <w:rFonts w:ascii="Calibri" w:cs="Calibri" w:eastAsia="Calibri" w:hAnsi="Calibri"/>
                <w:b/>
                <w:bCs/>
                <w:color w:val="FFFFFF"/>
                <w:sz w:val="18"/>
                <w:szCs w:val="18"/>
              </w:rPr>
              <w:t xml:space="preserve">Valor</w:t>
            </w:r>
          </w:p>
        </w:tc>
      </w:tr>
      <w:tr>
        <w:tc>
          <w:tcPr>
            <w:tcW w:type="dxa" w:w="6645"/>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Financial Statements (FS)</w:t>
            </w:r>
          </w:p>
        </w:tc>
        <w:tc>
          <w:tcPr>
            <w:tcW w:type="dxa" w:w="3101"/>
            <w:shd w:fill="FFFFFF"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1.400 /ano</w:t>
            </w:r>
          </w:p>
        </w:tc>
      </w:tr>
      <w:tr>
        <w:tc>
          <w:tcPr>
            <w:tcW w:type="dxa" w:w="6645"/>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Tax Return (TR)</w:t>
            </w:r>
          </w:p>
        </w:tc>
        <w:tc>
          <w:tcPr>
            <w:tcW w:type="dxa" w:w="3101"/>
            <w:shd w:fill="F2F5F8"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1.500 /ano</w:t>
            </w:r>
          </w:p>
        </w:tc>
      </w:tr>
      <w:tr>
        <w:tc>
          <w:tcPr>
            <w:tcW w:type="dxa" w:w="6645"/>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Annual Financial Return (AFR) — só submissão</w:t>
            </w:r>
          </w:p>
        </w:tc>
        <w:tc>
          <w:tcPr>
            <w:tcW w:type="dxa" w:w="3101"/>
            <w:shd w:fill="FFFFFF"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650 /ano</w:t>
            </w:r>
          </w:p>
        </w:tc>
      </w:tr>
      <w:tr>
        <w:tc>
          <w:tcPr>
            <w:tcW w:type="dxa" w:w="6645"/>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FS anos anteriores</w:t>
            </w:r>
          </w:p>
        </w:tc>
        <w:tc>
          <w:tcPr>
            <w:tcW w:type="dxa" w:w="3101"/>
            <w:shd w:fill="F2F5F8"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1.400 /ano retroativo</w:t>
            </w:r>
          </w:p>
        </w:tc>
      </w:tr>
      <w:tr>
        <w:tc>
          <w:tcPr>
            <w:tcW w:type="dxa" w:w="6645"/>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TR anos anteriores</w:t>
            </w:r>
          </w:p>
        </w:tc>
        <w:tc>
          <w:tcPr>
            <w:tcW w:type="dxa" w:w="3101"/>
            <w:shd w:fill="FFFFFF"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1.500 /ano retroativo</w:t>
            </w:r>
          </w:p>
        </w:tc>
      </w:tr>
      <w:tr>
        <w:tc>
          <w:tcPr>
            <w:tcW w:type="dxa" w:w="6645"/>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FS/TR elaborados por terceiros (só submissão)</w:t>
            </w:r>
          </w:p>
        </w:tc>
        <w:tc>
          <w:tcPr>
            <w:tcW w:type="dxa" w:w="3101"/>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Caso a caso</w:t>
            </w:r>
          </w:p>
        </w:tc>
      </w:tr>
      <w:tr>
        <w:tc>
          <w:tcPr>
            <w:tcW w:type="dxa" w:w="6645"/>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Mailing Address</w:t>
            </w:r>
          </w:p>
        </w:tc>
        <w:tc>
          <w:tcPr>
            <w:tcW w:type="dxa" w:w="3101"/>
            <w:shd w:fill="FFFFFF"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300 /ano</w:t>
            </w:r>
          </w:p>
        </w:tc>
      </w:tr>
    </w:tbl>
    <w:p>
      <w:pPr>
        <w:spacing w:after="200"/>
      </w:pPr>
      <w:r>
        <w:t xml:space="preserve"/>
      </w:r>
    </w:p>
    <w:p>
      <w:pPr>
        <w:pBdr>
          <w:bottom w:val="single" w:color="C9D4E0" w:sz="6" w:space="1"/>
        </w:pBdr>
        <w:spacing w:after="200" w:before="160"/>
      </w:pPr>
      <w:r>
        <w:t xml:space="preserve"/>
      </w:r>
    </w:p>
    <w:p>
      <w:r>
        <w:br w:type="page"/>
      </w:r>
    </w:p>
    <w:p>
      <w:pPr>
        <w:pStyle w:val="Heading1"/>
        <w:spacing w:after="200" w:before="240"/>
      </w:pPr>
      <w:r>
        <w:rPr>
          <w:rFonts w:ascii="Calibri" w:cs="Calibri" w:eastAsia="Calibri" w:hAnsi="Calibri"/>
          <w:b/>
          <w:bCs/>
          <w:color w:val="1F3A5F"/>
          <w:sz w:val="34"/>
          <w:szCs w:val="34"/>
        </w:rPr>
        <w:t xml:space="preserve">Catálogo detalhado — escopo item a item</w:t>
      </w:r>
    </w:p>
    <w:p>
      <w:pPr>
        <w:pBdr>
          <w:bottom w:val="single" w:color="2E6DA4" w:sz="12" w:space="2"/>
        </w:pBdr>
        <w:spacing w:after="200"/>
      </w:pPr>
      <w:r>
        <w:t xml:space="preserve"/>
      </w:r>
    </w:p>
    <w:p>
      <w:pPr>
        <w:pStyle w:val="Heading2"/>
        <w:spacing w:after="140" w:before="340"/>
      </w:pPr>
      <w:r>
        <w:rPr>
          <w:rFonts w:ascii="Calibri" w:cs="Calibri" w:eastAsia="Calibri" w:hAnsi="Calibri"/>
          <w:b/>
          <w:bCs/>
          <w:color w:val="1F3A5F"/>
          <w:sz w:val="26"/>
          <w:szCs w:val="26"/>
        </w:rPr>
        <w:t xml:space="preserve">1. Constituição de Empresas</w:t>
      </w:r>
    </w:p>
    <w:p>
      <w:pPr>
        <w:pStyle w:val="Heading3"/>
        <w:spacing w:after="110" w:before="260"/>
      </w:pPr>
      <w:r>
        <w:rPr>
          <w:rFonts w:ascii="Calibri" w:cs="Calibri" w:eastAsia="Calibri" w:hAnsi="Calibri"/>
          <w:b/>
          <w:bCs/>
          <w:color w:val="2E6DA4"/>
          <w:sz w:val="22"/>
          <w:szCs w:val="22"/>
        </w:rPr>
        <w:t xml:space="preserve">1.1 PIC / Offshore (pagamento na aceitação)</w:t>
      </w:r>
    </w:p>
    <w:p>
      <w:pPr>
        <w:pStyle w:val="Heading4"/>
        <w:spacing w:after="80" w:before="200"/>
      </w:pPr>
      <w:r>
        <w:rPr>
          <w:rFonts w:ascii="Calibri" w:cs="Calibri" w:eastAsia="Calibri" w:hAnsi="Calibri"/>
          <w:b/>
          <w:bCs/>
          <w:color w:val="000000"/>
          <w:sz w:val="20"/>
          <w:szCs w:val="20"/>
        </w:rPr>
        <w:t xml:space="preserve">Constituição BVI Company — </w:t>
      </w:r>
      <w:r>
        <w:rPr>
          <w:rFonts w:ascii="Calibri" w:cs="Calibri" w:eastAsia="Calibri" w:hAnsi="Calibri"/>
          <w:b/>
          <w:bCs/>
          <w:color w:val="000000"/>
          <w:sz w:val="20"/>
          <w:szCs w:val="20"/>
        </w:rPr>
        <w:t xml:space="preserve">USD 2,900</w:t>
      </w:r>
    </w:p>
    <w:p>
      <w:pPr>
        <w:spacing w:after="120" w:before="60"/>
      </w:pPr>
      <w:r>
        <w:rPr>
          <w:rFonts w:ascii="Consolas" w:cs="Consolas" w:eastAsia="Consolas" w:hAnsi="Consolas"/>
          <w:color w:val="2E6DA4"/>
          <w:sz w:val="18"/>
          <w:szCs w:val="18"/>
        </w:rPr>
        <w:t xml:space="preserve">bvi</w:t>
      </w:r>
    </w:p>
    <w:p>
      <w:pPr>
        <w:pStyle w:val="ListParagraph"/>
        <w:numPr>
          <w:ilvl w:val="0"/>
          <w:numId w:val="2"/>
        </w:numPr>
        <w:spacing w:after="20" w:before="20"/>
      </w:pPr>
      <w:r>
        <w:rPr>
          <w:rFonts w:ascii="Calibri" w:cs="Calibri" w:eastAsia="Calibri" w:hAnsi="Calibri"/>
          <w:color w:val="000000"/>
          <w:sz w:val="20"/>
          <w:szCs w:val="20"/>
        </w:rPr>
        <w:t xml:space="preserve">Pesquisa do nome da empresa</w:t>
      </w:r>
    </w:p>
    <w:p>
      <w:pPr>
        <w:pStyle w:val="ListParagraph"/>
        <w:numPr>
          <w:ilvl w:val="0"/>
          <w:numId w:val="2"/>
        </w:numPr>
        <w:spacing w:after="20" w:before="20"/>
      </w:pPr>
      <w:r>
        <w:rPr>
          <w:rFonts w:ascii="Calibri" w:cs="Calibri" w:eastAsia="Calibri" w:hAnsi="Calibri"/>
          <w:color w:val="000000"/>
          <w:sz w:val="20"/>
          <w:szCs w:val="20"/>
        </w:rPr>
        <w:t xml:space="preserve">Taxas governamentais aplicáveis no momento do registro</w:t>
      </w:r>
    </w:p>
    <w:p>
      <w:pPr>
        <w:pStyle w:val="ListParagraph"/>
        <w:numPr>
          <w:ilvl w:val="0"/>
          <w:numId w:val="2"/>
        </w:numPr>
        <w:spacing w:after="20" w:before="20"/>
      </w:pPr>
      <w:r>
        <w:rPr>
          <w:rFonts w:ascii="Calibri" w:cs="Calibri" w:eastAsia="Calibri" w:hAnsi="Calibri"/>
          <w:color w:val="000000"/>
          <w:sz w:val="20"/>
          <w:szCs w:val="20"/>
        </w:rPr>
        <w:t xml:space="preserve">Documentos de incorporação com estrutura simples (uma classe de ações ordinárias)</w:t>
      </w:r>
    </w:p>
    <w:p>
      <w:pPr>
        <w:pStyle w:val="ListParagraph"/>
        <w:numPr>
          <w:ilvl w:val="0"/>
          <w:numId w:val="2"/>
        </w:numPr>
        <w:spacing w:after="20" w:before="20"/>
      </w:pPr>
      <w:r>
        <w:rPr>
          <w:rFonts w:ascii="Calibri" w:cs="Calibri" w:eastAsia="Calibri" w:hAnsi="Calibri"/>
          <w:color w:val="000000"/>
          <w:sz w:val="20"/>
          <w:szCs w:val="20"/>
        </w:rPr>
        <w:t xml:space="preserve">Registro de Diretores e Acionistas</w:t>
      </w:r>
    </w:p>
    <w:p>
      <w:pPr>
        <w:pStyle w:val="ListParagraph"/>
        <w:numPr>
          <w:ilvl w:val="0"/>
          <w:numId w:val="2"/>
        </w:numPr>
        <w:spacing w:after="20" w:before="20"/>
      </w:pPr>
      <w:r>
        <w:rPr>
          <w:rFonts w:ascii="Calibri" w:cs="Calibri" w:eastAsia="Calibri" w:hAnsi="Calibri"/>
          <w:color w:val="000000"/>
          <w:sz w:val="20"/>
          <w:szCs w:val="20"/>
        </w:rPr>
        <w:t xml:space="preserve">Classificação inicial para Substância Econômica</w:t>
      </w:r>
    </w:p>
    <w:p>
      <w:pPr>
        <w:pStyle w:val="ListParagraph"/>
        <w:numPr>
          <w:ilvl w:val="0"/>
          <w:numId w:val="2"/>
        </w:numPr>
        <w:spacing w:after="20" w:before="20"/>
      </w:pPr>
      <w:r>
        <w:rPr>
          <w:rFonts w:ascii="Calibri" w:cs="Calibri" w:eastAsia="Calibri" w:hAnsi="Calibri"/>
          <w:color w:val="000000"/>
          <w:sz w:val="20"/>
          <w:szCs w:val="20"/>
        </w:rPr>
        <w:t xml:space="preserve">Corporate Seal</w:t>
      </w:r>
    </w:p>
    <w:p>
      <w:pPr>
        <w:pStyle w:val="ListParagraph"/>
        <w:numPr>
          <w:ilvl w:val="0"/>
          <w:numId w:val="2"/>
        </w:numPr>
        <w:spacing w:after="20" w:before="20"/>
      </w:pPr>
      <w:r>
        <w:rPr>
          <w:rFonts w:ascii="Calibri" w:cs="Calibri" w:eastAsia="Calibri" w:hAnsi="Calibri"/>
          <w:color w:val="000000"/>
          <w:sz w:val="20"/>
          <w:szCs w:val="20"/>
        </w:rPr>
        <w:t xml:space="preserve">Agente Registrado e Escritório Registrado</w:t>
      </w:r>
    </w:p>
    <w:p>
      <w:pPr>
        <w:pStyle w:val="ListParagraph"/>
        <w:numPr>
          <w:ilvl w:val="0"/>
          <w:numId w:val="2"/>
        </w:numPr>
        <w:spacing w:after="20" w:before="20"/>
      </w:pPr>
      <w:r>
        <w:rPr>
          <w:rFonts w:ascii="Calibri" w:cs="Calibri" w:eastAsia="Calibri" w:hAnsi="Calibri"/>
          <w:color w:val="000000"/>
          <w:sz w:val="20"/>
          <w:szCs w:val="20"/>
        </w:rPr>
        <w:t xml:space="preserve">Preenchimento de formulário W-8 (se necessário)</w:t>
      </w:r>
    </w:p>
    <w:p>
      <w:pPr>
        <w:pStyle w:val="ListParagraph"/>
        <w:numPr>
          <w:ilvl w:val="0"/>
          <w:numId w:val="2"/>
        </w:numPr>
        <w:spacing w:after="20" w:before="20"/>
      </w:pPr>
      <w:r>
        <w:rPr>
          <w:rFonts w:ascii="Calibri" w:cs="Calibri" w:eastAsia="Calibri" w:hAnsi="Calibri"/>
          <w:color w:val="000000"/>
          <w:sz w:val="20"/>
          <w:szCs w:val="20"/>
        </w:rPr>
        <w:t xml:space="preserve">Fornecimento dos documentos em formato digital</w:t>
      </w:r>
    </w:p>
    <w:p>
      <w:pPr>
        <w:pBdr>
          <w:left w:val="single" w:color="B8C6D6" w:sz="14" w:space="10"/>
        </w:pBdr>
        <w:spacing w:after="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Os serviços propostos são aplicáveis exclusivamente a sociedades autorizadas a emitir até 50.000 ações/shares. Caso a quantidade de ações seja superior, outros valores serão aplicados e deverão ser discutidos oportunamente.  </w:t>
      </w:r>
    </w:p>
    <w:p>
      <w:pPr>
        <w:pBdr>
          <w:left w:val="single" w:color="B8C6D6" w:sz="14" w:space="10"/>
        </w:pBdr>
        <w:spacing w:after="160" w:before="0"/>
        <w:ind w:left="340"/>
      </w:pPr>
      <w:r>
        <w:rPr>
          <w:rFonts w:ascii="Calibri" w:cs="Calibri" w:eastAsia="Calibri" w:hAnsi="Calibri"/>
          <w:i/>
          <w:iCs/>
          <w:color w:val="595959"/>
          <w:sz w:val="19"/>
          <w:szCs w:val="19"/>
        </w:rPr>
        <w:t xml:space="preserve">A proposta contempla exclusivamente uma estrutura simples, sem previsão de planejamento sucessório ou personalizações. Caso haja necessidade de ajustes ou serviços adicionais, novos valores serão discutidos.</w:t>
      </w:r>
    </w:p>
    <w:p>
      <w:pPr>
        <w:pStyle w:val="Heading4"/>
        <w:spacing w:after="80" w:before="200"/>
      </w:pPr>
      <w:r>
        <w:rPr>
          <w:rFonts w:ascii="Calibri" w:cs="Calibri" w:eastAsia="Calibri" w:hAnsi="Calibri"/>
          <w:b/>
          <w:bCs/>
          <w:color w:val="000000"/>
          <w:sz w:val="20"/>
          <w:szCs w:val="20"/>
        </w:rPr>
        <w:t xml:space="preserve">Constituição Bahamas Company — </w:t>
      </w:r>
      <w:r>
        <w:rPr>
          <w:rFonts w:ascii="Calibri" w:cs="Calibri" w:eastAsia="Calibri" w:hAnsi="Calibri"/>
          <w:b/>
          <w:bCs/>
          <w:color w:val="000000"/>
          <w:sz w:val="20"/>
          <w:szCs w:val="20"/>
        </w:rPr>
        <w:t xml:space="preserve">USD 2,900</w:t>
      </w:r>
    </w:p>
    <w:p>
      <w:pPr>
        <w:spacing w:after="120" w:before="60"/>
      </w:pPr>
      <w:r>
        <w:rPr>
          <w:rFonts w:ascii="Consolas" w:cs="Consolas" w:eastAsia="Consolas" w:hAnsi="Consolas"/>
          <w:color w:val="2E6DA4"/>
          <w:sz w:val="18"/>
          <w:szCs w:val="18"/>
        </w:rPr>
        <w:t xml:space="preserve">bahamas</w:t>
      </w:r>
    </w:p>
    <w:p>
      <w:pPr>
        <w:pStyle w:val="ListParagraph"/>
        <w:numPr>
          <w:ilvl w:val="0"/>
          <w:numId w:val="2"/>
        </w:numPr>
        <w:spacing w:after="20" w:before="20"/>
      </w:pPr>
      <w:r>
        <w:rPr>
          <w:rFonts w:ascii="Calibri" w:cs="Calibri" w:eastAsia="Calibri" w:hAnsi="Calibri"/>
          <w:color w:val="000000"/>
          <w:sz w:val="20"/>
          <w:szCs w:val="20"/>
        </w:rPr>
        <w:t xml:space="preserve">Pesquisa de nome da empresa</w:t>
      </w:r>
    </w:p>
    <w:p>
      <w:pPr>
        <w:pStyle w:val="ListParagraph"/>
        <w:numPr>
          <w:ilvl w:val="0"/>
          <w:numId w:val="2"/>
        </w:numPr>
        <w:spacing w:after="20" w:before="20"/>
      </w:pPr>
      <w:r>
        <w:rPr>
          <w:rFonts w:ascii="Calibri" w:cs="Calibri" w:eastAsia="Calibri" w:hAnsi="Calibri"/>
          <w:color w:val="000000"/>
          <w:sz w:val="20"/>
          <w:szCs w:val="20"/>
        </w:rPr>
        <w:t xml:space="preserve">Taxas governamentais (vigentes na data de constituição)</w:t>
      </w:r>
    </w:p>
    <w:p>
      <w:pPr>
        <w:pStyle w:val="ListParagraph"/>
        <w:numPr>
          <w:ilvl w:val="0"/>
          <w:numId w:val="2"/>
        </w:numPr>
        <w:spacing w:after="20" w:before="20"/>
      </w:pPr>
      <w:r>
        <w:rPr>
          <w:rFonts w:ascii="Calibri" w:cs="Calibri" w:eastAsia="Calibri" w:hAnsi="Calibri"/>
          <w:color w:val="000000"/>
          <w:sz w:val="20"/>
          <w:szCs w:val="20"/>
        </w:rPr>
        <w:t xml:space="preserve">Documentos de constituição</w:t>
      </w:r>
    </w:p>
    <w:p>
      <w:pPr>
        <w:pStyle w:val="ListParagraph"/>
        <w:numPr>
          <w:ilvl w:val="0"/>
          <w:numId w:val="2"/>
        </w:numPr>
        <w:spacing w:after="20" w:before="20"/>
      </w:pPr>
      <w:r>
        <w:rPr>
          <w:rFonts w:ascii="Calibri" w:cs="Calibri" w:eastAsia="Calibri" w:hAnsi="Calibri"/>
          <w:color w:val="000000"/>
          <w:sz w:val="20"/>
          <w:szCs w:val="20"/>
        </w:rPr>
        <w:t xml:space="preserve">Registro da empresa junto ao Registrar General das Bahamas</w:t>
      </w:r>
    </w:p>
    <w:p>
      <w:pPr>
        <w:pStyle w:val="ListParagraph"/>
        <w:numPr>
          <w:ilvl w:val="0"/>
          <w:numId w:val="2"/>
        </w:numPr>
        <w:spacing w:after="20" w:before="20"/>
      </w:pPr>
      <w:r>
        <w:rPr>
          <w:rFonts w:ascii="Calibri" w:cs="Calibri" w:eastAsia="Calibri" w:hAnsi="Calibri"/>
          <w:color w:val="000000"/>
          <w:sz w:val="20"/>
          <w:szCs w:val="20"/>
        </w:rPr>
        <w:t xml:space="preserve">Certificado de Constituição</w:t>
      </w:r>
    </w:p>
    <w:p>
      <w:pPr>
        <w:pStyle w:val="ListParagraph"/>
        <w:numPr>
          <w:ilvl w:val="0"/>
          <w:numId w:val="2"/>
        </w:numPr>
        <w:spacing w:after="20" w:before="20"/>
      </w:pPr>
      <w:r>
        <w:rPr>
          <w:rFonts w:ascii="Calibri" w:cs="Calibri" w:eastAsia="Calibri" w:hAnsi="Calibri"/>
          <w:color w:val="000000"/>
          <w:sz w:val="20"/>
          <w:szCs w:val="20"/>
        </w:rPr>
        <w:t xml:space="preserve">Designação de Agente Registrado Local (primeiro ano incluído)</w:t>
      </w:r>
    </w:p>
    <w:p>
      <w:pPr>
        <w:pStyle w:val="Heading4"/>
        <w:spacing w:after="80" w:before="200"/>
      </w:pPr>
      <w:r>
        <w:rPr>
          <w:rFonts w:ascii="Calibri" w:cs="Calibri" w:eastAsia="Calibri" w:hAnsi="Calibri"/>
          <w:b/>
          <w:bCs/>
          <w:color w:val="000000"/>
          <w:sz w:val="20"/>
          <w:szCs w:val="20"/>
        </w:rPr>
        <w:t xml:space="preserve">Constituição Cayman Company — </w:t>
      </w:r>
      <w:r>
        <w:rPr>
          <w:rFonts w:ascii="Calibri" w:cs="Calibri" w:eastAsia="Calibri" w:hAnsi="Calibri"/>
          <w:b/>
          <w:bCs/>
          <w:color w:val="000000"/>
          <w:sz w:val="20"/>
          <w:szCs w:val="20"/>
        </w:rPr>
        <w:t xml:space="preserve">USD 6,700</w:t>
      </w:r>
    </w:p>
    <w:p>
      <w:pPr>
        <w:spacing w:after="120" w:before="60"/>
      </w:pPr>
      <w:r>
        <w:rPr>
          <w:rFonts w:ascii="Consolas" w:cs="Consolas" w:eastAsia="Consolas" w:hAnsi="Consolas"/>
          <w:color w:val="2E6DA4"/>
          <w:sz w:val="18"/>
          <w:szCs w:val="18"/>
        </w:rPr>
        <w:t xml:space="preserve">cayman</w:t>
      </w:r>
    </w:p>
    <w:p>
      <w:pPr>
        <w:pStyle w:val="ListParagraph"/>
        <w:numPr>
          <w:ilvl w:val="0"/>
          <w:numId w:val="2"/>
        </w:numPr>
        <w:spacing w:after="20" w:before="20"/>
      </w:pPr>
      <w:r>
        <w:rPr>
          <w:rFonts w:ascii="Calibri" w:cs="Calibri" w:eastAsia="Calibri" w:hAnsi="Calibri"/>
          <w:color w:val="000000"/>
          <w:sz w:val="20"/>
          <w:szCs w:val="20"/>
        </w:rPr>
        <w:t xml:space="preserve">Pesquisa de nome da empresa</w:t>
      </w:r>
    </w:p>
    <w:p>
      <w:pPr>
        <w:pStyle w:val="ListParagraph"/>
        <w:numPr>
          <w:ilvl w:val="0"/>
          <w:numId w:val="2"/>
        </w:numPr>
        <w:spacing w:after="20" w:before="20"/>
      </w:pPr>
      <w:r>
        <w:rPr>
          <w:rFonts w:ascii="Calibri" w:cs="Calibri" w:eastAsia="Calibri" w:hAnsi="Calibri"/>
          <w:color w:val="000000"/>
          <w:sz w:val="20"/>
          <w:szCs w:val="20"/>
        </w:rPr>
        <w:t xml:space="preserve">Taxas governamentais (vigentes na data de constituição)</w:t>
      </w:r>
    </w:p>
    <w:p>
      <w:pPr>
        <w:pStyle w:val="ListParagraph"/>
        <w:numPr>
          <w:ilvl w:val="0"/>
          <w:numId w:val="2"/>
        </w:numPr>
        <w:spacing w:after="20" w:before="20"/>
      </w:pPr>
      <w:r>
        <w:rPr>
          <w:rFonts w:ascii="Calibri" w:cs="Calibri" w:eastAsia="Calibri" w:hAnsi="Calibri"/>
          <w:color w:val="000000"/>
          <w:sz w:val="20"/>
          <w:szCs w:val="20"/>
        </w:rPr>
        <w:t xml:space="preserve">Documentos de constituição</w:t>
      </w:r>
    </w:p>
    <w:p>
      <w:pPr>
        <w:pStyle w:val="ListParagraph"/>
        <w:numPr>
          <w:ilvl w:val="0"/>
          <w:numId w:val="2"/>
        </w:numPr>
        <w:spacing w:after="20" w:before="20"/>
      </w:pPr>
      <w:r>
        <w:rPr>
          <w:rFonts w:ascii="Calibri" w:cs="Calibri" w:eastAsia="Calibri" w:hAnsi="Calibri"/>
          <w:color w:val="000000"/>
          <w:sz w:val="20"/>
          <w:szCs w:val="20"/>
        </w:rPr>
        <w:t xml:space="preserve">Registro da empresa junto ao Cayman Islands Registrar</w:t>
      </w:r>
    </w:p>
    <w:p>
      <w:pPr>
        <w:pStyle w:val="ListParagraph"/>
        <w:numPr>
          <w:ilvl w:val="0"/>
          <w:numId w:val="2"/>
        </w:numPr>
        <w:spacing w:after="20" w:before="20"/>
      </w:pPr>
      <w:r>
        <w:rPr>
          <w:rFonts w:ascii="Calibri" w:cs="Calibri" w:eastAsia="Calibri" w:hAnsi="Calibri"/>
          <w:color w:val="000000"/>
          <w:sz w:val="20"/>
          <w:szCs w:val="20"/>
        </w:rPr>
        <w:t xml:space="preserve">Certificado de Constituição</w:t>
      </w:r>
    </w:p>
    <w:p>
      <w:pPr>
        <w:pStyle w:val="ListParagraph"/>
        <w:numPr>
          <w:ilvl w:val="0"/>
          <w:numId w:val="2"/>
        </w:numPr>
        <w:spacing w:after="20" w:before="20"/>
      </w:pPr>
      <w:r>
        <w:rPr>
          <w:rFonts w:ascii="Calibri" w:cs="Calibri" w:eastAsia="Calibri" w:hAnsi="Calibri"/>
          <w:color w:val="000000"/>
          <w:sz w:val="20"/>
          <w:szCs w:val="20"/>
        </w:rPr>
        <w:t xml:space="preserve">Designação de Agente Registrado Local (primeiro ano incluído)</w:t>
      </w:r>
    </w:p>
    <w:p>
      <w:pPr>
        <w:pStyle w:val="Heading4"/>
        <w:spacing w:after="80" w:before="200"/>
      </w:pPr>
      <w:r>
        <w:rPr>
          <w:rFonts w:ascii="Calibri" w:cs="Calibri" w:eastAsia="Calibri" w:hAnsi="Calibri"/>
          <w:b/>
          <w:bCs/>
          <w:color w:val="000000"/>
          <w:sz w:val="20"/>
          <w:szCs w:val="20"/>
        </w:rPr>
        <w:t xml:space="preserve">Constituição Nevis Company — </w:t>
      </w:r>
      <w:r>
        <w:rPr>
          <w:rFonts w:ascii="Calibri" w:cs="Calibri" w:eastAsia="Calibri" w:hAnsi="Calibri"/>
          <w:b/>
          <w:bCs/>
          <w:color w:val="000000"/>
          <w:sz w:val="20"/>
          <w:szCs w:val="20"/>
        </w:rPr>
        <w:t xml:space="preserve">USD 2,900</w:t>
      </w:r>
    </w:p>
    <w:p>
      <w:pPr>
        <w:spacing w:after="120" w:before="60"/>
      </w:pPr>
      <w:r>
        <w:rPr>
          <w:rFonts w:ascii="Consolas" w:cs="Consolas" w:eastAsia="Consolas" w:hAnsi="Consolas"/>
          <w:color w:val="2E6DA4"/>
          <w:sz w:val="18"/>
          <w:szCs w:val="18"/>
        </w:rPr>
        <w:t xml:space="preserve">nevis</w:t>
      </w:r>
    </w:p>
    <w:p>
      <w:pPr>
        <w:pStyle w:val="ListParagraph"/>
        <w:numPr>
          <w:ilvl w:val="0"/>
          <w:numId w:val="2"/>
        </w:numPr>
        <w:spacing w:after="20" w:before="20"/>
      </w:pPr>
      <w:r>
        <w:rPr>
          <w:rFonts w:ascii="Calibri" w:cs="Calibri" w:eastAsia="Calibri" w:hAnsi="Calibri"/>
          <w:color w:val="000000"/>
          <w:sz w:val="20"/>
          <w:szCs w:val="20"/>
        </w:rPr>
        <w:t xml:space="preserve">Pesquisa de nome da empresa</w:t>
      </w:r>
    </w:p>
    <w:p>
      <w:pPr>
        <w:pStyle w:val="ListParagraph"/>
        <w:numPr>
          <w:ilvl w:val="0"/>
          <w:numId w:val="2"/>
        </w:numPr>
        <w:spacing w:after="20" w:before="20"/>
      </w:pPr>
      <w:r>
        <w:rPr>
          <w:rFonts w:ascii="Calibri" w:cs="Calibri" w:eastAsia="Calibri" w:hAnsi="Calibri"/>
          <w:color w:val="000000"/>
          <w:sz w:val="20"/>
          <w:szCs w:val="20"/>
        </w:rPr>
        <w:t xml:space="preserve">Taxas governamentais (vigentes na data de constituição)</w:t>
      </w:r>
    </w:p>
    <w:p>
      <w:pPr>
        <w:pStyle w:val="ListParagraph"/>
        <w:numPr>
          <w:ilvl w:val="0"/>
          <w:numId w:val="2"/>
        </w:numPr>
        <w:spacing w:after="20" w:before="20"/>
      </w:pPr>
      <w:r>
        <w:rPr>
          <w:rFonts w:ascii="Calibri" w:cs="Calibri" w:eastAsia="Calibri" w:hAnsi="Calibri"/>
          <w:color w:val="000000"/>
          <w:sz w:val="20"/>
          <w:szCs w:val="20"/>
        </w:rPr>
        <w:t xml:space="preserve">Documentos de constituição</w:t>
      </w:r>
    </w:p>
    <w:p>
      <w:pPr>
        <w:pStyle w:val="ListParagraph"/>
        <w:numPr>
          <w:ilvl w:val="0"/>
          <w:numId w:val="2"/>
        </w:numPr>
        <w:spacing w:after="20" w:before="20"/>
      </w:pPr>
      <w:r>
        <w:rPr>
          <w:rFonts w:ascii="Calibri" w:cs="Calibri" w:eastAsia="Calibri" w:hAnsi="Calibri"/>
          <w:color w:val="000000"/>
          <w:sz w:val="20"/>
          <w:szCs w:val="20"/>
        </w:rPr>
        <w:t xml:space="preserve">Registro da empresa junto ao Nevis Registrar</w:t>
      </w:r>
    </w:p>
    <w:p>
      <w:pPr>
        <w:pStyle w:val="ListParagraph"/>
        <w:numPr>
          <w:ilvl w:val="0"/>
          <w:numId w:val="2"/>
        </w:numPr>
        <w:spacing w:after="20" w:before="20"/>
      </w:pPr>
      <w:r>
        <w:rPr>
          <w:rFonts w:ascii="Calibri" w:cs="Calibri" w:eastAsia="Calibri" w:hAnsi="Calibri"/>
          <w:color w:val="000000"/>
          <w:sz w:val="20"/>
          <w:szCs w:val="20"/>
        </w:rPr>
        <w:t xml:space="preserve">Certificado de Constituição</w:t>
      </w:r>
    </w:p>
    <w:p>
      <w:pPr>
        <w:pStyle w:val="ListParagraph"/>
        <w:numPr>
          <w:ilvl w:val="0"/>
          <w:numId w:val="2"/>
        </w:numPr>
        <w:spacing w:after="20" w:before="20"/>
      </w:pPr>
      <w:r>
        <w:rPr>
          <w:rFonts w:ascii="Calibri" w:cs="Calibri" w:eastAsia="Calibri" w:hAnsi="Calibri"/>
          <w:color w:val="000000"/>
          <w:sz w:val="20"/>
          <w:szCs w:val="20"/>
        </w:rPr>
        <w:t xml:space="preserve">Designação de Agente Registrado Local (primeiro ano incluído)</w:t>
      </w:r>
    </w:p>
    <w:p>
      <w:pPr>
        <w:pStyle w:val="Heading4"/>
        <w:spacing w:after="80" w:before="200"/>
      </w:pPr>
      <w:r>
        <w:rPr>
          <w:rFonts w:ascii="Calibri" w:cs="Calibri" w:eastAsia="Calibri" w:hAnsi="Calibri"/>
          <w:b/>
          <w:bCs/>
          <w:color w:val="000000"/>
          <w:sz w:val="20"/>
          <w:szCs w:val="20"/>
        </w:rPr>
        <w:t xml:space="preserve">Outra jurisdição offshore (campo livre) — </w:t>
      </w:r>
      <w:r>
        <w:rPr>
          <w:rFonts w:ascii="Calibri" w:cs="Calibri" w:eastAsia="Calibri" w:hAnsi="Calibri"/>
          <w:b/>
          <w:bCs/>
          <w:color w:val="000000"/>
          <w:sz w:val="20"/>
          <w:szCs w:val="20"/>
        </w:rPr>
        <w:t xml:space="preserve">A definir (caso a caso)</w:t>
      </w:r>
    </w:p>
    <w:p>
      <w:pPr>
        <w:spacing w:after="120" w:before="60"/>
      </w:pPr>
      <w:r>
        <w:rPr>
          <w:rFonts w:ascii="Consolas" w:cs="Consolas" w:eastAsia="Consolas" w:hAnsi="Consolas"/>
          <w:color w:val="2E6DA4"/>
          <w:sz w:val="18"/>
          <w:szCs w:val="18"/>
        </w:rPr>
        <w:t xml:space="preserve">customOffshore</w:t>
      </w:r>
    </w:p>
    <w:p>
      <w:pPr>
        <w:pStyle w:val="Heading3"/>
        <w:spacing w:after="110" w:before="260"/>
      </w:pPr>
      <w:r>
        <w:rPr>
          <w:rFonts w:ascii="Calibri" w:cs="Calibri" w:eastAsia="Calibri" w:hAnsi="Calibri"/>
          <w:b/>
          <w:bCs/>
          <w:color w:val="2E6DA4"/>
          <w:sz w:val="22"/>
          <w:szCs w:val="22"/>
        </w:rPr>
        <w:t xml:space="preserve">1.2 US LLC (pagamento na aceitação)</w:t>
      </w:r>
    </w:p>
    <w:p>
      <w:pPr>
        <w:pStyle w:val="Heading4"/>
        <w:spacing w:after="80" w:before="200"/>
      </w:pPr>
      <w:r>
        <w:rPr>
          <w:rFonts w:ascii="Calibri" w:cs="Calibri" w:eastAsia="Calibri" w:hAnsi="Calibri"/>
          <w:b/>
          <w:bCs/>
          <w:color w:val="000000"/>
          <w:sz w:val="20"/>
          <w:szCs w:val="20"/>
        </w:rPr>
        <w:t xml:space="preserve">Constituição Florida LLC — </w:t>
      </w:r>
      <w:r>
        <w:rPr>
          <w:rFonts w:ascii="Calibri" w:cs="Calibri" w:eastAsia="Calibri" w:hAnsi="Calibri"/>
          <w:b/>
          <w:bCs/>
          <w:color w:val="000000"/>
          <w:sz w:val="20"/>
          <w:szCs w:val="20"/>
        </w:rPr>
        <w:t xml:space="preserve">USD 1,900</w:t>
      </w:r>
    </w:p>
    <w:p>
      <w:pPr>
        <w:spacing w:after="120" w:before="60"/>
      </w:pPr>
      <w:r>
        <w:rPr>
          <w:rFonts w:ascii="Consolas" w:cs="Consolas" w:eastAsia="Consolas" w:hAnsi="Consolas"/>
          <w:color w:val="2E6DA4"/>
          <w:sz w:val="18"/>
          <w:szCs w:val="18"/>
        </w:rPr>
        <w:t xml:space="preserve">fl</w:t>
      </w:r>
    </w:p>
    <w:p>
      <w:pPr>
        <w:pStyle w:val="ListParagraph"/>
        <w:numPr>
          <w:ilvl w:val="0"/>
          <w:numId w:val="2"/>
        </w:numPr>
        <w:spacing w:after="20" w:before="20"/>
      </w:pPr>
      <w:r>
        <w:rPr>
          <w:rFonts w:ascii="Calibri" w:cs="Calibri" w:eastAsia="Calibri" w:hAnsi="Calibri"/>
          <w:color w:val="000000"/>
          <w:sz w:val="20"/>
          <w:szCs w:val="20"/>
        </w:rPr>
        <w:t xml:space="preserve">Pesquisa do nome da empresa</w:t>
      </w:r>
    </w:p>
    <w:p>
      <w:pPr>
        <w:pStyle w:val="ListParagraph"/>
        <w:numPr>
          <w:ilvl w:val="0"/>
          <w:numId w:val="2"/>
        </w:numPr>
        <w:spacing w:after="20" w:before="20"/>
      </w:pPr>
      <w:r>
        <w:rPr>
          <w:rFonts w:ascii="Calibri" w:cs="Calibri" w:eastAsia="Calibri" w:hAnsi="Calibri"/>
          <w:color w:val="000000"/>
          <w:sz w:val="20"/>
          <w:szCs w:val="20"/>
        </w:rPr>
        <w:t xml:space="preserve">Registro no Department of State</w:t>
      </w:r>
    </w:p>
    <w:p>
      <w:pPr>
        <w:pStyle w:val="ListParagraph"/>
        <w:numPr>
          <w:ilvl w:val="0"/>
          <w:numId w:val="2"/>
        </w:numPr>
        <w:spacing w:after="20" w:before="20"/>
      </w:pPr>
      <w:r>
        <w:rPr>
          <w:rFonts w:ascii="Calibri" w:cs="Calibri" w:eastAsia="Calibri" w:hAnsi="Calibri"/>
          <w:color w:val="000000"/>
          <w:sz w:val="20"/>
          <w:szCs w:val="20"/>
        </w:rPr>
        <w:t xml:space="preserve">Documentos de incorporação</w:t>
      </w:r>
    </w:p>
    <w:p>
      <w:pPr>
        <w:pStyle w:val="ListParagraph"/>
        <w:numPr>
          <w:ilvl w:val="0"/>
          <w:numId w:val="2"/>
        </w:numPr>
        <w:spacing w:after="20" w:before="20"/>
      </w:pPr>
      <w:r>
        <w:rPr>
          <w:rFonts w:ascii="Calibri" w:cs="Calibri" w:eastAsia="Calibri" w:hAnsi="Calibri"/>
          <w:color w:val="000000"/>
          <w:sz w:val="20"/>
          <w:szCs w:val="20"/>
        </w:rPr>
        <w:t xml:space="preserve">Standard Operating Agreement</w:t>
      </w:r>
    </w:p>
    <w:p>
      <w:pPr>
        <w:pStyle w:val="ListParagraph"/>
        <w:numPr>
          <w:ilvl w:val="0"/>
          <w:numId w:val="2"/>
        </w:numPr>
        <w:spacing w:after="20" w:before="20"/>
      </w:pPr>
      <w:r>
        <w:rPr>
          <w:rFonts w:ascii="Calibri" w:cs="Calibri" w:eastAsia="Calibri" w:hAnsi="Calibri"/>
          <w:color w:val="000000"/>
          <w:sz w:val="20"/>
          <w:szCs w:val="20"/>
        </w:rPr>
        <w:t xml:space="preserve">Primeiro ano de fees do Agente Registrado</w:t>
      </w:r>
    </w:p>
    <w:p>
      <w:pPr>
        <w:pStyle w:val="ListParagraph"/>
        <w:numPr>
          <w:ilvl w:val="0"/>
          <w:numId w:val="2"/>
        </w:numPr>
        <w:spacing w:after="20" w:before="20"/>
      </w:pPr>
      <w:r>
        <w:rPr>
          <w:rFonts w:ascii="Calibri" w:cs="Calibri" w:eastAsia="Calibri" w:hAnsi="Calibri"/>
          <w:color w:val="000000"/>
          <w:sz w:val="20"/>
          <w:szCs w:val="20"/>
        </w:rPr>
        <w:t xml:space="preserve">Obtenção de Tax ID/EIN (se necessário)</w:t>
      </w:r>
    </w:p>
    <w:p>
      <w:pPr>
        <w:pStyle w:val="Heading4"/>
        <w:spacing w:after="80" w:before="200"/>
      </w:pPr>
      <w:r>
        <w:rPr>
          <w:rFonts w:ascii="Calibri" w:cs="Calibri" w:eastAsia="Calibri" w:hAnsi="Calibri"/>
          <w:b/>
          <w:bCs/>
          <w:color w:val="000000"/>
          <w:sz w:val="20"/>
          <w:szCs w:val="20"/>
        </w:rPr>
        <w:t xml:space="preserve">Constituição Delaware LLC — </w:t>
      </w:r>
      <w:r>
        <w:rPr>
          <w:rFonts w:ascii="Calibri" w:cs="Calibri" w:eastAsia="Calibri" w:hAnsi="Calibri"/>
          <w:b/>
          <w:bCs/>
          <w:color w:val="000000"/>
          <w:sz w:val="20"/>
          <w:szCs w:val="20"/>
        </w:rPr>
        <w:t xml:space="preserve">USD 1,900</w:t>
      </w:r>
    </w:p>
    <w:p>
      <w:pPr>
        <w:spacing w:after="120" w:before="60"/>
      </w:pPr>
      <w:r>
        <w:rPr>
          <w:rFonts w:ascii="Consolas" w:cs="Consolas" w:eastAsia="Consolas" w:hAnsi="Consolas"/>
          <w:color w:val="2E6DA4"/>
          <w:sz w:val="18"/>
          <w:szCs w:val="18"/>
        </w:rPr>
        <w:t xml:space="preserve">de</w:t>
      </w:r>
    </w:p>
    <w:p>
      <w:pPr>
        <w:pStyle w:val="ListParagraph"/>
        <w:numPr>
          <w:ilvl w:val="0"/>
          <w:numId w:val="2"/>
        </w:numPr>
        <w:spacing w:after="20" w:before="20"/>
      </w:pPr>
      <w:r>
        <w:rPr>
          <w:rFonts w:ascii="Calibri" w:cs="Calibri" w:eastAsia="Calibri" w:hAnsi="Calibri"/>
          <w:color w:val="000000"/>
          <w:sz w:val="20"/>
          <w:szCs w:val="20"/>
        </w:rPr>
        <w:t xml:space="preserve">Pesquisa do nome da empresa</w:t>
      </w:r>
    </w:p>
    <w:p>
      <w:pPr>
        <w:pStyle w:val="ListParagraph"/>
        <w:numPr>
          <w:ilvl w:val="0"/>
          <w:numId w:val="2"/>
        </w:numPr>
        <w:spacing w:after="20" w:before="20"/>
      </w:pPr>
      <w:r>
        <w:rPr>
          <w:rFonts w:ascii="Calibri" w:cs="Calibri" w:eastAsia="Calibri" w:hAnsi="Calibri"/>
          <w:color w:val="000000"/>
          <w:sz w:val="20"/>
          <w:szCs w:val="20"/>
        </w:rPr>
        <w:t xml:space="preserve">Registro no Department of State</w:t>
      </w:r>
    </w:p>
    <w:p>
      <w:pPr>
        <w:pStyle w:val="ListParagraph"/>
        <w:numPr>
          <w:ilvl w:val="0"/>
          <w:numId w:val="2"/>
        </w:numPr>
        <w:spacing w:after="20" w:before="20"/>
      </w:pPr>
      <w:r>
        <w:rPr>
          <w:rFonts w:ascii="Calibri" w:cs="Calibri" w:eastAsia="Calibri" w:hAnsi="Calibri"/>
          <w:color w:val="000000"/>
          <w:sz w:val="20"/>
          <w:szCs w:val="20"/>
        </w:rPr>
        <w:t xml:space="preserve">Documentos de incorporação</w:t>
      </w:r>
    </w:p>
    <w:p>
      <w:pPr>
        <w:pStyle w:val="ListParagraph"/>
        <w:numPr>
          <w:ilvl w:val="0"/>
          <w:numId w:val="2"/>
        </w:numPr>
        <w:spacing w:after="20" w:before="20"/>
      </w:pPr>
      <w:r>
        <w:rPr>
          <w:rFonts w:ascii="Calibri" w:cs="Calibri" w:eastAsia="Calibri" w:hAnsi="Calibri"/>
          <w:color w:val="000000"/>
          <w:sz w:val="20"/>
          <w:szCs w:val="20"/>
        </w:rPr>
        <w:t xml:space="preserve">Standard Operating Agreement</w:t>
      </w:r>
    </w:p>
    <w:p>
      <w:pPr>
        <w:pStyle w:val="ListParagraph"/>
        <w:numPr>
          <w:ilvl w:val="0"/>
          <w:numId w:val="2"/>
        </w:numPr>
        <w:spacing w:after="20" w:before="20"/>
      </w:pPr>
      <w:r>
        <w:rPr>
          <w:rFonts w:ascii="Calibri" w:cs="Calibri" w:eastAsia="Calibri" w:hAnsi="Calibri"/>
          <w:color w:val="000000"/>
          <w:sz w:val="20"/>
          <w:szCs w:val="20"/>
        </w:rPr>
        <w:t xml:space="preserve">Primeiro ano de fees do Agente Registrado</w:t>
      </w:r>
    </w:p>
    <w:p>
      <w:pPr>
        <w:pStyle w:val="ListParagraph"/>
        <w:numPr>
          <w:ilvl w:val="0"/>
          <w:numId w:val="2"/>
        </w:numPr>
        <w:spacing w:after="20" w:before="20"/>
      </w:pPr>
      <w:r>
        <w:rPr>
          <w:rFonts w:ascii="Calibri" w:cs="Calibri" w:eastAsia="Calibri" w:hAnsi="Calibri"/>
          <w:color w:val="000000"/>
          <w:sz w:val="20"/>
          <w:szCs w:val="20"/>
        </w:rPr>
        <w:t xml:space="preserve">Obtenção de Tax ID/EIN (se necessário)</w:t>
      </w:r>
    </w:p>
    <w:p>
      <w:pPr>
        <w:pStyle w:val="Heading4"/>
        <w:spacing w:after="80" w:before="200"/>
      </w:pPr>
      <w:r>
        <w:rPr>
          <w:rFonts w:ascii="Calibri" w:cs="Calibri" w:eastAsia="Calibri" w:hAnsi="Calibri"/>
          <w:b/>
          <w:bCs/>
          <w:color w:val="000000"/>
          <w:sz w:val="20"/>
          <w:szCs w:val="20"/>
        </w:rPr>
        <w:t xml:space="preserve">Constituição New York LLC — </w:t>
      </w:r>
      <w:r>
        <w:rPr>
          <w:rFonts w:ascii="Calibri" w:cs="Calibri" w:eastAsia="Calibri" w:hAnsi="Calibri"/>
          <w:b/>
          <w:bCs/>
          <w:color w:val="000000"/>
          <w:sz w:val="20"/>
          <w:szCs w:val="20"/>
        </w:rPr>
        <w:t xml:space="preserve">USD 1,900</w:t>
      </w:r>
    </w:p>
    <w:p>
      <w:pPr>
        <w:spacing w:after="120" w:before="60"/>
      </w:pPr>
      <w:r>
        <w:rPr>
          <w:rFonts w:ascii="Consolas" w:cs="Consolas" w:eastAsia="Consolas" w:hAnsi="Consolas"/>
          <w:color w:val="2E6DA4"/>
          <w:sz w:val="18"/>
          <w:szCs w:val="18"/>
        </w:rPr>
        <w:t xml:space="preserve">ny</w:t>
      </w:r>
    </w:p>
    <w:p>
      <w:pPr>
        <w:pStyle w:val="ListParagraph"/>
        <w:numPr>
          <w:ilvl w:val="0"/>
          <w:numId w:val="2"/>
        </w:numPr>
        <w:spacing w:after="20" w:before="20"/>
      </w:pPr>
      <w:r>
        <w:rPr>
          <w:rFonts w:ascii="Calibri" w:cs="Calibri" w:eastAsia="Calibri" w:hAnsi="Calibri"/>
          <w:color w:val="000000"/>
          <w:sz w:val="20"/>
          <w:szCs w:val="20"/>
        </w:rPr>
        <w:t xml:space="preserve">Pesquisa do nome da empresa</w:t>
      </w:r>
    </w:p>
    <w:p>
      <w:pPr>
        <w:pStyle w:val="ListParagraph"/>
        <w:numPr>
          <w:ilvl w:val="0"/>
          <w:numId w:val="2"/>
        </w:numPr>
        <w:spacing w:after="20" w:before="20"/>
      </w:pPr>
      <w:r>
        <w:rPr>
          <w:rFonts w:ascii="Calibri" w:cs="Calibri" w:eastAsia="Calibri" w:hAnsi="Calibri"/>
          <w:color w:val="000000"/>
          <w:sz w:val="20"/>
          <w:szCs w:val="20"/>
        </w:rPr>
        <w:t xml:space="preserve">Registro no Department of State</w:t>
      </w:r>
    </w:p>
    <w:p>
      <w:pPr>
        <w:pStyle w:val="ListParagraph"/>
        <w:numPr>
          <w:ilvl w:val="0"/>
          <w:numId w:val="2"/>
        </w:numPr>
        <w:spacing w:after="20" w:before="20"/>
      </w:pPr>
      <w:r>
        <w:rPr>
          <w:rFonts w:ascii="Calibri" w:cs="Calibri" w:eastAsia="Calibri" w:hAnsi="Calibri"/>
          <w:color w:val="000000"/>
          <w:sz w:val="20"/>
          <w:szCs w:val="20"/>
        </w:rPr>
        <w:t xml:space="preserve">Documentos de incorporação</w:t>
      </w:r>
    </w:p>
    <w:p>
      <w:pPr>
        <w:pStyle w:val="ListParagraph"/>
        <w:numPr>
          <w:ilvl w:val="0"/>
          <w:numId w:val="2"/>
        </w:numPr>
        <w:spacing w:after="20" w:before="20"/>
      </w:pPr>
      <w:r>
        <w:rPr>
          <w:rFonts w:ascii="Calibri" w:cs="Calibri" w:eastAsia="Calibri" w:hAnsi="Calibri"/>
          <w:color w:val="000000"/>
          <w:sz w:val="20"/>
          <w:szCs w:val="20"/>
        </w:rPr>
        <w:t xml:space="preserve">Standard Operating Agreement</w:t>
      </w:r>
    </w:p>
    <w:p>
      <w:pPr>
        <w:pStyle w:val="ListParagraph"/>
        <w:numPr>
          <w:ilvl w:val="0"/>
          <w:numId w:val="2"/>
        </w:numPr>
        <w:spacing w:after="20" w:before="20"/>
      </w:pPr>
      <w:r>
        <w:rPr>
          <w:rFonts w:ascii="Calibri" w:cs="Calibri" w:eastAsia="Calibri" w:hAnsi="Calibri"/>
          <w:color w:val="000000"/>
          <w:sz w:val="20"/>
          <w:szCs w:val="20"/>
        </w:rPr>
        <w:t xml:space="preserve">Primeiro ano de fees do Agente Registrado</w:t>
      </w:r>
    </w:p>
    <w:p>
      <w:pPr>
        <w:pStyle w:val="ListParagraph"/>
        <w:numPr>
          <w:ilvl w:val="0"/>
          <w:numId w:val="2"/>
        </w:numPr>
        <w:spacing w:after="20" w:before="20"/>
      </w:pPr>
      <w:r>
        <w:rPr>
          <w:rFonts w:ascii="Calibri" w:cs="Calibri" w:eastAsia="Calibri" w:hAnsi="Calibri"/>
          <w:color w:val="000000"/>
          <w:sz w:val="20"/>
          <w:szCs w:val="20"/>
        </w:rPr>
        <w:t xml:space="preserve">Obtenção de Tax ID/EIN (se necessário)</w:t>
      </w:r>
    </w:p>
    <w:p>
      <w:pPr>
        <w:pStyle w:val="Heading4"/>
        <w:spacing w:after="80" w:before="200"/>
      </w:pPr>
      <w:r>
        <w:rPr>
          <w:rFonts w:ascii="Calibri" w:cs="Calibri" w:eastAsia="Calibri" w:hAnsi="Calibri"/>
          <w:b/>
          <w:bCs/>
          <w:color w:val="000000"/>
          <w:sz w:val="20"/>
          <w:szCs w:val="20"/>
        </w:rPr>
        <w:t xml:space="preserve">Constituição South Dakota LLC — </w:t>
      </w:r>
      <w:r>
        <w:rPr>
          <w:rFonts w:ascii="Calibri" w:cs="Calibri" w:eastAsia="Calibri" w:hAnsi="Calibri"/>
          <w:b/>
          <w:bCs/>
          <w:color w:val="000000"/>
          <w:sz w:val="20"/>
          <w:szCs w:val="20"/>
        </w:rPr>
        <w:t xml:space="preserve">USD 1,900</w:t>
      </w:r>
    </w:p>
    <w:p>
      <w:pPr>
        <w:spacing w:after="120" w:before="60"/>
      </w:pPr>
      <w:r>
        <w:rPr>
          <w:rFonts w:ascii="Consolas" w:cs="Consolas" w:eastAsia="Consolas" w:hAnsi="Consolas"/>
          <w:color w:val="2E6DA4"/>
          <w:sz w:val="18"/>
          <w:szCs w:val="18"/>
        </w:rPr>
        <w:t xml:space="preserve">sd</w:t>
      </w:r>
    </w:p>
    <w:p>
      <w:pPr>
        <w:pStyle w:val="ListParagraph"/>
        <w:numPr>
          <w:ilvl w:val="0"/>
          <w:numId w:val="2"/>
        </w:numPr>
        <w:spacing w:after="20" w:before="20"/>
      </w:pPr>
      <w:r>
        <w:rPr>
          <w:rFonts w:ascii="Calibri" w:cs="Calibri" w:eastAsia="Calibri" w:hAnsi="Calibri"/>
          <w:color w:val="000000"/>
          <w:sz w:val="20"/>
          <w:szCs w:val="20"/>
        </w:rPr>
        <w:t xml:space="preserve">Pesquisa do nome da empresa</w:t>
      </w:r>
    </w:p>
    <w:p>
      <w:pPr>
        <w:pStyle w:val="ListParagraph"/>
        <w:numPr>
          <w:ilvl w:val="0"/>
          <w:numId w:val="2"/>
        </w:numPr>
        <w:spacing w:after="20" w:before="20"/>
      </w:pPr>
      <w:r>
        <w:rPr>
          <w:rFonts w:ascii="Calibri" w:cs="Calibri" w:eastAsia="Calibri" w:hAnsi="Calibri"/>
          <w:color w:val="000000"/>
          <w:sz w:val="20"/>
          <w:szCs w:val="20"/>
        </w:rPr>
        <w:t xml:space="preserve">Registro no Department of State</w:t>
      </w:r>
    </w:p>
    <w:p>
      <w:pPr>
        <w:pStyle w:val="ListParagraph"/>
        <w:numPr>
          <w:ilvl w:val="0"/>
          <w:numId w:val="2"/>
        </w:numPr>
        <w:spacing w:after="20" w:before="20"/>
      </w:pPr>
      <w:r>
        <w:rPr>
          <w:rFonts w:ascii="Calibri" w:cs="Calibri" w:eastAsia="Calibri" w:hAnsi="Calibri"/>
          <w:color w:val="000000"/>
          <w:sz w:val="20"/>
          <w:szCs w:val="20"/>
        </w:rPr>
        <w:t xml:space="preserve">Documentos de incorporação</w:t>
      </w:r>
    </w:p>
    <w:p>
      <w:pPr>
        <w:pStyle w:val="ListParagraph"/>
        <w:numPr>
          <w:ilvl w:val="0"/>
          <w:numId w:val="2"/>
        </w:numPr>
        <w:spacing w:after="20" w:before="20"/>
      </w:pPr>
      <w:r>
        <w:rPr>
          <w:rFonts w:ascii="Calibri" w:cs="Calibri" w:eastAsia="Calibri" w:hAnsi="Calibri"/>
          <w:color w:val="000000"/>
          <w:sz w:val="20"/>
          <w:szCs w:val="20"/>
        </w:rPr>
        <w:t xml:space="preserve">Standard Operating Agreement</w:t>
      </w:r>
    </w:p>
    <w:p>
      <w:pPr>
        <w:pStyle w:val="ListParagraph"/>
        <w:numPr>
          <w:ilvl w:val="0"/>
          <w:numId w:val="2"/>
        </w:numPr>
        <w:spacing w:after="20" w:before="20"/>
      </w:pPr>
      <w:r>
        <w:rPr>
          <w:rFonts w:ascii="Calibri" w:cs="Calibri" w:eastAsia="Calibri" w:hAnsi="Calibri"/>
          <w:color w:val="000000"/>
          <w:sz w:val="20"/>
          <w:szCs w:val="20"/>
        </w:rPr>
        <w:t xml:space="preserve">Primeiro ano de fees do Agente Registrado</w:t>
      </w:r>
    </w:p>
    <w:p>
      <w:pPr>
        <w:pStyle w:val="ListParagraph"/>
        <w:numPr>
          <w:ilvl w:val="0"/>
          <w:numId w:val="2"/>
        </w:numPr>
        <w:spacing w:after="20" w:before="20"/>
      </w:pPr>
      <w:r>
        <w:rPr>
          <w:rFonts w:ascii="Calibri" w:cs="Calibri" w:eastAsia="Calibri" w:hAnsi="Calibri"/>
          <w:color w:val="000000"/>
          <w:sz w:val="20"/>
          <w:szCs w:val="20"/>
        </w:rPr>
        <w:t xml:space="preserve">Obtenção de Tax ID/EIN (se necessário)</w:t>
      </w:r>
    </w:p>
    <w:p>
      <w:pPr>
        <w:pStyle w:val="Heading4"/>
        <w:spacing w:after="80" w:before="200"/>
      </w:pPr>
      <w:r>
        <w:rPr>
          <w:rFonts w:ascii="Calibri" w:cs="Calibri" w:eastAsia="Calibri" w:hAnsi="Calibri"/>
          <w:b/>
          <w:bCs/>
          <w:color w:val="000000"/>
          <w:sz w:val="20"/>
          <w:szCs w:val="20"/>
        </w:rPr>
        <w:t xml:space="preserve">Constituição Wisconsin LLC — </w:t>
      </w:r>
      <w:r>
        <w:rPr>
          <w:rFonts w:ascii="Calibri" w:cs="Calibri" w:eastAsia="Calibri" w:hAnsi="Calibri"/>
          <w:b/>
          <w:bCs/>
          <w:color w:val="000000"/>
          <w:sz w:val="20"/>
          <w:szCs w:val="20"/>
        </w:rPr>
        <w:t xml:space="preserve">USD 1,900</w:t>
      </w:r>
    </w:p>
    <w:p>
      <w:pPr>
        <w:spacing w:after="120" w:before="60"/>
      </w:pPr>
      <w:r>
        <w:rPr>
          <w:rFonts w:ascii="Consolas" w:cs="Consolas" w:eastAsia="Consolas" w:hAnsi="Consolas"/>
          <w:color w:val="2E6DA4"/>
          <w:sz w:val="18"/>
          <w:szCs w:val="18"/>
        </w:rPr>
        <w:t xml:space="preserve">wi</w:t>
      </w:r>
    </w:p>
    <w:p>
      <w:pPr>
        <w:pStyle w:val="ListParagraph"/>
        <w:numPr>
          <w:ilvl w:val="0"/>
          <w:numId w:val="2"/>
        </w:numPr>
        <w:spacing w:after="20" w:before="20"/>
      </w:pPr>
      <w:r>
        <w:rPr>
          <w:rFonts w:ascii="Calibri" w:cs="Calibri" w:eastAsia="Calibri" w:hAnsi="Calibri"/>
          <w:color w:val="000000"/>
          <w:sz w:val="20"/>
          <w:szCs w:val="20"/>
        </w:rPr>
        <w:t xml:space="preserve">Pesquisa do nome da empresa</w:t>
      </w:r>
    </w:p>
    <w:p>
      <w:pPr>
        <w:pStyle w:val="ListParagraph"/>
        <w:numPr>
          <w:ilvl w:val="0"/>
          <w:numId w:val="2"/>
        </w:numPr>
        <w:spacing w:after="20" w:before="20"/>
      </w:pPr>
      <w:r>
        <w:rPr>
          <w:rFonts w:ascii="Calibri" w:cs="Calibri" w:eastAsia="Calibri" w:hAnsi="Calibri"/>
          <w:color w:val="000000"/>
          <w:sz w:val="20"/>
          <w:szCs w:val="20"/>
        </w:rPr>
        <w:t xml:space="preserve">Registro no Department of State</w:t>
      </w:r>
    </w:p>
    <w:p>
      <w:pPr>
        <w:pStyle w:val="ListParagraph"/>
        <w:numPr>
          <w:ilvl w:val="0"/>
          <w:numId w:val="2"/>
        </w:numPr>
        <w:spacing w:after="20" w:before="20"/>
      </w:pPr>
      <w:r>
        <w:rPr>
          <w:rFonts w:ascii="Calibri" w:cs="Calibri" w:eastAsia="Calibri" w:hAnsi="Calibri"/>
          <w:color w:val="000000"/>
          <w:sz w:val="20"/>
          <w:szCs w:val="20"/>
        </w:rPr>
        <w:t xml:space="preserve">Documentos de incorporação</w:t>
      </w:r>
    </w:p>
    <w:p>
      <w:pPr>
        <w:pStyle w:val="ListParagraph"/>
        <w:numPr>
          <w:ilvl w:val="0"/>
          <w:numId w:val="2"/>
        </w:numPr>
        <w:spacing w:after="20" w:before="20"/>
      </w:pPr>
      <w:r>
        <w:rPr>
          <w:rFonts w:ascii="Calibri" w:cs="Calibri" w:eastAsia="Calibri" w:hAnsi="Calibri"/>
          <w:color w:val="000000"/>
          <w:sz w:val="20"/>
          <w:szCs w:val="20"/>
        </w:rPr>
        <w:t xml:space="preserve">Standard Operating Agreement</w:t>
      </w:r>
    </w:p>
    <w:p>
      <w:pPr>
        <w:pStyle w:val="ListParagraph"/>
        <w:numPr>
          <w:ilvl w:val="0"/>
          <w:numId w:val="2"/>
        </w:numPr>
        <w:spacing w:after="20" w:before="20"/>
      </w:pPr>
      <w:r>
        <w:rPr>
          <w:rFonts w:ascii="Calibri" w:cs="Calibri" w:eastAsia="Calibri" w:hAnsi="Calibri"/>
          <w:color w:val="000000"/>
          <w:sz w:val="20"/>
          <w:szCs w:val="20"/>
        </w:rPr>
        <w:t xml:space="preserve">Primeiro ano de fees do Agente Registrado</w:t>
      </w:r>
    </w:p>
    <w:p>
      <w:pPr>
        <w:pStyle w:val="ListParagraph"/>
        <w:numPr>
          <w:ilvl w:val="0"/>
          <w:numId w:val="2"/>
        </w:numPr>
        <w:spacing w:after="20" w:before="20"/>
      </w:pPr>
      <w:r>
        <w:rPr>
          <w:rFonts w:ascii="Calibri" w:cs="Calibri" w:eastAsia="Calibri" w:hAnsi="Calibri"/>
          <w:color w:val="000000"/>
          <w:sz w:val="20"/>
          <w:szCs w:val="20"/>
        </w:rPr>
        <w:t xml:space="preserve">Obtenção de Tax ID/EIN (se necessário)</w:t>
      </w:r>
    </w:p>
    <w:p>
      <w:pPr>
        <w:pStyle w:val="Heading4"/>
        <w:spacing w:after="80" w:before="200"/>
      </w:pPr>
      <w:r>
        <w:rPr>
          <w:rFonts w:ascii="Calibri" w:cs="Calibri" w:eastAsia="Calibri" w:hAnsi="Calibri"/>
          <w:b/>
          <w:bCs/>
          <w:color w:val="000000"/>
          <w:sz w:val="20"/>
          <w:szCs w:val="20"/>
        </w:rPr>
        <w:t xml:space="preserve">Constituição Minnesota LLC — </w:t>
      </w:r>
      <w:r>
        <w:rPr>
          <w:rFonts w:ascii="Calibri" w:cs="Calibri" w:eastAsia="Calibri" w:hAnsi="Calibri"/>
          <w:b/>
          <w:bCs/>
          <w:color w:val="000000"/>
          <w:sz w:val="20"/>
          <w:szCs w:val="20"/>
        </w:rPr>
        <w:t xml:space="preserve">USD 1,900</w:t>
      </w:r>
    </w:p>
    <w:p>
      <w:pPr>
        <w:spacing w:after="120" w:before="60"/>
      </w:pPr>
      <w:r>
        <w:rPr>
          <w:rFonts w:ascii="Consolas" w:cs="Consolas" w:eastAsia="Consolas" w:hAnsi="Consolas"/>
          <w:color w:val="2E6DA4"/>
          <w:sz w:val="18"/>
          <w:szCs w:val="18"/>
        </w:rPr>
        <w:t xml:space="preserve">mn</w:t>
      </w:r>
    </w:p>
    <w:p>
      <w:pPr>
        <w:pStyle w:val="ListParagraph"/>
        <w:numPr>
          <w:ilvl w:val="0"/>
          <w:numId w:val="2"/>
        </w:numPr>
        <w:spacing w:after="20" w:before="20"/>
      </w:pPr>
      <w:r>
        <w:rPr>
          <w:rFonts w:ascii="Calibri" w:cs="Calibri" w:eastAsia="Calibri" w:hAnsi="Calibri"/>
          <w:color w:val="000000"/>
          <w:sz w:val="20"/>
          <w:szCs w:val="20"/>
        </w:rPr>
        <w:t xml:space="preserve">Pesquisa do nome da empresa</w:t>
      </w:r>
    </w:p>
    <w:p>
      <w:pPr>
        <w:pStyle w:val="ListParagraph"/>
        <w:numPr>
          <w:ilvl w:val="0"/>
          <w:numId w:val="2"/>
        </w:numPr>
        <w:spacing w:after="20" w:before="20"/>
      </w:pPr>
      <w:r>
        <w:rPr>
          <w:rFonts w:ascii="Calibri" w:cs="Calibri" w:eastAsia="Calibri" w:hAnsi="Calibri"/>
          <w:color w:val="000000"/>
          <w:sz w:val="20"/>
          <w:szCs w:val="20"/>
        </w:rPr>
        <w:t xml:space="preserve">Registro no Department of State</w:t>
      </w:r>
    </w:p>
    <w:p>
      <w:pPr>
        <w:pStyle w:val="ListParagraph"/>
        <w:numPr>
          <w:ilvl w:val="0"/>
          <w:numId w:val="2"/>
        </w:numPr>
        <w:spacing w:after="20" w:before="20"/>
      </w:pPr>
      <w:r>
        <w:rPr>
          <w:rFonts w:ascii="Calibri" w:cs="Calibri" w:eastAsia="Calibri" w:hAnsi="Calibri"/>
          <w:color w:val="000000"/>
          <w:sz w:val="20"/>
          <w:szCs w:val="20"/>
        </w:rPr>
        <w:t xml:space="preserve">Documentos de incorporação</w:t>
      </w:r>
    </w:p>
    <w:p>
      <w:pPr>
        <w:pStyle w:val="ListParagraph"/>
        <w:numPr>
          <w:ilvl w:val="0"/>
          <w:numId w:val="2"/>
        </w:numPr>
        <w:spacing w:after="20" w:before="20"/>
      </w:pPr>
      <w:r>
        <w:rPr>
          <w:rFonts w:ascii="Calibri" w:cs="Calibri" w:eastAsia="Calibri" w:hAnsi="Calibri"/>
          <w:color w:val="000000"/>
          <w:sz w:val="20"/>
          <w:szCs w:val="20"/>
        </w:rPr>
        <w:t xml:space="preserve">Standard Operating Agreement</w:t>
      </w:r>
    </w:p>
    <w:p>
      <w:pPr>
        <w:pStyle w:val="ListParagraph"/>
        <w:numPr>
          <w:ilvl w:val="0"/>
          <w:numId w:val="2"/>
        </w:numPr>
        <w:spacing w:after="20" w:before="20"/>
      </w:pPr>
      <w:r>
        <w:rPr>
          <w:rFonts w:ascii="Calibri" w:cs="Calibri" w:eastAsia="Calibri" w:hAnsi="Calibri"/>
          <w:color w:val="000000"/>
          <w:sz w:val="20"/>
          <w:szCs w:val="20"/>
        </w:rPr>
        <w:t xml:space="preserve">Primeiro ano de fees do Agente Registrado</w:t>
      </w:r>
    </w:p>
    <w:p>
      <w:pPr>
        <w:pStyle w:val="ListParagraph"/>
        <w:numPr>
          <w:ilvl w:val="0"/>
          <w:numId w:val="2"/>
        </w:numPr>
        <w:spacing w:after="20" w:before="20"/>
      </w:pPr>
      <w:r>
        <w:rPr>
          <w:rFonts w:ascii="Calibri" w:cs="Calibri" w:eastAsia="Calibri" w:hAnsi="Calibri"/>
          <w:color w:val="000000"/>
          <w:sz w:val="20"/>
          <w:szCs w:val="20"/>
        </w:rPr>
        <w:t xml:space="preserve">Obtenção de Tax ID/EIN (se necessário)</w:t>
      </w:r>
    </w:p>
    <w:p>
      <w:pPr>
        <w:pStyle w:val="Heading4"/>
        <w:spacing w:after="80" w:before="200"/>
      </w:pPr>
      <w:r>
        <w:rPr>
          <w:rFonts w:ascii="Calibri" w:cs="Calibri" w:eastAsia="Calibri" w:hAnsi="Calibri"/>
          <w:b/>
          <w:bCs/>
          <w:color w:val="000000"/>
          <w:sz w:val="20"/>
          <w:szCs w:val="20"/>
        </w:rPr>
        <w:t xml:space="preserve">Outro estado americano (campo livre) — </w:t>
      </w:r>
      <w:r>
        <w:rPr>
          <w:rFonts w:ascii="Calibri" w:cs="Calibri" w:eastAsia="Calibri" w:hAnsi="Calibri"/>
          <w:b/>
          <w:bCs/>
          <w:color w:val="000000"/>
          <w:sz w:val="20"/>
          <w:szCs w:val="20"/>
        </w:rPr>
        <w:t xml:space="preserve">A definir (caso a caso)</w:t>
      </w:r>
    </w:p>
    <w:p>
      <w:pPr>
        <w:spacing w:after="120" w:before="60"/>
      </w:pPr>
      <w:r>
        <w:rPr>
          <w:rFonts w:ascii="Consolas" w:cs="Consolas" w:eastAsia="Consolas" w:hAnsi="Consolas"/>
          <w:color w:val="2E6DA4"/>
          <w:sz w:val="18"/>
          <w:szCs w:val="18"/>
        </w:rPr>
        <w:t xml:space="preserve">customUS</w:t>
      </w:r>
    </w:p>
    <w:p>
      <w:pPr>
        <w:pStyle w:val="Heading2"/>
        <w:spacing w:after="140" w:before="340"/>
      </w:pPr>
      <w:r>
        <w:rPr>
          <w:rFonts w:ascii="Calibri" w:cs="Calibri" w:eastAsia="Calibri" w:hAnsi="Calibri"/>
          <w:b/>
          <w:bCs/>
          <w:color w:val="1F3A5F"/>
          <w:sz w:val="26"/>
          <w:szCs w:val="26"/>
        </w:rPr>
        <w:t xml:space="preserve">2. Manutenção Anual (recorrente — a partir do ano 2)</w:t>
      </w:r>
    </w:p>
    <w:p>
      <w:pPr>
        <w:pStyle w:val="Heading4"/>
        <w:spacing w:after="80" w:before="200"/>
      </w:pPr>
      <w:r>
        <w:rPr>
          <w:rFonts w:ascii="Calibri" w:cs="Calibri" w:eastAsia="Calibri" w:hAnsi="Calibri"/>
          <w:b/>
          <w:bCs/>
          <w:color w:val="000000"/>
          <w:sz w:val="20"/>
          <w:szCs w:val="20"/>
        </w:rPr>
        <w:t xml:space="preserve">Manutenção Anual BVI Company — </w:t>
      </w:r>
      <w:r>
        <w:rPr>
          <w:rFonts w:ascii="Calibri" w:cs="Calibri" w:eastAsia="Calibri" w:hAnsi="Calibri"/>
          <w:b/>
          <w:bCs/>
          <w:color w:val="000000"/>
          <w:sz w:val="20"/>
          <w:szCs w:val="20"/>
        </w:rPr>
        <w:t xml:space="preserve">USD 1,900</w:t>
      </w:r>
    </w:p>
    <w:p>
      <w:pPr>
        <w:spacing w:after="120" w:before="60"/>
      </w:pPr>
      <w:r>
        <w:rPr>
          <w:rFonts w:ascii="Consolas" w:cs="Consolas" w:eastAsia="Consolas" w:hAnsi="Consolas"/>
          <w:color w:val="2E6DA4"/>
          <w:sz w:val="18"/>
          <w:szCs w:val="18"/>
        </w:rPr>
        <w:t xml:space="preserve">bviMaint</w:t>
      </w:r>
    </w:p>
    <w:p>
      <w:pPr>
        <w:pStyle w:val="ListParagraph"/>
        <w:numPr>
          <w:ilvl w:val="0"/>
          <w:numId w:val="2"/>
        </w:numPr>
        <w:spacing w:after="20" w:before="20"/>
      </w:pPr>
      <w:r>
        <w:rPr>
          <w:rFonts w:ascii="Calibri" w:cs="Calibri" w:eastAsia="Calibri" w:hAnsi="Calibri"/>
          <w:color w:val="000000"/>
          <w:sz w:val="20"/>
          <w:szCs w:val="20"/>
        </w:rPr>
        <w:t xml:space="preserve">Taxa Governamental: Inclui as obrigações financeiras exigidas pelo governo para a manutenção da empresa em good standing</w:t>
      </w:r>
    </w:p>
    <w:p>
      <w:pPr>
        <w:pStyle w:val="ListParagraph"/>
        <w:numPr>
          <w:ilvl w:val="0"/>
          <w:numId w:val="2"/>
        </w:numPr>
        <w:spacing w:after="20" w:before="20"/>
      </w:pPr>
      <w:r>
        <w:rPr>
          <w:rFonts w:ascii="Calibri" w:cs="Calibri" w:eastAsia="Calibri" w:hAnsi="Calibri"/>
          <w:color w:val="000000"/>
          <w:sz w:val="20"/>
          <w:szCs w:val="20"/>
        </w:rPr>
        <w:t xml:space="preserve">Taxa do Agente Registrado Local: Refere-se ao serviço de manutenção de um representante local para a empresa, garantindo uma gestão eficaz e o cumprimento dos procedimentos administrativos</w:t>
      </w:r>
    </w:p>
    <w:p>
      <w:pPr>
        <w:pStyle w:val="ListParagraph"/>
        <w:numPr>
          <w:ilvl w:val="0"/>
          <w:numId w:val="2"/>
        </w:numPr>
        <w:spacing w:after="20" w:before="20"/>
      </w:pPr>
      <w:r>
        <w:rPr>
          <w:rFonts w:ascii="Calibri" w:cs="Calibri" w:eastAsia="Calibri" w:hAnsi="Calibri"/>
          <w:color w:val="000000"/>
          <w:sz w:val="20"/>
          <w:szCs w:val="20"/>
        </w:rPr>
        <w:t xml:space="preserve">Manutenção dos Registros da Empresa: Inclui a organização e atualização contínua dos registros empresariais, assegurando que a documentação da empresa esteja completa e atualizada</w:t>
      </w:r>
    </w:p>
    <w:p>
      <w:pPr>
        <w:pStyle w:val="ListParagraph"/>
        <w:numPr>
          <w:ilvl w:val="0"/>
          <w:numId w:val="2"/>
        </w:numPr>
        <w:spacing w:after="20" w:before="20"/>
      </w:pPr>
      <w:r>
        <w:rPr>
          <w:rFonts w:ascii="Calibri" w:cs="Calibri" w:eastAsia="Calibri" w:hAnsi="Calibri"/>
          <w:color w:val="000000"/>
          <w:sz w:val="20"/>
          <w:szCs w:val="20"/>
        </w:rPr>
        <w:t xml:space="preserve">Compliance Anual: Engloba a verificação e o cumprimento de requisitos necessários para assegurar a conformidade da empresa com as exigências das autoridades legais e a manutenção de sua regularidade</w:t>
      </w:r>
    </w:p>
    <w:p>
      <w:pPr>
        <w:pStyle w:val="ListParagraph"/>
        <w:numPr>
          <w:ilvl w:val="0"/>
          <w:numId w:val="2"/>
        </w:numPr>
        <w:spacing w:after="20" w:before="20"/>
      </w:pPr>
      <w:r>
        <w:rPr>
          <w:rFonts w:ascii="Calibri" w:cs="Calibri" w:eastAsia="Calibri" w:hAnsi="Calibri"/>
          <w:color w:val="000000"/>
          <w:sz w:val="20"/>
          <w:szCs w:val="20"/>
        </w:rPr>
        <w:t xml:space="preserve">Reporte de Substância Econômica*</w:t>
      </w:r>
    </w:p>
    <w:p>
      <w:pPr>
        <w:pStyle w:val="ListParagraph"/>
        <w:numPr>
          <w:ilvl w:val="0"/>
          <w:numId w:val="2"/>
        </w:numPr>
        <w:spacing w:after="20" w:before="20"/>
      </w:pPr>
      <w:r>
        <w:rPr>
          <w:rFonts w:ascii="Calibri" w:cs="Calibri" w:eastAsia="Calibri" w:hAnsi="Calibri"/>
          <w:color w:val="000000"/>
          <w:sz w:val="20"/>
          <w:szCs w:val="20"/>
        </w:rPr>
        <w:t xml:space="preserve">Relatório Anual (Annual Financial Return)</w:t>
      </w:r>
    </w:p>
    <w:p>
      <w:pPr>
        <w:pBdr>
          <w:left w:val="single" w:color="B8C6D6" w:sz="14" w:space="10"/>
        </w:pBdr>
        <w:spacing w:after="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*A classificação para fins de substância econômica pressupõe que a empresa não esteja dentro do escopo da Lei. Caso as premissas sejam diferentes ou alteradas, os fees serão revisados com base na atividade desenvolvida.  </w:t>
      </w:r>
    </w:p>
    <w:p>
      <w:pPr>
        <w:pBdr>
          <w:left w:val="single" w:color="B8C6D6" w:sz="14" w:space="10"/>
        </w:pBdr>
        <w:spacing w:after="160" w:before="0"/>
        <w:ind w:left="340"/>
      </w:pPr>
      <w:r>
        <w:rPr>
          <w:rFonts w:ascii="Calibri" w:cs="Calibri" w:eastAsia="Calibri" w:hAnsi="Calibri"/>
          <w:i/>
          <w:iCs/>
          <w:color w:val="595959"/>
          <w:sz w:val="19"/>
          <w:szCs w:val="19"/>
        </w:rPr>
        <w:t xml:space="preserve">A elaboração das demonstrações financeiras não está incluída na taxa de manutenção anual.</w:t>
      </w:r>
    </w:p>
    <w:p>
      <w:pPr>
        <w:pStyle w:val="Heading4"/>
        <w:spacing w:after="80" w:before="200"/>
      </w:pPr>
      <w:r>
        <w:rPr>
          <w:rFonts w:ascii="Calibri" w:cs="Calibri" w:eastAsia="Calibri" w:hAnsi="Calibri"/>
          <w:b/>
          <w:bCs/>
          <w:color w:val="000000"/>
          <w:sz w:val="20"/>
          <w:szCs w:val="20"/>
        </w:rPr>
        <w:t xml:space="preserve">Manutenção Anual Bahamas Company — </w:t>
      </w:r>
      <w:r>
        <w:rPr>
          <w:rFonts w:ascii="Calibri" w:cs="Calibri" w:eastAsia="Calibri" w:hAnsi="Calibri"/>
          <w:b/>
          <w:bCs/>
          <w:color w:val="000000"/>
          <w:sz w:val="20"/>
          <w:szCs w:val="20"/>
        </w:rPr>
        <w:t xml:space="preserve">USD 1,900</w:t>
      </w:r>
    </w:p>
    <w:p>
      <w:pPr>
        <w:spacing w:after="120" w:before="60"/>
      </w:pPr>
      <w:r>
        <w:rPr>
          <w:rFonts w:ascii="Consolas" w:cs="Consolas" w:eastAsia="Consolas" w:hAnsi="Consolas"/>
          <w:color w:val="2E6DA4"/>
          <w:sz w:val="18"/>
          <w:szCs w:val="18"/>
        </w:rPr>
        <w:t xml:space="preserve">bahamasMaint</w:t>
      </w:r>
    </w:p>
    <w:p>
      <w:pPr>
        <w:pStyle w:val="ListParagraph"/>
        <w:numPr>
          <w:ilvl w:val="0"/>
          <w:numId w:val="2"/>
        </w:numPr>
        <w:spacing w:after="20" w:before="20"/>
      </w:pPr>
      <w:r>
        <w:rPr>
          <w:rFonts w:ascii="Calibri" w:cs="Calibri" w:eastAsia="Calibri" w:hAnsi="Calibri"/>
          <w:color w:val="000000"/>
          <w:sz w:val="20"/>
          <w:szCs w:val="20"/>
        </w:rPr>
        <w:t xml:space="preserve">Taxa Governamental: Inclui as obrigações financeiras anuais exigidas pelo Registrar General das Bahamas</w:t>
      </w:r>
    </w:p>
    <w:p>
      <w:pPr>
        <w:pStyle w:val="ListParagraph"/>
        <w:numPr>
          <w:ilvl w:val="0"/>
          <w:numId w:val="2"/>
        </w:numPr>
        <w:spacing w:after="20" w:before="20"/>
      </w:pPr>
      <w:r>
        <w:rPr>
          <w:rFonts w:ascii="Calibri" w:cs="Calibri" w:eastAsia="Calibri" w:hAnsi="Calibri"/>
          <w:color w:val="000000"/>
          <w:sz w:val="20"/>
          <w:szCs w:val="20"/>
        </w:rPr>
        <w:t xml:space="preserve">Taxa do Agente Registrado Local: Renovação anual do serviço de agente registrado nas Bahamas</w:t>
      </w:r>
    </w:p>
    <w:p>
      <w:pPr>
        <w:pStyle w:val="ListParagraph"/>
        <w:numPr>
          <w:ilvl w:val="0"/>
          <w:numId w:val="2"/>
        </w:numPr>
        <w:spacing w:after="20" w:before="20"/>
      </w:pPr>
      <w:r>
        <w:rPr>
          <w:rFonts w:ascii="Calibri" w:cs="Calibri" w:eastAsia="Calibri" w:hAnsi="Calibri"/>
          <w:color w:val="000000"/>
          <w:sz w:val="20"/>
          <w:szCs w:val="20"/>
        </w:rPr>
        <w:t xml:space="preserve">Manutenção dos Registros da Empresa: Inclui atualização e arquivamento dos documentos corporativos</w:t>
      </w:r>
    </w:p>
    <w:p>
      <w:pPr>
        <w:pStyle w:val="ListParagraph"/>
        <w:numPr>
          <w:ilvl w:val="0"/>
          <w:numId w:val="2"/>
        </w:numPr>
        <w:spacing w:after="20" w:before="20"/>
      </w:pPr>
      <w:r>
        <w:rPr>
          <w:rFonts w:ascii="Calibri" w:cs="Calibri" w:eastAsia="Calibri" w:hAnsi="Calibri"/>
          <w:color w:val="000000"/>
          <w:sz w:val="20"/>
          <w:szCs w:val="20"/>
        </w:rPr>
        <w:t xml:space="preserve">Compliance Anual: Engloba todas as obrigações regulatórias anuais perante as autoridades das Bahamas</w:t>
      </w:r>
    </w:p>
    <w:p>
      <w:pPr>
        <w:pStyle w:val="Heading4"/>
        <w:spacing w:after="80" w:before="200"/>
      </w:pPr>
      <w:r>
        <w:rPr>
          <w:rFonts w:ascii="Calibri" w:cs="Calibri" w:eastAsia="Calibri" w:hAnsi="Calibri"/>
          <w:b/>
          <w:bCs/>
          <w:color w:val="000000"/>
          <w:sz w:val="20"/>
          <w:szCs w:val="20"/>
        </w:rPr>
        <w:t xml:space="preserve">Manutenção Anual Cayman Company — </w:t>
      </w:r>
      <w:r>
        <w:rPr>
          <w:rFonts w:ascii="Calibri" w:cs="Calibri" w:eastAsia="Calibri" w:hAnsi="Calibri"/>
          <w:b/>
          <w:bCs/>
          <w:color w:val="000000"/>
          <w:sz w:val="20"/>
          <w:szCs w:val="20"/>
        </w:rPr>
        <w:t xml:space="preserve">USD 4,400</w:t>
      </w:r>
    </w:p>
    <w:p>
      <w:pPr>
        <w:spacing w:after="120" w:before="60"/>
      </w:pPr>
      <w:r>
        <w:rPr>
          <w:rFonts w:ascii="Consolas" w:cs="Consolas" w:eastAsia="Consolas" w:hAnsi="Consolas"/>
          <w:color w:val="2E6DA4"/>
          <w:sz w:val="18"/>
          <w:szCs w:val="18"/>
        </w:rPr>
        <w:t xml:space="preserve">caymanMaint</w:t>
      </w:r>
    </w:p>
    <w:p>
      <w:pPr>
        <w:pStyle w:val="ListParagraph"/>
        <w:numPr>
          <w:ilvl w:val="0"/>
          <w:numId w:val="2"/>
        </w:numPr>
        <w:spacing w:after="20" w:before="20"/>
      </w:pPr>
      <w:r>
        <w:rPr>
          <w:rFonts w:ascii="Calibri" w:cs="Calibri" w:eastAsia="Calibri" w:hAnsi="Calibri"/>
          <w:color w:val="000000"/>
          <w:sz w:val="20"/>
          <w:szCs w:val="20"/>
        </w:rPr>
        <w:t xml:space="preserve">Taxa Governamental: Inclui as obrigações financeiras anuais exigidas pelo Cayman Islands Registrar</w:t>
      </w:r>
    </w:p>
    <w:p>
      <w:pPr>
        <w:pStyle w:val="ListParagraph"/>
        <w:numPr>
          <w:ilvl w:val="0"/>
          <w:numId w:val="2"/>
        </w:numPr>
        <w:spacing w:after="20" w:before="20"/>
      </w:pPr>
      <w:r>
        <w:rPr>
          <w:rFonts w:ascii="Calibri" w:cs="Calibri" w:eastAsia="Calibri" w:hAnsi="Calibri"/>
          <w:color w:val="000000"/>
          <w:sz w:val="20"/>
          <w:szCs w:val="20"/>
        </w:rPr>
        <w:t xml:space="preserve">Taxa do Agente Registrado Local: Renovação anual do serviço de agente registrado nas Ilhas Cayman</w:t>
      </w:r>
    </w:p>
    <w:p>
      <w:pPr>
        <w:pStyle w:val="ListParagraph"/>
        <w:numPr>
          <w:ilvl w:val="0"/>
          <w:numId w:val="2"/>
        </w:numPr>
        <w:spacing w:after="20" w:before="20"/>
      </w:pPr>
      <w:r>
        <w:rPr>
          <w:rFonts w:ascii="Calibri" w:cs="Calibri" w:eastAsia="Calibri" w:hAnsi="Calibri"/>
          <w:color w:val="000000"/>
          <w:sz w:val="20"/>
          <w:szCs w:val="20"/>
        </w:rPr>
        <w:t xml:space="preserve">Manutenção dos Registros da Empresa: Inclui atualização e arquivamento dos documentos corporativos</w:t>
      </w:r>
    </w:p>
    <w:p>
      <w:pPr>
        <w:pStyle w:val="ListParagraph"/>
        <w:numPr>
          <w:ilvl w:val="0"/>
          <w:numId w:val="2"/>
        </w:numPr>
        <w:spacing w:after="20" w:before="20"/>
      </w:pPr>
      <w:r>
        <w:rPr>
          <w:rFonts w:ascii="Calibri" w:cs="Calibri" w:eastAsia="Calibri" w:hAnsi="Calibri"/>
          <w:color w:val="000000"/>
          <w:sz w:val="20"/>
          <w:szCs w:val="20"/>
        </w:rPr>
        <w:t xml:space="preserve">Compliance Anual: Engloba todas as obrigações regulatórias anuais perante as autoridades das Ilhas Cayman</w:t>
      </w:r>
    </w:p>
    <w:p>
      <w:pPr>
        <w:pStyle w:val="Heading4"/>
        <w:spacing w:after="80" w:before="200"/>
      </w:pPr>
      <w:r>
        <w:rPr>
          <w:rFonts w:ascii="Calibri" w:cs="Calibri" w:eastAsia="Calibri" w:hAnsi="Calibri"/>
          <w:b/>
          <w:bCs/>
          <w:color w:val="000000"/>
          <w:sz w:val="20"/>
          <w:szCs w:val="20"/>
        </w:rPr>
        <w:t xml:space="preserve">Manutenção Anual Nevis Company — </w:t>
      </w:r>
      <w:r>
        <w:rPr>
          <w:rFonts w:ascii="Calibri" w:cs="Calibri" w:eastAsia="Calibri" w:hAnsi="Calibri"/>
          <w:b/>
          <w:bCs/>
          <w:color w:val="000000"/>
          <w:sz w:val="20"/>
          <w:szCs w:val="20"/>
        </w:rPr>
        <w:t xml:space="preserve">USD 1,900</w:t>
      </w:r>
    </w:p>
    <w:p>
      <w:pPr>
        <w:spacing w:after="120" w:before="60"/>
      </w:pPr>
      <w:r>
        <w:rPr>
          <w:rFonts w:ascii="Consolas" w:cs="Consolas" w:eastAsia="Consolas" w:hAnsi="Consolas"/>
          <w:color w:val="2E6DA4"/>
          <w:sz w:val="18"/>
          <w:szCs w:val="18"/>
        </w:rPr>
        <w:t xml:space="preserve">nevisMaint</w:t>
      </w:r>
    </w:p>
    <w:p>
      <w:pPr>
        <w:pStyle w:val="ListParagraph"/>
        <w:numPr>
          <w:ilvl w:val="0"/>
          <w:numId w:val="2"/>
        </w:numPr>
        <w:spacing w:after="20" w:before="20"/>
      </w:pPr>
      <w:r>
        <w:rPr>
          <w:rFonts w:ascii="Calibri" w:cs="Calibri" w:eastAsia="Calibri" w:hAnsi="Calibri"/>
          <w:color w:val="000000"/>
          <w:sz w:val="20"/>
          <w:szCs w:val="20"/>
        </w:rPr>
        <w:t xml:space="preserve">Taxa Governamental: Inclui as obrigações financeiras anuais exigidas pelo Nevis Registrar</w:t>
      </w:r>
    </w:p>
    <w:p>
      <w:pPr>
        <w:pStyle w:val="ListParagraph"/>
        <w:numPr>
          <w:ilvl w:val="0"/>
          <w:numId w:val="2"/>
        </w:numPr>
        <w:spacing w:after="20" w:before="20"/>
      </w:pPr>
      <w:r>
        <w:rPr>
          <w:rFonts w:ascii="Calibri" w:cs="Calibri" w:eastAsia="Calibri" w:hAnsi="Calibri"/>
          <w:color w:val="000000"/>
          <w:sz w:val="20"/>
          <w:szCs w:val="20"/>
        </w:rPr>
        <w:t xml:space="preserve">Taxa do Agente Registrado Local: Renovação anual do serviço de agente registrado em Nevis</w:t>
      </w:r>
    </w:p>
    <w:p>
      <w:pPr>
        <w:pStyle w:val="ListParagraph"/>
        <w:numPr>
          <w:ilvl w:val="0"/>
          <w:numId w:val="2"/>
        </w:numPr>
        <w:spacing w:after="20" w:before="20"/>
      </w:pPr>
      <w:r>
        <w:rPr>
          <w:rFonts w:ascii="Calibri" w:cs="Calibri" w:eastAsia="Calibri" w:hAnsi="Calibri"/>
          <w:color w:val="000000"/>
          <w:sz w:val="20"/>
          <w:szCs w:val="20"/>
        </w:rPr>
        <w:t xml:space="preserve">Manutenção dos Registros da Empresa: Inclui atualização e arquivamento dos documentos corporativos</w:t>
      </w:r>
    </w:p>
    <w:p>
      <w:pPr>
        <w:pStyle w:val="ListParagraph"/>
        <w:numPr>
          <w:ilvl w:val="0"/>
          <w:numId w:val="2"/>
        </w:numPr>
        <w:spacing w:after="20" w:before="20"/>
      </w:pPr>
      <w:r>
        <w:rPr>
          <w:rFonts w:ascii="Calibri" w:cs="Calibri" w:eastAsia="Calibri" w:hAnsi="Calibri"/>
          <w:color w:val="000000"/>
          <w:sz w:val="20"/>
          <w:szCs w:val="20"/>
        </w:rPr>
        <w:t xml:space="preserve">Compliance Anual: Engloba todas as obrigações regulatórias anuais perante as autoridades de Nevis</w:t>
      </w:r>
    </w:p>
    <w:p>
      <w:pPr>
        <w:pStyle w:val="Heading4"/>
        <w:spacing w:after="80" w:before="200"/>
      </w:pPr>
      <w:r>
        <w:rPr>
          <w:rFonts w:ascii="Calibri" w:cs="Calibri" w:eastAsia="Calibri" w:hAnsi="Calibri"/>
          <w:b/>
          <w:bCs/>
          <w:color w:val="000000"/>
          <w:sz w:val="20"/>
          <w:szCs w:val="20"/>
        </w:rPr>
        <w:t xml:space="preserve">Manutenção Anual Florida LLC — </w:t>
      </w:r>
      <w:r>
        <w:rPr>
          <w:rFonts w:ascii="Calibri" w:cs="Calibri" w:eastAsia="Calibri" w:hAnsi="Calibri"/>
          <w:b/>
          <w:bCs/>
          <w:color w:val="000000"/>
          <w:sz w:val="20"/>
          <w:szCs w:val="20"/>
        </w:rPr>
        <w:t xml:space="preserve">USD 750</w:t>
      </w:r>
    </w:p>
    <w:p>
      <w:pPr>
        <w:spacing w:after="120" w:before="60"/>
      </w:pPr>
      <w:r>
        <w:rPr>
          <w:rFonts w:ascii="Consolas" w:cs="Consolas" w:eastAsia="Consolas" w:hAnsi="Consolas"/>
          <w:color w:val="2E6DA4"/>
          <w:sz w:val="18"/>
          <w:szCs w:val="18"/>
        </w:rPr>
        <w:t xml:space="preserve">flMaint</w:t>
      </w:r>
    </w:p>
    <w:p>
      <w:pPr>
        <w:pStyle w:val="ListParagraph"/>
        <w:numPr>
          <w:ilvl w:val="0"/>
          <w:numId w:val="2"/>
        </w:numPr>
        <w:spacing w:after="20" w:before="20"/>
      </w:pPr>
      <w:r>
        <w:rPr>
          <w:rFonts w:ascii="Calibri" w:cs="Calibri" w:eastAsia="Calibri" w:hAnsi="Calibri"/>
          <w:color w:val="000000"/>
          <w:sz w:val="20"/>
          <w:szCs w:val="20"/>
        </w:rPr>
        <w:t xml:space="preserve">Taxa Governamental: Inclui as obrigações financeiras exigidas pelo governo para a manutenção da empresa em good standing</w:t>
      </w:r>
    </w:p>
    <w:p>
      <w:pPr>
        <w:pStyle w:val="ListParagraph"/>
        <w:numPr>
          <w:ilvl w:val="0"/>
          <w:numId w:val="2"/>
        </w:numPr>
        <w:spacing w:after="20" w:before="20"/>
      </w:pPr>
      <w:r>
        <w:rPr>
          <w:rFonts w:ascii="Calibri" w:cs="Calibri" w:eastAsia="Calibri" w:hAnsi="Calibri"/>
          <w:color w:val="000000"/>
          <w:sz w:val="20"/>
          <w:szCs w:val="20"/>
        </w:rPr>
        <w:t xml:space="preserve">Taxa do Agente Registrado Local: Refere-se ao serviço de manutenção de um representante local para a empresa, garantindo uma gestão eficaz e o cumprimento dos procedimentos administrativos</w:t>
      </w:r>
    </w:p>
    <w:p>
      <w:pPr>
        <w:pStyle w:val="ListParagraph"/>
        <w:numPr>
          <w:ilvl w:val="0"/>
          <w:numId w:val="2"/>
        </w:numPr>
        <w:spacing w:after="20" w:before="20"/>
      </w:pPr>
      <w:r>
        <w:rPr>
          <w:rFonts w:ascii="Calibri" w:cs="Calibri" w:eastAsia="Calibri" w:hAnsi="Calibri"/>
          <w:color w:val="000000"/>
          <w:sz w:val="20"/>
          <w:szCs w:val="20"/>
        </w:rPr>
        <w:t xml:space="preserve">Compliance Anual: Engloba a verificação e o cumprimento de requisitos necessários para assegurar a conformidade da empresa com as exigências das autoridades legais e a manutenção de sua regularidade</w:t>
      </w:r>
    </w:p>
    <w:p>
      <w:pPr>
        <w:pBdr>
          <w:left w:val="single" w:color="B8C6D6" w:sz="14" w:space="10"/>
        </w:pBdr>
        <w:spacing w:after="16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A elaboração do Tax Return não está incluída na taxa de manutenção anual.</w:t>
      </w:r>
    </w:p>
    <w:p>
      <w:pPr>
        <w:pStyle w:val="Heading4"/>
        <w:spacing w:after="80" w:before="200"/>
      </w:pPr>
      <w:r>
        <w:rPr>
          <w:rFonts w:ascii="Calibri" w:cs="Calibri" w:eastAsia="Calibri" w:hAnsi="Calibri"/>
          <w:b/>
          <w:bCs/>
          <w:color w:val="000000"/>
          <w:sz w:val="20"/>
          <w:szCs w:val="20"/>
        </w:rPr>
        <w:t xml:space="preserve">Manutenção Anual Delaware LLC — </w:t>
      </w:r>
      <w:r>
        <w:rPr>
          <w:rFonts w:ascii="Calibri" w:cs="Calibri" w:eastAsia="Calibri" w:hAnsi="Calibri"/>
          <w:b/>
          <w:bCs/>
          <w:color w:val="000000"/>
          <w:sz w:val="20"/>
          <w:szCs w:val="20"/>
        </w:rPr>
        <w:t xml:space="preserve">USD 1,100</w:t>
      </w:r>
    </w:p>
    <w:p>
      <w:pPr>
        <w:spacing w:after="120" w:before="60"/>
      </w:pPr>
      <w:r>
        <w:rPr>
          <w:rFonts w:ascii="Consolas" w:cs="Consolas" w:eastAsia="Consolas" w:hAnsi="Consolas"/>
          <w:color w:val="2E6DA4"/>
          <w:sz w:val="18"/>
          <w:szCs w:val="18"/>
        </w:rPr>
        <w:t xml:space="preserve">deMaint</w:t>
      </w:r>
    </w:p>
    <w:p>
      <w:pPr>
        <w:pStyle w:val="ListParagraph"/>
        <w:numPr>
          <w:ilvl w:val="0"/>
          <w:numId w:val="2"/>
        </w:numPr>
        <w:spacing w:after="20" w:before="20"/>
      </w:pPr>
      <w:r>
        <w:rPr>
          <w:rFonts w:ascii="Calibri" w:cs="Calibri" w:eastAsia="Calibri" w:hAnsi="Calibri"/>
          <w:color w:val="000000"/>
          <w:sz w:val="20"/>
          <w:szCs w:val="20"/>
        </w:rPr>
        <w:t xml:space="preserve">Taxa Governamental: Inclui as obrigações financeiras exigidas pelo governo para a manutenção da empresa em good standing</w:t>
      </w:r>
    </w:p>
    <w:p>
      <w:pPr>
        <w:pStyle w:val="ListParagraph"/>
        <w:numPr>
          <w:ilvl w:val="0"/>
          <w:numId w:val="2"/>
        </w:numPr>
        <w:spacing w:after="20" w:before="20"/>
      </w:pPr>
      <w:r>
        <w:rPr>
          <w:rFonts w:ascii="Calibri" w:cs="Calibri" w:eastAsia="Calibri" w:hAnsi="Calibri"/>
          <w:color w:val="000000"/>
          <w:sz w:val="20"/>
          <w:szCs w:val="20"/>
        </w:rPr>
        <w:t xml:space="preserve">Taxa do Agente Registrado Local: Refere-se ao serviço de manutenção de um representante local para a empresa, garantindo uma gestão eficaz e o cumprimento dos procedimentos administrativos</w:t>
      </w:r>
    </w:p>
    <w:p>
      <w:pPr>
        <w:pStyle w:val="ListParagraph"/>
        <w:numPr>
          <w:ilvl w:val="0"/>
          <w:numId w:val="2"/>
        </w:numPr>
        <w:spacing w:after="20" w:before="20"/>
      </w:pPr>
      <w:r>
        <w:rPr>
          <w:rFonts w:ascii="Calibri" w:cs="Calibri" w:eastAsia="Calibri" w:hAnsi="Calibri"/>
          <w:color w:val="000000"/>
          <w:sz w:val="20"/>
          <w:szCs w:val="20"/>
        </w:rPr>
        <w:t xml:space="preserve">Compliance Anual: Engloba a verificação e o cumprimento de requisitos necessários para assegurar a conformidade da empresa com as exigências das autoridades legais e a manutenção de sua regularidade</w:t>
      </w:r>
    </w:p>
    <w:p>
      <w:pPr>
        <w:pBdr>
          <w:left w:val="single" w:color="B8C6D6" w:sz="14" w:space="10"/>
        </w:pBdr>
        <w:spacing w:after="16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A elaboração do Tax Return não está incluída na taxa de manutenção anual.</w:t>
      </w:r>
    </w:p>
    <w:p>
      <w:pPr>
        <w:pStyle w:val="Heading4"/>
        <w:spacing w:after="80" w:before="200"/>
      </w:pPr>
      <w:r>
        <w:rPr>
          <w:rFonts w:ascii="Calibri" w:cs="Calibri" w:eastAsia="Calibri" w:hAnsi="Calibri"/>
          <w:b/>
          <w:bCs/>
          <w:color w:val="000000"/>
          <w:sz w:val="20"/>
          <w:szCs w:val="20"/>
        </w:rPr>
        <w:t xml:space="preserve">Manutenção Anual New York LLC — </w:t>
      </w:r>
      <w:r>
        <w:rPr>
          <w:rFonts w:ascii="Calibri" w:cs="Calibri" w:eastAsia="Calibri" w:hAnsi="Calibri"/>
          <w:b/>
          <w:bCs/>
          <w:color w:val="000000"/>
          <w:sz w:val="20"/>
          <w:szCs w:val="20"/>
        </w:rPr>
        <w:t xml:space="preserve">USD 900</w:t>
      </w:r>
    </w:p>
    <w:p>
      <w:pPr>
        <w:spacing w:after="120" w:before="60"/>
      </w:pPr>
      <w:r>
        <w:rPr>
          <w:rFonts w:ascii="Consolas" w:cs="Consolas" w:eastAsia="Consolas" w:hAnsi="Consolas"/>
          <w:color w:val="2E6DA4"/>
          <w:sz w:val="18"/>
          <w:szCs w:val="18"/>
        </w:rPr>
        <w:t xml:space="preserve">nyMaint</w:t>
      </w:r>
    </w:p>
    <w:p>
      <w:pPr>
        <w:pStyle w:val="ListParagraph"/>
        <w:numPr>
          <w:ilvl w:val="0"/>
          <w:numId w:val="2"/>
        </w:numPr>
        <w:spacing w:after="20" w:before="20"/>
      </w:pPr>
      <w:r>
        <w:rPr>
          <w:rFonts w:ascii="Calibri" w:cs="Calibri" w:eastAsia="Calibri" w:hAnsi="Calibri"/>
          <w:color w:val="000000"/>
          <w:sz w:val="20"/>
          <w:szCs w:val="20"/>
        </w:rPr>
        <w:t xml:space="preserve">Taxa Governamental: Inclui as obrigações financeiras exigidas pelo governo para a manutenção da empresa em good standing</w:t>
      </w:r>
    </w:p>
    <w:p>
      <w:pPr>
        <w:pStyle w:val="ListParagraph"/>
        <w:numPr>
          <w:ilvl w:val="0"/>
          <w:numId w:val="2"/>
        </w:numPr>
        <w:spacing w:after="20" w:before="20"/>
      </w:pPr>
      <w:r>
        <w:rPr>
          <w:rFonts w:ascii="Calibri" w:cs="Calibri" w:eastAsia="Calibri" w:hAnsi="Calibri"/>
          <w:color w:val="000000"/>
          <w:sz w:val="20"/>
          <w:szCs w:val="20"/>
        </w:rPr>
        <w:t xml:space="preserve">Taxa do Agente Registrado Local: Refere-se ao serviço de manutenção de um representante local para a empresa, garantindo uma gestão eficaz e o cumprimento dos procedimentos administrativos</w:t>
      </w:r>
    </w:p>
    <w:p>
      <w:pPr>
        <w:pStyle w:val="ListParagraph"/>
        <w:numPr>
          <w:ilvl w:val="0"/>
          <w:numId w:val="2"/>
        </w:numPr>
        <w:spacing w:after="20" w:before="20"/>
      </w:pPr>
      <w:r>
        <w:rPr>
          <w:rFonts w:ascii="Calibri" w:cs="Calibri" w:eastAsia="Calibri" w:hAnsi="Calibri"/>
          <w:color w:val="000000"/>
          <w:sz w:val="20"/>
          <w:szCs w:val="20"/>
        </w:rPr>
        <w:t xml:space="preserve">Compliance Anual: Engloba a verificação e o cumprimento de requisitos necessários para assegurar a conformidade da empresa com as exigências das autoridades legais e a manutenção de sua regularidade</w:t>
      </w:r>
    </w:p>
    <w:p>
      <w:pPr>
        <w:pBdr>
          <w:left w:val="single" w:color="B8C6D6" w:sz="14" w:space="10"/>
        </w:pBdr>
        <w:spacing w:after="16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A elaboração do Tax Return não está incluída na taxa de manutenção anual.</w:t>
      </w:r>
    </w:p>
    <w:p>
      <w:pPr>
        <w:pStyle w:val="Heading4"/>
        <w:spacing w:after="80" w:before="200"/>
      </w:pPr>
      <w:r>
        <w:rPr>
          <w:rFonts w:ascii="Calibri" w:cs="Calibri" w:eastAsia="Calibri" w:hAnsi="Calibri"/>
          <w:b/>
          <w:bCs/>
          <w:color w:val="000000"/>
          <w:sz w:val="20"/>
          <w:szCs w:val="20"/>
        </w:rPr>
        <w:t xml:space="preserve">Manutenção Anual South Dakota LLC — </w:t>
      </w:r>
      <w:r>
        <w:rPr>
          <w:rFonts w:ascii="Calibri" w:cs="Calibri" w:eastAsia="Calibri" w:hAnsi="Calibri"/>
          <w:b/>
          <w:bCs/>
          <w:color w:val="000000"/>
          <w:sz w:val="20"/>
          <w:szCs w:val="20"/>
        </w:rPr>
        <w:t xml:space="preserve">USD 750</w:t>
      </w:r>
    </w:p>
    <w:p>
      <w:pPr>
        <w:spacing w:after="120" w:before="60"/>
      </w:pPr>
      <w:r>
        <w:rPr>
          <w:rFonts w:ascii="Consolas" w:cs="Consolas" w:eastAsia="Consolas" w:hAnsi="Consolas"/>
          <w:color w:val="2E6DA4"/>
          <w:sz w:val="18"/>
          <w:szCs w:val="18"/>
        </w:rPr>
        <w:t xml:space="preserve">sdMaint</w:t>
      </w:r>
    </w:p>
    <w:p>
      <w:pPr>
        <w:pStyle w:val="ListParagraph"/>
        <w:numPr>
          <w:ilvl w:val="0"/>
          <w:numId w:val="2"/>
        </w:numPr>
        <w:spacing w:after="20" w:before="20"/>
      </w:pPr>
      <w:r>
        <w:rPr>
          <w:rFonts w:ascii="Calibri" w:cs="Calibri" w:eastAsia="Calibri" w:hAnsi="Calibri"/>
          <w:color w:val="000000"/>
          <w:sz w:val="20"/>
          <w:szCs w:val="20"/>
        </w:rPr>
        <w:t xml:space="preserve">Taxa Governamental: Inclui as obrigações financeiras exigidas pelo governo para a manutenção da empresa em good standing</w:t>
      </w:r>
    </w:p>
    <w:p>
      <w:pPr>
        <w:pStyle w:val="ListParagraph"/>
        <w:numPr>
          <w:ilvl w:val="0"/>
          <w:numId w:val="2"/>
        </w:numPr>
        <w:spacing w:after="20" w:before="20"/>
      </w:pPr>
      <w:r>
        <w:rPr>
          <w:rFonts w:ascii="Calibri" w:cs="Calibri" w:eastAsia="Calibri" w:hAnsi="Calibri"/>
          <w:color w:val="000000"/>
          <w:sz w:val="20"/>
          <w:szCs w:val="20"/>
        </w:rPr>
        <w:t xml:space="preserve">Taxa do Agente Registrado Local: Refere-se ao serviço de manutenção de um representante local para a empresa, garantindo uma gestão eficaz e o cumprimento dos procedimentos administrativos</w:t>
      </w:r>
    </w:p>
    <w:p>
      <w:pPr>
        <w:pStyle w:val="ListParagraph"/>
        <w:numPr>
          <w:ilvl w:val="0"/>
          <w:numId w:val="2"/>
        </w:numPr>
        <w:spacing w:after="20" w:before="20"/>
      </w:pPr>
      <w:r>
        <w:rPr>
          <w:rFonts w:ascii="Calibri" w:cs="Calibri" w:eastAsia="Calibri" w:hAnsi="Calibri"/>
          <w:color w:val="000000"/>
          <w:sz w:val="20"/>
          <w:szCs w:val="20"/>
        </w:rPr>
        <w:t xml:space="preserve">Compliance Anual: Engloba a verificação e o cumprimento de requisitos necessários para assegurar a conformidade da empresa com as exigências das autoridades legais e a manutenção de sua regularidade</w:t>
      </w:r>
    </w:p>
    <w:p>
      <w:pPr>
        <w:pBdr>
          <w:left w:val="single" w:color="B8C6D6" w:sz="14" w:space="10"/>
        </w:pBdr>
        <w:spacing w:after="16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A elaboração do Tax Return não está incluída na taxa de manutenção anual.</w:t>
      </w:r>
    </w:p>
    <w:p>
      <w:pPr>
        <w:pStyle w:val="Heading4"/>
        <w:spacing w:after="80" w:before="200"/>
      </w:pPr>
      <w:r>
        <w:rPr>
          <w:rFonts w:ascii="Calibri" w:cs="Calibri" w:eastAsia="Calibri" w:hAnsi="Calibri"/>
          <w:b/>
          <w:bCs/>
          <w:color w:val="000000"/>
          <w:sz w:val="20"/>
          <w:szCs w:val="20"/>
        </w:rPr>
        <w:t xml:space="preserve">Manutenção Anual Wisconsin LLC — </w:t>
      </w:r>
      <w:r>
        <w:rPr>
          <w:rFonts w:ascii="Calibri" w:cs="Calibri" w:eastAsia="Calibri" w:hAnsi="Calibri"/>
          <w:b/>
          <w:bCs/>
          <w:color w:val="000000"/>
          <w:sz w:val="20"/>
          <w:szCs w:val="20"/>
        </w:rPr>
        <w:t xml:space="preserve">USD 750</w:t>
      </w:r>
    </w:p>
    <w:p>
      <w:pPr>
        <w:spacing w:after="120" w:before="60"/>
      </w:pPr>
      <w:r>
        <w:rPr>
          <w:rFonts w:ascii="Consolas" w:cs="Consolas" w:eastAsia="Consolas" w:hAnsi="Consolas"/>
          <w:color w:val="2E6DA4"/>
          <w:sz w:val="18"/>
          <w:szCs w:val="18"/>
        </w:rPr>
        <w:t xml:space="preserve">wiMaint</w:t>
      </w:r>
    </w:p>
    <w:p>
      <w:pPr>
        <w:pStyle w:val="ListParagraph"/>
        <w:numPr>
          <w:ilvl w:val="0"/>
          <w:numId w:val="2"/>
        </w:numPr>
        <w:spacing w:after="20" w:before="20"/>
      </w:pPr>
      <w:r>
        <w:rPr>
          <w:rFonts w:ascii="Calibri" w:cs="Calibri" w:eastAsia="Calibri" w:hAnsi="Calibri"/>
          <w:color w:val="000000"/>
          <w:sz w:val="20"/>
          <w:szCs w:val="20"/>
        </w:rPr>
        <w:t xml:space="preserve">Taxa Governamental: Inclui as obrigações financeiras exigidas pelo governo para a manutenção da empresa em good standing</w:t>
      </w:r>
    </w:p>
    <w:p>
      <w:pPr>
        <w:pStyle w:val="ListParagraph"/>
        <w:numPr>
          <w:ilvl w:val="0"/>
          <w:numId w:val="2"/>
        </w:numPr>
        <w:spacing w:after="20" w:before="20"/>
      </w:pPr>
      <w:r>
        <w:rPr>
          <w:rFonts w:ascii="Calibri" w:cs="Calibri" w:eastAsia="Calibri" w:hAnsi="Calibri"/>
          <w:color w:val="000000"/>
          <w:sz w:val="20"/>
          <w:szCs w:val="20"/>
        </w:rPr>
        <w:t xml:space="preserve">Taxa do Agente Registrado Local: Refere-se ao serviço de manutenção de um representante local para a empresa, garantindo uma gestão eficaz e o cumprimento dos procedimentos administrativos</w:t>
      </w:r>
    </w:p>
    <w:p>
      <w:pPr>
        <w:pStyle w:val="ListParagraph"/>
        <w:numPr>
          <w:ilvl w:val="0"/>
          <w:numId w:val="2"/>
        </w:numPr>
        <w:spacing w:after="20" w:before="20"/>
      </w:pPr>
      <w:r>
        <w:rPr>
          <w:rFonts w:ascii="Calibri" w:cs="Calibri" w:eastAsia="Calibri" w:hAnsi="Calibri"/>
          <w:color w:val="000000"/>
          <w:sz w:val="20"/>
          <w:szCs w:val="20"/>
        </w:rPr>
        <w:t xml:space="preserve">Compliance Anual: Engloba a verificação e o cumprimento de requisitos necessários para assegurar a conformidade da empresa com as exigências das autoridades legais e a manutenção de sua regularidade</w:t>
      </w:r>
    </w:p>
    <w:p>
      <w:pPr>
        <w:pBdr>
          <w:left w:val="single" w:color="B8C6D6" w:sz="14" w:space="10"/>
        </w:pBdr>
        <w:spacing w:after="16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A elaboração do Tax Return não está incluída na taxa de manutenção anual.</w:t>
      </w:r>
    </w:p>
    <w:p>
      <w:pPr>
        <w:pStyle w:val="Heading4"/>
        <w:spacing w:after="80" w:before="200"/>
      </w:pPr>
      <w:r>
        <w:rPr>
          <w:rFonts w:ascii="Calibri" w:cs="Calibri" w:eastAsia="Calibri" w:hAnsi="Calibri"/>
          <w:b/>
          <w:bCs/>
          <w:color w:val="000000"/>
          <w:sz w:val="20"/>
          <w:szCs w:val="20"/>
        </w:rPr>
        <w:t xml:space="preserve">Manutenção Anual Minnesota LLC — </w:t>
      </w:r>
      <w:r>
        <w:rPr>
          <w:rFonts w:ascii="Calibri" w:cs="Calibri" w:eastAsia="Calibri" w:hAnsi="Calibri"/>
          <w:b/>
          <w:bCs/>
          <w:color w:val="000000"/>
          <w:sz w:val="20"/>
          <w:szCs w:val="20"/>
        </w:rPr>
        <w:t xml:space="preserve">USD 750</w:t>
      </w:r>
    </w:p>
    <w:p>
      <w:pPr>
        <w:spacing w:after="120" w:before="60"/>
      </w:pPr>
      <w:r>
        <w:rPr>
          <w:rFonts w:ascii="Consolas" w:cs="Consolas" w:eastAsia="Consolas" w:hAnsi="Consolas"/>
          <w:color w:val="2E6DA4"/>
          <w:sz w:val="18"/>
          <w:szCs w:val="18"/>
        </w:rPr>
        <w:t xml:space="preserve">mnMaint</w:t>
      </w:r>
    </w:p>
    <w:p>
      <w:pPr>
        <w:pStyle w:val="ListParagraph"/>
        <w:numPr>
          <w:ilvl w:val="0"/>
          <w:numId w:val="2"/>
        </w:numPr>
        <w:spacing w:after="20" w:before="20"/>
      </w:pPr>
      <w:r>
        <w:rPr>
          <w:rFonts w:ascii="Calibri" w:cs="Calibri" w:eastAsia="Calibri" w:hAnsi="Calibri"/>
          <w:color w:val="000000"/>
          <w:sz w:val="20"/>
          <w:szCs w:val="20"/>
        </w:rPr>
        <w:t xml:space="preserve">Taxa Governamental: Inclui as obrigações financeiras exigidas pelo governo para a manutenção da empresa em good standing</w:t>
      </w:r>
    </w:p>
    <w:p>
      <w:pPr>
        <w:pStyle w:val="ListParagraph"/>
        <w:numPr>
          <w:ilvl w:val="0"/>
          <w:numId w:val="2"/>
        </w:numPr>
        <w:spacing w:after="20" w:before="20"/>
      </w:pPr>
      <w:r>
        <w:rPr>
          <w:rFonts w:ascii="Calibri" w:cs="Calibri" w:eastAsia="Calibri" w:hAnsi="Calibri"/>
          <w:color w:val="000000"/>
          <w:sz w:val="20"/>
          <w:szCs w:val="20"/>
        </w:rPr>
        <w:t xml:space="preserve">Taxa do Agente Registrado Local: Refere-se ao serviço de manutenção de um representante local para a empresa, garantindo uma gestão eficaz e o cumprimento dos procedimentos administrativos</w:t>
      </w:r>
    </w:p>
    <w:p>
      <w:pPr>
        <w:pStyle w:val="ListParagraph"/>
        <w:numPr>
          <w:ilvl w:val="0"/>
          <w:numId w:val="2"/>
        </w:numPr>
        <w:spacing w:after="20" w:before="20"/>
      </w:pPr>
      <w:r>
        <w:rPr>
          <w:rFonts w:ascii="Calibri" w:cs="Calibri" w:eastAsia="Calibri" w:hAnsi="Calibri"/>
          <w:color w:val="000000"/>
          <w:sz w:val="20"/>
          <w:szCs w:val="20"/>
        </w:rPr>
        <w:t xml:space="preserve">Compliance Anual: Engloba a verificação e o cumprimento de requisitos necessários para assegurar a conformidade da empresa com as exigências das autoridades legais e a manutenção de sua regularidade</w:t>
      </w:r>
    </w:p>
    <w:p>
      <w:pPr>
        <w:pBdr>
          <w:left w:val="single" w:color="B8C6D6" w:sz="14" w:space="10"/>
        </w:pBdr>
        <w:spacing w:after="16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A elaboração do Tax Return não está incluída na taxa de manutenção anual.</w:t>
      </w:r>
    </w:p>
    <w:p>
      <w:pPr>
        <w:pStyle w:val="Heading4"/>
        <w:spacing w:after="80" w:before="200"/>
      </w:pPr>
      <w:r>
        <w:rPr>
          <w:rFonts w:ascii="Calibri" w:cs="Calibri" w:eastAsia="Calibri" w:hAnsi="Calibri"/>
          <w:b/>
          <w:bCs/>
          <w:color w:val="000000"/>
          <w:sz w:val="20"/>
          <w:szCs w:val="20"/>
        </w:rPr>
        <w:t xml:space="preserve">Manutenção Anual Share Trust — </w:t>
      </w:r>
      <w:r>
        <w:rPr>
          <w:rFonts w:ascii="Calibri" w:cs="Calibri" w:eastAsia="Calibri" w:hAnsi="Calibri"/>
          <w:b/>
          <w:bCs/>
          <w:color w:val="000000"/>
          <w:sz w:val="20"/>
          <w:szCs w:val="20"/>
        </w:rPr>
        <w:t xml:space="preserve">USD 1,400</w:t>
      </w:r>
    </w:p>
    <w:p>
      <w:pPr>
        <w:spacing w:after="120" w:before="60"/>
      </w:pPr>
      <w:r>
        <w:rPr>
          <w:rFonts w:ascii="Consolas" w:cs="Consolas" w:eastAsia="Consolas" w:hAnsi="Consolas"/>
          <w:color w:val="2E6DA4"/>
          <w:sz w:val="18"/>
          <w:szCs w:val="18"/>
        </w:rPr>
        <w:t xml:space="preserve">trustMaint</w:t>
      </w:r>
    </w:p>
    <w:p>
      <w:pPr>
        <w:pStyle w:val="ListParagraph"/>
        <w:numPr>
          <w:ilvl w:val="0"/>
          <w:numId w:val="2"/>
        </w:numPr>
        <w:spacing w:after="20" w:before="20"/>
      </w:pPr>
      <w:r>
        <w:rPr>
          <w:rFonts w:ascii="Calibri" w:cs="Calibri" w:eastAsia="Calibri" w:hAnsi="Calibri"/>
          <w:color w:val="000000"/>
          <w:sz w:val="20"/>
          <w:szCs w:val="20"/>
        </w:rPr>
        <w:t xml:space="preserve">Honorários anuais do Trustee</w:t>
      </w:r>
    </w:p>
    <w:p>
      <w:pPr>
        <w:pStyle w:val="ListParagraph"/>
        <w:numPr>
          <w:ilvl w:val="0"/>
          <w:numId w:val="2"/>
        </w:numPr>
        <w:spacing w:after="20" w:before="20"/>
      </w:pPr>
      <w:r>
        <w:rPr>
          <w:rFonts w:ascii="Calibri" w:cs="Calibri" w:eastAsia="Calibri" w:hAnsi="Calibri"/>
          <w:color w:val="000000"/>
          <w:sz w:val="20"/>
          <w:szCs w:val="20"/>
        </w:rPr>
        <w:t xml:space="preserve">Serviços de Compliance anual</w:t>
      </w:r>
    </w:p>
    <w:p>
      <w:pPr>
        <w:pBdr>
          <w:left w:val="single" w:color="B8C6D6" w:sz="14" w:space="10"/>
        </w:pBdr>
        <w:spacing w:after="16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A manutenção não inclui a gestão de ativos do trust ou qualquer alteração na estrutura do trust. Caso sejam necessários serviços adicionais, os honorários serão ajustados conforme necessidade.</w:t>
      </w:r>
    </w:p>
    <w:p>
      <w:pPr>
        <w:pStyle w:val="Heading2"/>
        <w:spacing w:after="140" w:before="340"/>
      </w:pPr>
      <w:r>
        <w:rPr>
          <w:rFonts w:ascii="Calibri" w:cs="Calibri" w:eastAsia="Calibri" w:hAnsi="Calibri"/>
          <w:b/>
          <w:bCs/>
          <w:color w:val="1F3A5F"/>
          <w:sz w:val="26"/>
          <w:szCs w:val="26"/>
        </w:rPr>
        <w:t xml:space="preserve">3. Transferência de Agente Registrado</w:t>
      </w:r>
    </w:p>
    <w:p>
      <w:pPr>
        <w:pStyle w:val="Heading3"/>
        <w:spacing w:after="110" w:before="260"/>
      </w:pPr>
      <w:r>
        <w:rPr>
          <w:rFonts w:ascii="Calibri" w:cs="Calibri" w:eastAsia="Calibri" w:hAnsi="Calibri"/>
          <w:b/>
          <w:bCs/>
          <w:color w:val="2E6DA4"/>
          <w:sz w:val="22"/>
          <w:szCs w:val="22"/>
        </w:rPr>
        <w:t xml:space="preserve">3.1 PIC / Offshore</w:t>
      </w:r>
    </w:p>
    <w:p>
      <w:pPr>
        <w:pStyle w:val="Heading4"/>
        <w:spacing w:after="80" w:before="200"/>
      </w:pPr>
      <w:r>
        <w:rPr>
          <w:rFonts w:ascii="Calibri" w:cs="Calibri" w:eastAsia="Calibri" w:hAnsi="Calibri"/>
          <w:b/>
          <w:bCs/>
          <w:color w:val="000000"/>
          <w:sz w:val="20"/>
          <w:szCs w:val="20"/>
        </w:rPr>
        <w:t xml:space="preserve">Transferência de Agente BVI — </w:t>
      </w:r>
      <w:r>
        <w:rPr>
          <w:rFonts w:ascii="Calibri" w:cs="Calibri" w:eastAsia="Calibri" w:hAnsi="Calibri"/>
          <w:b/>
          <w:bCs/>
          <w:color w:val="000000"/>
          <w:sz w:val="20"/>
          <w:szCs w:val="20"/>
        </w:rPr>
        <w:t xml:space="preserve">USD 1,200</w:t>
      </w:r>
    </w:p>
    <w:p>
      <w:pPr>
        <w:spacing w:after="120" w:before="60"/>
      </w:pPr>
      <w:r>
        <w:rPr>
          <w:rFonts w:ascii="Consolas" w:cs="Consolas" w:eastAsia="Consolas" w:hAnsi="Consolas"/>
          <w:color w:val="2E6DA4"/>
          <w:sz w:val="18"/>
          <w:szCs w:val="18"/>
        </w:rPr>
        <w:t xml:space="preserve">transBVI</w:t>
      </w:r>
    </w:p>
    <w:p>
      <w:pPr>
        <w:pStyle w:val="ListParagraph"/>
        <w:numPr>
          <w:ilvl w:val="0"/>
          <w:numId w:val="2"/>
        </w:numPr>
        <w:spacing w:after="20" w:before="20"/>
      </w:pPr>
      <w:r>
        <w:rPr>
          <w:rFonts w:ascii="Calibri" w:cs="Calibri" w:eastAsia="Calibri" w:hAnsi="Calibri"/>
          <w:color w:val="000000"/>
          <w:sz w:val="20"/>
          <w:szCs w:val="20"/>
        </w:rPr>
        <w:t xml:space="preserve">Revisão e análise da documentação societária</w:t>
      </w:r>
    </w:p>
    <w:p>
      <w:pPr>
        <w:pStyle w:val="ListParagraph"/>
        <w:numPr>
          <w:ilvl w:val="0"/>
          <w:numId w:val="2"/>
        </w:numPr>
        <w:spacing w:after="20" w:before="20"/>
      </w:pPr>
      <w:r>
        <w:rPr>
          <w:rFonts w:ascii="Calibri" w:cs="Calibri" w:eastAsia="Calibri" w:hAnsi="Calibri"/>
          <w:color w:val="000000"/>
          <w:sz w:val="20"/>
          <w:szCs w:val="20"/>
        </w:rPr>
        <w:t xml:space="preserve">Documentos de transferência</w:t>
      </w:r>
    </w:p>
    <w:p>
      <w:pPr>
        <w:pStyle w:val="ListParagraph"/>
        <w:numPr>
          <w:ilvl w:val="0"/>
          <w:numId w:val="2"/>
        </w:numPr>
        <w:spacing w:after="20" w:before="20"/>
      </w:pPr>
      <w:r>
        <w:rPr>
          <w:rFonts w:ascii="Calibri" w:cs="Calibri" w:eastAsia="Calibri" w:hAnsi="Calibri"/>
          <w:color w:val="000000"/>
          <w:sz w:val="20"/>
          <w:szCs w:val="20"/>
        </w:rPr>
        <w:t xml:space="preserve">Taxa governamental</w:t>
      </w:r>
    </w:p>
    <w:p>
      <w:pPr>
        <w:pStyle w:val="ListParagraph"/>
        <w:numPr>
          <w:ilvl w:val="0"/>
          <w:numId w:val="2"/>
        </w:numPr>
        <w:spacing w:after="20" w:before="20"/>
      </w:pPr>
      <w:r>
        <w:rPr>
          <w:rFonts w:ascii="Calibri" w:cs="Calibri" w:eastAsia="Calibri" w:hAnsi="Calibri"/>
          <w:color w:val="000000"/>
          <w:sz w:val="20"/>
          <w:szCs w:val="20"/>
        </w:rPr>
        <w:t xml:space="preserve">Compliance fees</w:t>
      </w:r>
    </w:p>
    <w:p>
      <w:pPr>
        <w:pBdr>
          <w:left w:val="single" w:color="B8C6D6" w:sz="14" w:space="10"/>
        </w:pBdr>
        <w:spacing w:after="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Os fees de transferência pressupõem que a empresa esteja em good standing no momento da transferência e inclui o processo de due diligence necessário para garantir a conformidade da documentação. Caso seja necessária a reorganização societária, a elaboração de outras atas, alterações contratuais ou a substituição de documentos faltantes ou inválidos, será apresentada uma proposta adicional após a devida avaliação.  </w:t>
      </w:r>
    </w:p>
    <w:p>
      <w:pPr>
        <w:pBdr>
          <w:left w:val="single" w:color="B8C6D6" w:sz="14" w:space="10"/>
        </w:pBdr>
        <w:spacing w:after="160" w:before="0"/>
        <w:ind w:left="340"/>
      </w:pPr>
      <w:r>
        <w:rPr>
          <w:rFonts w:ascii="Calibri" w:cs="Calibri" w:eastAsia="Calibri" w:hAnsi="Calibri"/>
          <w:i/>
          <w:iCs/>
          <w:color w:val="595959"/>
          <w:sz w:val="19"/>
          <w:szCs w:val="19"/>
        </w:rPr>
        <w:t xml:space="preserve">É possível que o atual agente de registro cobre uma taxa para realizar a transferência para outro agente. Esses custos deverão ser pagos diretamente e não estão inclusos nos valores acima.</w:t>
      </w:r>
    </w:p>
    <w:p>
      <w:pPr>
        <w:pStyle w:val="Heading4"/>
        <w:spacing w:after="80" w:before="200"/>
      </w:pPr>
      <w:r>
        <w:rPr>
          <w:rFonts w:ascii="Calibri" w:cs="Calibri" w:eastAsia="Calibri" w:hAnsi="Calibri"/>
          <w:b/>
          <w:bCs/>
          <w:color w:val="000000"/>
          <w:sz w:val="20"/>
          <w:szCs w:val="20"/>
        </w:rPr>
        <w:t xml:space="preserve">Transferência de Agente Bahamas — </w:t>
      </w:r>
      <w:r>
        <w:rPr>
          <w:rFonts w:ascii="Calibri" w:cs="Calibri" w:eastAsia="Calibri" w:hAnsi="Calibri"/>
          <w:b/>
          <w:bCs/>
          <w:color w:val="000000"/>
          <w:sz w:val="20"/>
          <w:szCs w:val="20"/>
        </w:rPr>
        <w:t xml:space="preserve">USD 1,200</w:t>
      </w:r>
    </w:p>
    <w:p>
      <w:pPr>
        <w:spacing w:after="120" w:before="60"/>
      </w:pPr>
      <w:r>
        <w:rPr>
          <w:rFonts w:ascii="Consolas" w:cs="Consolas" w:eastAsia="Consolas" w:hAnsi="Consolas"/>
          <w:color w:val="2E6DA4"/>
          <w:sz w:val="18"/>
          <w:szCs w:val="18"/>
        </w:rPr>
        <w:t xml:space="preserve">transBahamas</w:t>
      </w:r>
    </w:p>
    <w:p>
      <w:pPr>
        <w:pStyle w:val="ListParagraph"/>
        <w:numPr>
          <w:ilvl w:val="0"/>
          <w:numId w:val="2"/>
        </w:numPr>
        <w:spacing w:after="20" w:before="20"/>
      </w:pPr>
      <w:r>
        <w:rPr>
          <w:rFonts w:ascii="Calibri" w:cs="Calibri" w:eastAsia="Calibri" w:hAnsi="Calibri"/>
          <w:color w:val="000000"/>
          <w:sz w:val="20"/>
          <w:szCs w:val="20"/>
        </w:rPr>
        <w:t xml:space="preserve">Revisão e análise da documentação societária</w:t>
      </w:r>
    </w:p>
    <w:p>
      <w:pPr>
        <w:pStyle w:val="ListParagraph"/>
        <w:numPr>
          <w:ilvl w:val="0"/>
          <w:numId w:val="2"/>
        </w:numPr>
        <w:spacing w:after="20" w:before="20"/>
      </w:pPr>
      <w:r>
        <w:rPr>
          <w:rFonts w:ascii="Calibri" w:cs="Calibri" w:eastAsia="Calibri" w:hAnsi="Calibri"/>
          <w:color w:val="000000"/>
          <w:sz w:val="20"/>
          <w:szCs w:val="20"/>
        </w:rPr>
        <w:t xml:space="preserve">Documentos de transferência</w:t>
      </w:r>
    </w:p>
    <w:p>
      <w:pPr>
        <w:pStyle w:val="ListParagraph"/>
        <w:numPr>
          <w:ilvl w:val="0"/>
          <w:numId w:val="2"/>
        </w:numPr>
        <w:spacing w:after="20" w:before="20"/>
      </w:pPr>
      <w:r>
        <w:rPr>
          <w:rFonts w:ascii="Calibri" w:cs="Calibri" w:eastAsia="Calibri" w:hAnsi="Calibri"/>
          <w:color w:val="000000"/>
          <w:sz w:val="20"/>
          <w:szCs w:val="20"/>
        </w:rPr>
        <w:t xml:space="preserve">Taxa governamental</w:t>
      </w:r>
    </w:p>
    <w:p>
      <w:pPr>
        <w:pStyle w:val="ListParagraph"/>
        <w:numPr>
          <w:ilvl w:val="0"/>
          <w:numId w:val="2"/>
        </w:numPr>
        <w:spacing w:after="20" w:before="20"/>
      </w:pPr>
      <w:r>
        <w:rPr>
          <w:rFonts w:ascii="Calibri" w:cs="Calibri" w:eastAsia="Calibri" w:hAnsi="Calibri"/>
          <w:color w:val="000000"/>
          <w:sz w:val="20"/>
          <w:szCs w:val="20"/>
        </w:rPr>
        <w:t xml:space="preserve">Compliance fees</w:t>
      </w:r>
    </w:p>
    <w:p>
      <w:pPr>
        <w:pBdr>
          <w:left w:val="single" w:color="B8C6D6" w:sz="14" w:space="10"/>
        </w:pBdr>
        <w:spacing w:after="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Os fees de transferência pressupõem que a empresa esteja em good standing no momento da transferência e inclui o processo de due diligence necessário para garantir a conformidade da documentação. Caso seja necessária a reorganização societária, a elaboração de outras atas, alterações contratuais ou a substituição de documentos faltantes ou inválidos, será apresentada uma proposta adicional após a devida avaliação.  </w:t>
      </w:r>
    </w:p>
    <w:p>
      <w:pPr>
        <w:pBdr>
          <w:left w:val="single" w:color="B8C6D6" w:sz="14" w:space="10"/>
        </w:pBdr>
        <w:spacing w:after="160" w:before="0"/>
        <w:ind w:left="340"/>
      </w:pPr>
      <w:r>
        <w:rPr>
          <w:rFonts w:ascii="Calibri" w:cs="Calibri" w:eastAsia="Calibri" w:hAnsi="Calibri"/>
          <w:i/>
          <w:iCs/>
          <w:color w:val="595959"/>
          <w:sz w:val="19"/>
          <w:szCs w:val="19"/>
        </w:rPr>
        <w:t xml:space="preserve">É possível que o atual agente de registro cobre uma taxa para realizar a transferência para outro agente. Esses custos deverão ser pagos diretamente e não estão inclusos nos valores acima.</w:t>
      </w:r>
    </w:p>
    <w:p>
      <w:pPr>
        <w:pStyle w:val="Heading4"/>
        <w:spacing w:after="80" w:before="200"/>
      </w:pPr>
      <w:r>
        <w:rPr>
          <w:rFonts w:ascii="Calibri" w:cs="Calibri" w:eastAsia="Calibri" w:hAnsi="Calibri"/>
          <w:b/>
          <w:bCs/>
          <w:color w:val="000000"/>
          <w:sz w:val="20"/>
          <w:szCs w:val="20"/>
        </w:rPr>
        <w:t xml:space="preserve">Transferência de Agente Cayman — </w:t>
      </w:r>
      <w:r>
        <w:rPr>
          <w:rFonts w:ascii="Calibri" w:cs="Calibri" w:eastAsia="Calibri" w:hAnsi="Calibri"/>
          <w:b/>
          <w:bCs/>
          <w:color w:val="000000"/>
          <w:sz w:val="20"/>
          <w:szCs w:val="20"/>
        </w:rPr>
        <w:t xml:space="preserve">USD 1,200</w:t>
      </w:r>
    </w:p>
    <w:p>
      <w:pPr>
        <w:spacing w:after="120" w:before="60"/>
      </w:pPr>
      <w:r>
        <w:rPr>
          <w:rFonts w:ascii="Consolas" w:cs="Consolas" w:eastAsia="Consolas" w:hAnsi="Consolas"/>
          <w:color w:val="2E6DA4"/>
          <w:sz w:val="18"/>
          <w:szCs w:val="18"/>
        </w:rPr>
        <w:t xml:space="preserve">transCayman</w:t>
      </w:r>
    </w:p>
    <w:p>
      <w:pPr>
        <w:pStyle w:val="ListParagraph"/>
        <w:numPr>
          <w:ilvl w:val="0"/>
          <w:numId w:val="2"/>
        </w:numPr>
        <w:spacing w:after="20" w:before="20"/>
      </w:pPr>
      <w:r>
        <w:rPr>
          <w:rFonts w:ascii="Calibri" w:cs="Calibri" w:eastAsia="Calibri" w:hAnsi="Calibri"/>
          <w:color w:val="000000"/>
          <w:sz w:val="20"/>
          <w:szCs w:val="20"/>
        </w:rPr>
        <w:t xml:space="preserve">Revisão e análise da documentação societária</w:t>
      </w:r>
    </w:p>
    <w:p>
      <w:pPr>
        <w:pStyle w:val="ListParagraph"/>
        <w:numPr>
          <w:ilvl w:val="0"/>
          <w:numId w:val="2"/>
        </w:numPr>
        <w:spacing w:after="20" w:before="20"/>
      </w:pPr>
      <w:r>
        <w:rPr>
          <w:rFonts w:ascii="Calibri" w:cs="Calibri" w:eastAsia="Calibri" w:hAnsi="Calibri"/>
          <w:color w:val="000000"/>
          <w:sz w:val="20"/>
          <w:szCs w:val="20"/>
        </w:rPr>
        <w:t xml:space="preserve">Documentos de transferência</w:t>
      </w:r>
    </w:p>
    <w:p>
      <w:pPr>
        <w:pStyle w:val="ListParagraph"/>
        <w:numPr>
          <w:ilvl w:val="0"/>
          <w:numId w:val="2"/>
        </w:numPr>
        <w:spacing w:after="20" w:before="20"/>
      </w:pPr>
      <w:r>
        <w:rPr>
          <w:rFonts w:ascii="Calibri" w:cs="Calibri" w:eastAsia="Calibri" w:hAnsi="Calibri"/>
          <w:color w:val="000000"/>
          <w:sz w:val="20"/>
          <w:szCs w:val="20"/>
        </w:rPr>
        <w:t xml:space="preserve">Taxa governamental</w:t>
      </w:r>
    </w:p>
    <w:p>
      <w:pPr>
        <w:pStyle w:val="ListParagraph"/>
        <w:numPr>
          <w:ilvl w:val="0"/>
          <w:numId w:val="2"/>
        </w:numPr>
        <w:spacing w:after="20" w:before="20"/>
      </w:pPr>
      <w:r>
        <w:rPr>
          <w:rFonts w:ascii="Calibri" w:cs="Calibri" w:eastAsia="Calibri" w:hAnsi="Calibri"/>
          <w:color w:val="000000"/>
          <w:sz w:val="20"/>
          <w:szCs w:val="20"/>
        </w:rPr>
        <w:t xml:space="preserve">Compliance fees</w:t>
      </w:r>
    </w:p>
    <w:p>
      <w:pPr>
        <w:pBdr>
          <w:left w:val="single" w:color="B8C6D6" w:sz="14" w:space="10"/>
        </w:pBdr>
        <w:spacing w:after="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Os fees de transferência pressupõem que a empresa esteja em good standing no momento da transferência e inclui o processo de due diligence necessário para garantir a conformidade da documentação. Caso seja necessária a reorganização societária, a elaboração de outras atas, alterações contratuais ou a substituição de documentos faltantes ou inválidos, será apresentada uma proposta adicional após a devida avaliação.  </w:t>
      </w:r>
    </w:p>
    <w:p>
      <w:pPr>
        <w:pBdr>
          <w:left w:val="single" w:color="B8C6D6" w:sz="14" w:space="10"/>
        </w:pBdr>
        <w:spacing w:after="160" w:before="0"/>
        <w:ind w:left="340"/>
      </w:pPr>
      <w:r>
        <w:rPr>
          <w:rFonts w:ascii="Calibri" w:cs="Calibri" w:eastAsia="Calibri" w:hAnsi="Calibri"/>
          <w:i/>
          <w:iCs/>
          <w:color w:val="595959"/>
          <w:sz w:val="19"/>
          <w:szCs w:val="19"/>
        </w:rPr>
        <w:t xml:space="preserve">É possível que o atual agente de registro cobre uma taxa para realizar a transferência para outro agente. Esses custos deverão ser pagos diretamente e não estão inclusos nos valores acima.</w:t>
      </w:r>
    </w:p>
    <w:p>
      <w:pPr>
        <w:pStyle w:val="Heading4"/>
        <w:spacing w:after="80" w:before="200"/>
      </w:pPr>
      <w:r>
        <w:rPr>
          <w:rFonts w:ascii="Calibri" w:cs="Calibri" w:eastAsia="Calibri" w:hAnsi="Calibri"/>
          <w:b/>
          <w:bCs/>
          <w:color w:val="000000"/>
          <w:sz w:val="20"/>
          <w:szCs w:val="20"/>
        </w:rPr>
        <w:t xml:space="preserve">Transferência de Agente Nevis — </w:t>
      </w:r>
      <w:r>
        <w:rPr>
          <w:rFonts w:ascii="Calibri" w:cs="Calibri" w:eastAsia="Calibri" w:hAnsi="Calibri"/>
          <w:b/>
          <w:bCs/>
          <w:color w:val="000000"/>
          <w:sz w:val="20"/>
          <w:szCs w:val="20"/>
        </w:rPr>
        <w:t xml:space="preserve">USD 1,200</w:t>
      </w:r>
    </w:p>
    <w:p>
      <w:pPr>
        <w:spacing w:after="120" w:before="60"/>
      </w:pPr>
      <w:r>
        <w:rPr>
          <w:rFonts w:ascii="Consolas" w:cs="Consolas" w:eastAsia="Consolas" w:hAnsi="Consolas"/>
          <w:color w:val="2E6DA4"/>
          <w:sz w:val="18"/>
          <w:szCs w:val="18"/>
        </w:rPr>
        <w:t xml:space="preserve">transNevis</w:t>
      </w:r>
    </w:p>
    <w:p>
      <w:pPr>
        <w:pStyle w:val="ListParagraph"/>
        <w:numPr>
          <w:ilvl w:val="0"/>
          <w:numId w:val="2"/>
        </w:numPr>
        <w:spacing w:after="20" w:before="20"/>
      </w:pPr>
      <w:r>
        <w:rPr>
          <w:rFonts w:ascii="Calibri" w:cs="Calibri" w:eastAsia="Calibri" w:hAnsi="Calibri"/>
          <w:color w:val="000000"/>
          <w:sz w:val="20"/>
          <w:szCs w:val="20"/>
        </w:rPr>
        <w:t xml:space="preserve">Revisão e análise da documentação societária</w:t>
      </w:r>
    </w:p>
    <w:p>
      <w:pPr>
        <w:pStyle w:val="ListParagraph"/>
        <w:numPr>
          <w:ilvl w:val="0"/>
          <w:numId w:val="2"/>
        </w:numPr>
        <w:spacing w:after="20" w:before="20"/>
      </w:pPr>
      <w:r>
        <w:rPr>
          <w:rFonts w:ascii="Calibri" w:cs="Calibri" w:eastAsia="Calibri" w:hAnsi="Calibri"/>
          <w:color w:val="000000"/>
          <w:sz w:val="20"/>
          <w:szCs w:val="20"/>
        </w:rPr>
        <w:t xml:space="preserve">Documentos de transferência</w:t>
      </w:r>
    </w:p>
    <w:p>
      <w:pPr>
        <w:pStyle w:val="ListParagraph"/>
        <w:numPr>
          <w:ilvl w:val="0"/>
          <w:numId w:val="2"/>
        </w:numPr>
        <w:spacing w:after="20" w:before="20"/>
      </w:pPr>
      <w:r>
        <w:rPr>
          <w:rFonts w:ascii="Calibri" w:cs="Calibri" w:eastAsia="Calibri" w:hAnsi="Calibri"/>
          <w:color w:val="000000"/>
          <w:sz w:val="20"/>
          <w:szCs w:val="20"/>
        </w:rPr>
        <w:t xml:space="preserve">Taxa governamental</w:t>
      </w:r>
    </w:p>
    <w:p>
      <w:pPr>
        <w:pStyle w:val="ListParagraph"/>
        <w:numPr>
          <w:ilvl w:val="0"/>
          <w:numId w:val="2"/>
        </w:numPr>
        <w:spacing w:after="20" w:before="20"/>
      </w:pPr>
      <w:r>
        <w:rPr>
          <w:rFonts w:ascii="Calibri" w:cs="Calibri" w:eastAsia="Calibri" w:hAnsi="Calibri"/>
          <w:color w:val="000000"/>
          <w:sz w:val="20"/>
          <w:szCs w:val="20"/>
        </w:rPr>
        <w:t xml:space="preserve">Compliance fees</w:t>
      </w:r>
    </w:p>
    <w:p>
      <w:pPr>
        <w:pBdr>
          <w:left w:val="single" w:color="B8C6D6" w:sz="14" w:space="10"/>
        </w:pBdr>
        <w:spacing w:after="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Os fees de transferência pressupõem que a empresa esteja em good standing no momento da transferência e inclui o processo de due diligence necessário para garantir a conformidade da documentação. Caso seja necessária a reorganização societária, a elaboração de outras atas, alterações contratuais ou a substituição de documentos faltantes ou inválidos, será apresentada uma proposta adicional após a devida avaliação.  </w:t>
      </w:r>
    </w:p>
    <w:p>
      <w:pPr>
        <w:pBdr>
          <w:left w:val="single" w:color="B8C6D6" w:sz="14" w:space="10"/>
        </w:pBdr>
        <w:spacing w:after="160" w:before="0"/>
        <w:ind w:left="340"/>
      </w:pPr>
      <w:r>
        <w:rPr>
          <w:rFonts w:ascii="Calibri" w:cs="Calibri" w:eastAsia="Calibri" w:hAnsi="Calibri"/>
          <w:i/>
          <w:iCs/>
          <w:color w:val="595959"/>
          <w:sz w:val="19"/>
          <w:szCs w:val="19"/>
        </w:rPr>
        <w:t xml:space="preserve">É possível que o atual agente de registro cobre uma taxa para realizar a transferência para outro agente. Esses custos deverão ser pagos diretamente e não estão inclusos nos valores acima.</w:t>
      </w:r>
    </w:p>
    <w:p>
      <w:pPr>
        <w:pStyle w:val="Heading3"/>
        <w:spacing w:after="110" w:before="260"/>
      </w:pPr>
      <w:r>
        <w:rPr>
          <w:rFonts w:ascii="Calibri" w:cs="Calibri" w:eastAsia="Calibri" w:hAnsi="Calibri"/>
          <w:b/>
          <w:bCs/>
          <w:color w:val="2E6DA4"/>
          <w:sz w:val="22"/>
          <w:szCs w:val="22"/>
        </w:rPr>
        <w:t xml:space="preserve">3.2 US LLC</w:t>
      </w:r>
    </w:p>
    <w:p>
      <w:pPr>
        <w:pStyle w:val="Heading4"/>
        <w:spacing w:after="80" w:before="200"/>
      </w:pPr>
      <w:r>
        <w:rPr>
          <w:rFonts w:ascii="Calibri" w:cs="Calibri" w:eastAsia="Calibri" w:hAnsi="Calibri"/>
          <w:b/>
          <w:bCs/>
          <w:color w:val="000000"/>
          <w:sz w:val="20"/>
          <w:szCs w:val="20"/>
        </w:rPr>
        <w:t xml:space="preserve">Transferência de Agente Florida LLC — </w:t>
      </w:r>
      <w:r>
        <w:rPr>
          <w:rFonts w:ascii="Calibri" w:cs="Calibri" w:eastAsia="Calibri" w:hAnsi="Calibri"/>
          <w:b/>
          <w:bCs/>
          <w:color w:val="000000"/>
          <w:sz w:val="20"/>
          <w:szCs w:val="20"/>
        </w:rPr>
        <w:t xml:space="preserve">USD 800</w:t>
      </w:r>
    </w:p>
    <w:p>
      <w:pPr>
        <w:spacing w:after="120" w:before="60"/>
      </w:pPr>
      <w:r>
        <w:rPr>
          <w:rFonts w:ascii="Consolas" w:cs="Consolas" w:eastAsia="Consolas" w:hAnsi="Consolas"/>
          <w:color w:val="2E6DA4"/>
          <w:sz w:val="18"/>
          <w:szCs w:val="18"/>
        </w:rPr>
        <w:t xml:space="preserve">transFL</w:t>
      </w:r>
    </w:p>
    <w:p>
      <w:pPr>
        <w:pStyle w:val="ListParagraph"/>
        <w:numPr>
          <w:ilvl w:val="0"/>
          <w:numId w:val="2"/>
        </w:numPr>
        <w:spacing w:after="20" w:before="20"/>
      </w:pPr>
      <w:r>
        <w:rPr>
          <w:rFonts w:ascii="Calibri" w:cs="Calibri" w:eastAsia="Calibri" w:hAnsi="Calibri"/>
          <w:color w:val="000000"/>
          <w:sz w:val="20"/>
          <w:szCs w:val="20"/>
        </w:rPr>
        <w:t xml:space="preserve">Revisão e análise da documentação societária</w:t>
      </w:r>
    </w:p>
    <w:p>
      <w:pPr>
        <w:pStyle w:val="ListParagraph"/>
        <w:numPr>
          <w:ilvl w:val="0"/>
          <w:numId w:val="2"/>
        </w:numPr>
        <w:spacing w:after="20" w:before="20"/>
      </w:pPr>
      <w:r>
        <w:rPr>
          <w:rFonts w:ascii="Calibri" w:cs="Calibri" w:eastAsia="Calibri" w:hAnsi="Calibri"/>
          <w:color w:val="000000"/>
          <w:sz w:val="20"/>
          <w:szCs w:val="20"/>
        </w:rPr>
        <w:t xml:space="preserve">Documentos de transferência</w:t>
      </w:r>
    </w:p>
    <w:p>
      <w:pPr>
        <w:pStyle w:val="ListParagraph"/>
        <w:numPr>
          <w:ilvl w:val="0"/>
          <w:numId w:val="2"/>
        </w:numPr>
        <w:spacing w:after="20" w:before="20"/>
      </w:pPr>
      <w:r>
        <w:rPr>
          <w:rFonts w:ascii="Calibri" w:cs="Calibri" w:eastAsia="Calibri" w:hAnsi="Calibri"/>
          <w:color w:val="000000"/>
          <w:sz w:val="20"/>
          <w:szCs w:val="20"/>
        </w:rPr>
        <w:t xml:space="preserve">Fees do Agente Registrado</w:t>
      </w:r>
    </w:p>
    <w:p>
      <w:pPr>
        <w:pStyle w:val="ListParagraph"/>
        <w:numPr>
          <w:ilvl w:val="0"/>
          <w:numId w:val="2"/>
        </w:numPr>
        <w:spacing w:after="20" w:before="20"/>
      </w:pPr>
      <w:r>
        <w:rPr>
          <w:rFonts w:ascii="Calibri" w:cs="Calibri" w:eastAsia="Calibri" w:hAnsi="Calibri"/>
          <w:color w:val="000000"/>
          <w:sz w:val="20"/>
          <w:szCs w:val="20"/>
        </w:rPr>
        <w:t xml:space="preserve">Taxa governamental</w:t>
      </w:r>
    </w:p>
    <w:p>
      <w:pPr>
        <w:pStyle w:val="ListParagraph"/>
        <w:numPr>
          <w:ilvl w:val="0"/>
          <w:numId w:val="2"/>
        </w:numPr>
        <w:spacing w:after="20" w:before="20"/>
      </w:pPr>
      <w:r>
        <w:rPr>
          <w:rFonts w:ascii="Calibri" w:cs="Calibri" w:eastAsia="Calibri" w:hAnsi="Calibri"/>
          <w:color w:val="000000"/>
          <w:sz w:val="20"/>
          <w:szCs w:val="20"/>
        </w:rPr>
        <w:t xml:space="preserve">Compliance fees</w:t>
      </w:r>
    </w:p>
    <w:p>
      <w:pPr>
        <w:pBdr>
          <w:left w:val="single" w:color="B8C6D6" w:sz="14" w:space="10"/>
        </w:pBdr>
        <w:spacing w:after="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Os fees de transferência pressupõem que a empresa esteja em good standing no momento da transferência e inclui o processo de due diligence necessário para garantir a conformidade da documentação. Caso seja necessária a reorganização societária, a elaboração de outras atas, alterações contratuais ou a substituição de documentos faltantes ou inválidos, será apresentada uma proposta adicional após a devida avaliação.  </w:t>
      </w:r>
    </w:p>
    <w:p>
      <w:pPr>
        <w:pBdr>
          <w:left w:val="single" w:color="B8C6D6" w:sz="14" w:space="10"/>
        </w:pBdr>
        <w:spacing w:after="160" w:before="0"/>
        <w:ind w:left="340"/>
      </w:pPr>
      <w:r>
        <w:rPr>
          <w:rFonts w:ascii="Calibri" w:cs="Calibri" w:eastAsia="Calibri" w:hAnsi="Calibri"/>
          <w:i/>
          <w:iCs/>
          <w:color w:val="595959"/>
          <w:sz w:val="19"/>
          <w:szCs w:val="19"/>
        </w:rPr>
        <w:t xml:space="preserve">É possível que o atual agente de registro cobre uma taxa para realizar a transferência para outro agente. Esses custos deverão ser pagos diretamente e não estão inclusos nos valores acima.</w:t>
      </w:r>
    </w:p>
    <w:p>
      <w:pPr>
        <w:pStyle w:val="Heading4"/>
        <w:spacing w:after="80" w:before="200"/>
      </w:pPr>
      <w:r>
        <w:rPr>
          <w:rFonts w:ascii="Calibri" w:cs="Calibri" w:eastAsia="Calibri" w:hAnsi="Calibri"/>
          <w:b/>
          <w:bCs/>
          <w:color w:val="000000"/>
          <w:sz w:val="20"/>
          <w:szCs w:val="20"/>
        </w:rPr>
        <w:t xml:space="preserve">Transferência de Agente Delaware LLC — </w:t>
      </w:r>
      <w:r>
        <w:rPr>
          <w:rFonts w:ascii="Calibri" w:cs="Calibri" w:eastAsia="Calibri" w:hAnsi="Calibri"/>
          <w:b/>
          <w:bCs/>
          <w:color w:val="000000"/>
          <w:sz w:val="20"/>
          <w:szCs w:val="20"/>
        </w:rPr>
        <w:t xml:space="preserve">USD 800</w:t>
      </w:r>
    </w:p>
    <w:p>
      <w:pPr>
        <w:spacing w:after="120" w:before="60"/>
      </w:pPr>
      <w:r>
        <w:rPr>
          <w:rFonts w:ascii="Consolas" w:cs="Consolas" w:eastAsia="Consolas" w:hAnsi="Consolas"/>
          <w:color w:val="2E6DA4"/>
          <w:sz w:val="18"/>
          <w:szCs w:val="18"/>
        </w:rPr>
        <w:t xml:space="preserve">transDE</w:t>
      </w:r>
    </w:p>
    <w:p>
      <w:pPr>
        <w:pStyle w:val="ListParagraph"/>
        <w:numPr>
          <w:ilvl w:val="0"/>
          <w:numId w:val="2"/>
        </w:numPr>
        <w:spacing w:after="20" w:before="20"/>
      </w:pPr>
      <w:r>
        <w:rPr>
          <w:rFonts w:ascii="Calibri" w:cs="Calibri" w:eastAsia="Calibri" w:hAnsi="Calibri"/>
          <w:color w:val="000000"/>
          <w:sz w:val="20"/>
          <w:szCs w:val="20"/>
        </w:rPr>
        <w:t xml:space="preserve">Revisão e análise da documentação societária</w:t>
      </w:r>
    </w:p>
    <w:p>
      <w:pPr>
        <w:pStyle w:val="ListParagraph"/>
        <w:numPr>
          <w:ilvl w:val="0"/>
          <w:numId w:val="2"/>
        </w:numPr>
        <w:spacing w:after="20" w:before="20"/>
      </w:pPr>
      <w:r>
        <w:rPr>
          <w:rFonts w:ascii="Calibri" w:cs="Calibri" w:eastAsia="Calibri" w:hAnsi="Calibri"/>
          <w:color w:val="000000"/>
          <w:sz w:val="20"/>
          <w:szCs w:val="20"/>
        </w:rPr>
        <w:t xml:space="preserve">Documentos de transferência</w:t>
      </w:r>
    </w:p>
    <w:p>
      <w:pPr>
        <w:pStyle w:val="ListParagraph"/>
        <w:numPr>
          <w:ilvl w:val="0"/>
          <w:numId w:val="2"/>
        </w:numPr>
        <w:spacing w:after="20" w:before="20"/>
      </w:pPr>
      <w:r>
        <w:rPr>
          <w:rFonts w:ascii="Calibri" w:cs="Calibri" w:eastAsia="Calibri" w:hAnsi="Calibri"/>
          <w:color w:val="000000"/>
          <w:sz w:val="20"/>
          <w:szCs w:val="20"/>
        </w:rPr>
        <w:t xml:space="preserve">Fees do Agente Registrado</w:t>
      </w:r>
    </w:p>
    <w:p>
      <w:pPr>
        <w:pStyle w:val="ListParagraph"/>
        <w:numPr>
          <w:ilvl w:val="0"/>
          <w:numId w:val="2"/>
        </w:numPr>
        <w:spacing w:after="20" w:before="20"/>
      </w:pPr>
      <w:r>
        <w:rPr>
          <w:rFonts w:ascii="Calibri" w:cs="Calibri" w:eastAsia="Calibri" w:hAnsi="Calibri"/>
          <w:color w:val="000000"/>
          <w:sz w:val="20"/>
          <w:szCs w:val="20"/>
        </w:rPr>
        <w:t xml:space="preserve">Taxa governamental</w:t>
      </w:r>
    </w:p>
    <w:p>
      <w:pPr>
        <w:pStyle w:val="ListParagraph"/>
        <w:numPr>
          <w:ilvl w:val="0"/>
          <w:numId w:val="2"/>
        </w:numPr>
        <w:spacing w:after="20" w:before="20"/>
      </w:pPr>
      <w:r>
        <w:rPr>
          <w:rFonts w:ascii="Calibri" w:cs="Calibri" w:eastAsia="Calibri" w:hAnsi="Calibri"/>
          <w:color w:val="000000"/>
          <w:sz w:val="20"/>
          <w:szCs w:val="20"/>
        </w:rPr>
        <w:t xml:space="preserve">Compliance fees</w:t>
      </w:r>
    </w:p>
    <w:p>
      <w:pPr>
        <w:pBdr>
          <w:left w:val="single" w:color="B8C6D6" w:sz="14" w:space="10"/>
        </w:pBdr>
        <w:spacing w:after="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Os fees de transferência pressupõem que a empresa esteja em good standing no momento da transferência e inclui o processo de due diligence necessário para garantir a conformidade da documentação. Caso seja necessária a reorganização societária, a elaboração de outras atas, alterações contratuais ou a substituição de documentos faltantes ou inválidos, será apresentada uma proposta adicional após a devida avaliação.  </w:t>
      </w:r>
    </w:p>
    <w:p>
      <w:pPr>
        <w:pBdr>
          <w:left w:val="single" w:color="B8C6D6" w:sz="14" w:space="10"/>
        </w:pBdr>
        <w:spacing w:after="160" w:before="0"/>
        <w:ind w:left="340"/>
      </w:pPr>
      <w:r>
        <w:rPr>
          <w:rFonts w:ascii="Calibri" w:cs="Calibri" w:eastAsia="Calibri" w:hAnsi="Calibri"/>
          <w:i/>
          <w:iCs/>
          <w:color w:val="595959"/>
          <w:sz w:val="19"/>
          <w:szCs w:val="19"/>
        </w:rPr>
        <w:t xml:space="preserve">É possível que o atual agente de registro cobre uma taxa para realizar a transferência para outro agente. Esses custos deverão ser pagos diretamente e não estão inclusos nos valores acima.</w:t>
      </w:r>
    </w:p>
    <w:p>
      <w:pPr>
        <w:pStyle w:val="Heading4"/>
        <w:spacing w:after="80" w:before="200"/>
      </w:pPr>
      <w:r>
        <w:rPr>
          <w:rFonts w:ascii="Calibri" w:cs="Calibri" w:eastAsia="Calibri" w:hAnsi="Calibri"/>
          <w:b/>
          <w:bCs/>
          <w:color w:val="000000"/>
          <w:sz w:val="20"/>
          <w:szCs w:val="20"/>
        </w:rPr>
        <w:t xml:space="preserve">Transferência de Agente New York LLC — </w:t>
      </w:r>
      <w:r>
        <w:rPr>
          <w:rFonts w:ascii="Calibri" w:cs="Calibri" w:eastAsia="Calibri" w:hAnsi="Calibri"/>
          <w:b/>
          <w:bCs/>
          <w:color w:val="000000"/>
          <w:sz w:val="20"/>
          <w:szCs w:val="20"/>
        </w:rPr>
        <w:t xml:space="preserve">USD 800</w:t>
      </w:r>
    </w:p>
    <w:p>
      <w:pPr>
        <w:spacing w:after="120" w:before="60"/>
      </w:pPr>
      <w:r>
        <w:rPr>
          <w:rFonts w:ascii="Consolas" w:cs="Consolas" w:eastAsia="Consolas" w:hAnsi="Consolas"/>
          <w:color w:val="2E6DA4"/>
          <w:sz w:val="18"/>
          <w:szCs w:val="18"/>
        </w:rPr>
        <w:t xml:space="preserve">transNY</w:t>
      </w:r>
    </w:p>
    <w:p>
      <w:pPr>
        <w:pStyle w:val="ListParagraph"/>
        <w:numPr>
          <w:ilvl w:val="0"/>
          <w:numId w:val="2"/>
        </w:numPr>
        <w:spacing w:after="20" w:before="20"/>
      </w:pPr>
      <w:r>
        <w:rPr>
          <w:rFonts w:ascii="Calibri" w:cs="Calibri" w:eastAsia="Calibri" w:hAnsi="Calibri"/>
          <w:color w:val="000000"/>
          <w:sz w:val="20"/>
          <w:szCs w:val="20"/>
        </w:rPr>
        <w:t xml:space="preserve">Revisão e análise da documentação societária</w:t>
      </w:r>
    </w:p>
    <w:p>
      <w:pPr>
        <w:pStyle w:val="ListParagraph"/>
        <w:numPr>
          <w:ilvl w:val="0"/>
          <w:numId w:val="2"/>
        </w:numPr>
        <w:spacing w:after="20" w:before="20"/>
      </w:pPr>
      <w:r>
        <w:rPr>
          <w:rFonts w:ascii="Calibri" w:cs="Calibri" w:eastAsia="Calibri" w:hAnsi="Calibri"/>
          <w:color w:val="000000"/>
          <w:sz w:val="20"/>
          <w:szCs w:val="20"/>
        </w:rPr>
        <w:t xml:space="preserve">Documentos de transferência</w:t>
      </w:r>
    </w:p>
    <w:p>
      <w:pPr>
        <w:pStyle w:val="ListParagraph"/>
        <w:numPr>
          <w:ilvl w:val="0"/>
          <w:numId w:val="2"/>
        </w:numPr>
        <w:spacing w:after="20" w:before="20"/>
      </w:pPr>
      <w:r>
        <w:rPr>
          <w:rFonts w:ascii="Calibri" w:cs="Calibri" w:eastAsia="Calibri" w:hAnsi="Calibri"/>
          <w:color w:val="000000"/>
          <w:sz w:val="20"/>
          <w:szCs w:val="20"/>
        </w:rPr>
        <w:t xml:space="preserve">Fees do Agente Registrado</w:t>
      </w:r>
    </w:p>
    <w:p>
      <w:pPr>
        <w:pStyle w:val="ListParagraph"/>
        <w:numPr>
          <w:ilvl w:val="0"/>
          <w:numId w:val="2"/>
        </w:numPr>
        <w:spacing w:after="20" w:before="20"/>
      </w:pPr>
      <w:r>
        <w:rPr>
          <w:rFonts w:ascii="Calibri" w:cs="Calibri" w:eastAsia="Calibri" w:hAnsi="Calibri"/>
          <w:color w:val="000000"/>
          <w:sz w:val="20"/>
          <w:szCs w:val="20"/>
        </w:rPr>
        <w:t xml:space="preserve">Taxa governamental</w:t>
      </w:r>
    </w:p>
    <w:p>
      <w:pPr>
        <w:pStyle w:val="ListParagraph"/>
        <w:numPr>
          <w:ilvl w:val="0"/>
          <w:numId w:val="2"/>
        </w:numPr>
        <w:spacing w:after="20" w:before="20"/>
      </w:pPr>
      <w:r>
        <w:rPr>
          <w:rFonts w:ascii="Calibri" w:cs="Calibri" w:eastAsia="Calibri" w:hAnsi="Calibri"/>
          <w:color w:val="000000"/>
          <w:sz w:val="20"/>
          <w:szCs w:val="20"/>
        </w:rPr>
        <w:t xml:space="preserve">Compliance fees</w:t>
      </w:r>
    </w:p>
    <w:p>
      <w:pPr>
        <w:pBdr>
          <w:left w:val="single" w:color="B8C6D6" w:sz="14" w:space="10"/>
        </w:pBdr>
        <w:spacing w:after="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Os fees de transferência pressupõem que a empresa esteja em good standing no momento da transferência e inclui o processo de due diligence necessário para garantir a conformidade da documentação. Caso seja necessária a reorganização societária, a elaboração de outras atas, alterações contratuais ou a substituição de documentos faltantes ou inválidos, será apresentada uma proposta adicional após a devida avaliação.  </w:t>
      </w:r>
    </w:p>
    <w:p>
      <w:pPr>
        <w:pBdr>
          <w:left w:val="single" w:color="B8C6D6" w:sz="14" w:space="10"/>
        </w:pBdr>
        <w:spacing w:after="160" w:before="0"/>
        <w:ind w:left="340"/>
      </w:pPr>
      <w:r>
        <w:rPr>
          <w:rFonts w:ascii="Calibri" w:cs="Calibri" w:eastAsia="Calibri" w:hAnsi="Calibri"/>
          <w:i/>
          <w:iCs/>
          <w:color w:val="595959"/>
          <w:sz w:val="19"/>
          <w:szCs w:val="19"/>
        </w:rPr>
        <w:t xml:space="preserve">É possível que o atual agente de registro cobre uma taxa para realizar a transferência para outro agente. Esses custos deverão ser pagos diretamente e não estão inclusos nos valores acima.</w:t>
      </w:r>
    </w:p>
    <w:p>
      <w:pPr>
        <w:pStyle w:val="Heading4"/>
        <w:spacing w:after="80" w:before="200"/>
      </w:pPr>
      <w:r>
        <w:rPr>
          <w:rFonts w:ascii="Calibri" w:cs="Calibri" w:eastAsia="Calibri" w:hAnsi="Calibri"/>
          <w:b/>
          <w:bCs/>
          <w:color w:val="000000"/>
          <w:sz w:val="20"/>
          <w:szCs w:val="20"/>
        </w:rPr>
        <w:t xml:space="preserve">Transferência de Agente South Dakota LLC — </w:t>
      </w:r>
      <w:r>
        <w:rPr>
          <w:rFonts w:ascii="Calibri" w:cs="Calibri" w:eastAsia="Calibri" w:hAnsi="Calibri"/>
          <w:b/>
          <w:bCs/>
          <w:color w:val="000000"/>
          <w:sz w:val="20"/>
          <w:szCs w:val="20"/>
        </w:rPr>
        <w:t xml:space="preserve">USD 800</w:t>
      </w:r>
    </w:p>
    <w:p>
      <w:pPr>
        <w:spacing w:after="120" w:before="60"/>
      </w:pPr>
      <w:r>
        <w:rPr>
          <w:rFonts w:ascii="Consolas" w:cs="Consolas" w:eastAsia="Consolas" w:hAnsi="Consolas"/>
          <w:color w:val="2E6DA4"/>
          <w:sz w:val="18"/>
          <w:szCs w:val="18"/>
        </w:rPr>
        <w:t xml:space="preserve">transSD</w:t>
      </w:r>
    </w:p>
    <w:p>
      <w:pPr>
        <w:pStyle w:val="ListParagraph"/>
        <w:numPr>
          <w:ilvl w:val="0"/>
          <w:numId w:val="2"/>
        </w:numPr>
        <w:spacing w:after="20" w:before="20"/>
      </w:pPr>
      <w:r>
        <w:rPr>
          <w:rFonts w:ascii="Calibri" w:cs="Calibri" w:eastAsia="Calibri" w:hAnsi="Calibri"/>
          <w:color w:val="000000"/>
          <w:sz w:val="20"/>
          <w:szCs w:val="20"/>
        </w:rPr>
        <w:t xml:space="preserve">Revisão e análise da documentação societária</w:t>
      </w:r>
    </w:p>
    <w:p>
      <w:pPr>
        <w:pStyle w:val="ListParagraph"/>
        <w:numPr>
          <w:ilvl w:val="0"/>
          <w:numId w:val="2"/>
        </w:numPr>
        <w:spacing w:after="20" w:before="20"/>
      </w:pPr>
      <w:r>
        <w:rPr>
          <w:rFonts w:ascii="Calibri" w:cs="Calibri" w:eastAsia="Calibri" w:hAnsi="Calibri"/>
          <w:color w:val="000000"/>
          <w:sz w:val="20"/>
          <w:szCs w:val="20"/>
        </w:rPr>
        <w:t xml:space="preserve">Documentos de transferência</w:t>
      </w:r>
    </w:p>
    <w:p>
      <w:pPr>
        <w:pStyle w:val="ListParagraph"/>
        <w:numPr>
          <w:ilvl w:val="0"/>
          <w:numId w:val="2"/>
        </w:numPr>
        <w:spacing w:after="20" w:before="20"/>
      </w:pPr>
      <w:r>
        <w:rPr>
          <w:rFonts w:ascii="Calibri" w:cs="Calibri" w:eastAsia="Calibri" w:hAnsi="Calibri"/>
          <w:color w:val="000000"/>
          <w:sz w:val="20"/>
          <w:szCs w:val="20"/>
        </w:rPr>
        <w:t xml:space="preserve">Fees do Agente Registrado</w:t>
      </w:r>
    </w:p>
    <w:p>
      <w:pPr>
        <w:pStyle w:val="ListParagraph"/>
        <w:numPr>
          <w:ilvl w:val="0"/>
          <w:numId w:val="2"/>
        </w:numPr>
        <w:spacing w:after="20" w:before="20"/>
      </w:pPr>
      <w:r>
        <w:rPr>
          <w:rFonts w:ascii="Calibri" w:cs="Calibri" w:eastAsia="Calibri" w:hAnsi="Calibri"/>
          <w:color w:val="000000"/>
          <w:sz w:val="20"/>
          <w:szCs w:val="20"/>
        </w:rPr>
        <w:t xml:space="preserve">Taxa governamental</w:t>
      </w:r>
    </w:p>
    <w:p>
      <w:pPr>
        <w:pStyle w:val="ListParagraph"/>
        <w:numPr>
          <w:ilvl w:val="0"/>
          <w:numId w:val="2"/>
        </w:numPr>
        <w:spacing w:after="20" w:before="20"/>
      </w:pPr>
      <w:r>
        <w:rPr>
          <w:rFonts w:ascii="Calibri" w:cs="Calibri" w:eastAsia="Calibri" w:hAnsi="Calibri"/>
          <w:color w:val="000000"/>
          <w:sz w:val="20"/>
          <w:szCs w:val="20"/>
        </w:rPr>
        <w:t xml:space="preserve">Compliance fees</w:t>
      </w:r>
    </w:p>
    <w:p>
      <w:pPr>
        <w:pBdr>
          <w:left w:val="single" w:color="B8C6D6" w:sz="14" w:space="10"/>
        </w:pBdr>
        <w:spacing w:after="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Os fees de transferência pressupõem que a empresa esteja em good standing no momento da transferência e inclui o processo de due diligence necessário para garantir a conformidade da documentação. Caso seja necessária a reorganização societária, a elaboração de outras atas, alterações contratuais ou a substituição de documentos faltantes ou inválidos, será apresentada uma proposta adicional após a devida avaliação.  </w:t>
      </w:r>
    </w:p>
    <w:p>
      <w:pPr>
        <w:pBdr>
          <w:left w:val="single" w:color="B8C6D6" w:sz="14" w:space="10"/>
        </w:pBdr>
        <w:spacing w:after="160" w:before="0"/>
        <w:ind w:left="340"/>
      </w:pPr>
      <w:r>
        <w:rPr>
          <w:rFonts w:ascii="Calibri" w:cs="Calibri" w:eastAsia="Calibri" w:hAnsi="Calibri"/>
          <w:i/>
          <w:iCs/>
          <w:color w:val="595959"/>
          <w:sz w:val="19"/>
          <w:szCs w:val="19"/>
        </w:rPr>
        <w:t xml:space="preserve">É possível que o atual agente de registro cobre uma taxa para realizar a transferência para outro agente. Esses custos deverão ser pagos diretamente e não estão inclusos nos valores acima.</w:t>
      </w:r>
    </w:p>
    <w:p>
      <w:pPr>
        <w:pStyle w:val="Heading4"/>
        <w:spacing w:after="80" w:before="200"/>
      </w:pPr>
      <w:r>
        <w:rPr>
          <w:rFonts w:ascii="Calibri" w:cs="Calibri" w:eastAsia="Calibri" w:hAnsi="Calibri"/>
          <w:b/>
          <w:bCs/>
          <w:color w:val="000000"/>
          <w:sz w:val="20"/>
          <w:szCs w:val="20"/>
        </w:rPr>
        <w:t xml:space="preserve">Transferência de Agente Wisconsin LLC — </w:t>
      </w:r>
      <w:r>
        <w:rPr>
          <w:rFonts w:ascii="Calibri" w:cs="Calibri" w:eastAsia="Calibri" w:hAnsi="Calibri"/>
          <w:b/>
          <w:bCs/>
          <w:color w:val="000000"/>
          <w:sz w:val="20"/>
          <w:szCs w:val="20"/>
        </w:rPr>
        <w:t xml:space="preserve">USD 800</w:t>
      </w:r>
    </w:p>
    <w:p>
      <w:pPr>
        <w:spacing w:after="120" w:before="60"/>
      </w:pPr>
      <w:r>
        <w:rPr>
          <w:rFonts w:ascii="Consolas" w:cs="Consolas" w:eastAsia="Consolas" w:hAnsi="Consolas"/>
          <w:color w:val="2E6DA4"/>
          <w:sz w:val="18"/>
          <w:szCs w:val="18"/>
        </w:rPr>
        <w:t xml:space="preserve">transWI</w:t>
      </w:r>
    </w:p>
    <w:p>
      <w:pPr>
        <w:pStyle w:val="ListParagraph"/>
        <w:numPr>
          <w:ilvl w:val="0"/>
          <w:numId w:val="2"/>
        </w:numPr>
        <w:spacing w:after="20" w:before="20"/>
      </w:pPr>
      <w:r>
        <w:rPr>
          <w:rFonts w:ascii="Calibri" w:cs="Calibri" w:eastAsia="Calibri" w:hAnsi="Calibri"/>
          <w:color w:val="000000"/>
          <w:sz w:val="20"/>
          <w:szCs w:val="20"/>
        </w:rPr>
        <w:t xml:space="preserve">Revisão e análise da documentação societária</w:t>
      </w:r>
    </w:p>
    <w:p>
      <w:pPr>
        <w:pStyle w:val="ListParagraph"/>
        <w:numPr>
          <w:ilvl w:val="0"/>
          <w:numId w:val="2"/>
        </w:numPr>
        <w:spacing w:after="20" w:before="20"/>
      </w:pPr>
      <w:r>
        <w:rPr>
          <w:rFonts w:ascii="Calibri" w:cs="Calibri" w:eastAsia="Calibri" w:hAnsi="Calibri"/>
          <w:color w:val="000000"/>
          <w:sz w:val="20"/>
          <w:szCs w:val="20"/>
        </w:rPr>
        <w:t xml:space="preserve">Documentos de transferência</w:t>
      </w:r>
    </w:p>
    <w:p>
      <w:pPr>
        <w:pStyle w:val="ListParagraph"/>
        <w:numPr>
          <w:ilvl w:val="0"/>
          <w:numId w:val="2"/>
        </w:numPr>
        <w:spacing w:after="20" w:before="20"/>
      </w:pPr>
      <w:r>
        <w:rPr>
          <w:rFonts w:ascii="Calibri" w:cs="Calibri" w:eastAsia="Calibri" w:hAnsi="Calibri"/>
          <w:color w:val="000000"/>
          <w:sz w:val="20"/>
          <w:szCs w:val="20"/>
        </w:rPr>
        <w:t xml:space="preserve">Fees do Agente Registrado</w:t>
      </w:r>
    </w:p>
    <w:p>
      <w:pPr>
        <w:pStyle w:val="ListParagraph"/>
        <w:numPr>
          <w:ilvl w:val="0"/>
          <w:numId w:val="2"/>
        </w:numPr>
        <w:spacing w:after="20" w:before="20"/>
      </w:pPr>
      <w:r>
        <w:rPr>
          <w:rFonts w:ascii="Calibri" w:cs="Calibri" w:eastAsia="Calibri" w:hAnsi="Calibri"/>
          <w:color w:val="000000"/>
          <w:sz w:val="20"/>
          <w:szCs w:val="20"/>
        </w:rPr>
        <w:t xml:space="preserve">Taxa governamental</w:t>
      </w:r>
    </w:p>
    <w:p>
      <w:pPr>
        <w:pStyle w:val="ListParagraph"/>
        <w:numPr>
          <w:ilvl w:val="0"/>
          <w:numId w:val="2"/>
        </w:numPr>
        <w:spacing w:after="20" w:before="20"/>
      </w:pPr>
      <w:r>
        <w:rPr>
          <w:rFonts w:ascii="Calibri" w:cs="Calibri" w:eastAsia="Calibri" w:hAnsi="Calibri"/>
          <w:color w:val="000000"/>
          <w:sz w:val="20"/>
          <w:szCs w:val="20"/>
        </w:rPr>
        <w:t xml:space="preserve">Compliance fees</w:t>
      </w:r>
    </w:p>
    <w:p>
      <w:pPr>
        <w:pBdr>
          <w:left w:val="single" w:color="B8C6D6" w:sz="14" w:space="10"/>
        </w:pBdr>
        <w:spacing w:after="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Os fees de transferência pressupõem que a empresa esteja em good standing no momento da transferência e inclui o processo de due diligence necessário para garantir a conformidade da documentação. Caso seja necessária a reorganização societária, a elaboração de outras atas, alterações contratuais ou a substituição de documentos faltantes ou inválidos, será apresentada uma proposta adicional após a devida avaliação.  </w:t>
      </w:r>
    </w:p>
    <w:p>
      <w:pPr>
        <w:pBdr>
          <w:left w:val="single" w:color="B8C6D6" w:sz="14" w:space="10"/>
        </w:pBdr>
        <w:spacing w:after="160" w:before="0"/>
        <w:ind w:left="340"/>
      </w:pPr>
      <w:r>
        <w:rPr>
          <w:rFonts w:ascii="Calibri" w:cs="Calibri" w:eastAsia="Calibri" w:hAnsi="Calibri"/>
          <w:i/>
          <w:iCs/>
          <w:color w:val="595959"/>
          <w:sz w:val="19"/>
          <w:szCs w:val="19"/>
        </w:rPr>
        <w:t xml:space="preserve">É possível que o atual agente de registro cobre uma taxa para realizar a transferência para outro agente. Esses custos deverão ser pagos diretamente e não estão inclusos nos valores acima.</w:t>
      </w:r>
    </w:p>
    <w:p>
      <w:pPr>
        <w:pStyle w:val="Heading4"/>
        <w:spacing w:after="80" w:before="200"/>
      </w:pPr>
      <w:r>
        <w:rPr>
          <w:rFonts w:ascii="Calibri" w:cs="Calibri" w:eastAsia="Calibri" w:hAnsi="Calibri"/>
          <w:b/>
          <w:bCs/>
          <w:color w:val="000000"/>
          <w:sz w:val="20"/>
          <w:szCs w:val="20"/>
        </w:rPr>
        <w:t xml:space="preserve">Transferência de Agente Minnesota LLC — </w:t>
      </w:r>
      <w:r>
        <w:rPr>
          <w:rFonts w:ascii="Calibri" w:cs="Calibri" w:eastAsia="Calibri" w:hAnsi="Calibri"/>
          <w:b/>
          <w:bCs/>
          <w:color w:val="000000"/>
          <w:sz w:val="20"/>
          <w:szCs w:val="20"/>
        </w:rPr>
        <w:t xml:space="preserve">USD 800</w:t>
      </w:r>
    </w:p>
    <w:p>
      <w:pPr>
        <w:spacing w:after="120" w:before="60"/>
      </w:pPr>
      <w:r>
        <w:rPr>
          <w:rFonts w:ascii="Consolas" w:cs="Consolas" w:eastAsia="Consolas" w:hAnsi="Consolas"/>
          <w:color w:val="2E6DA4"/>
          <w:sz w:val="18"/>
          <w:szCs w:val="18"/>
        </w:rPr>
        <w:t xml:space="preserve">transMN</w:t>
      </w:r>
    </w:p>
    <w:p>
      <w:pPr>
        <w:pStyle w:val="ListParagraph"/>
        <w:numPr>
          <w:ilvl w:val="0"/>
          <w:numId w:val="2"/>
        </w:numPr>
        <w:spacing w:after="20" w:before="20"/>
      </w:pPr>
      <w:r>
        <w:rPr>
          <w:rFonts w:ascii="Calibri" w:cs="Calibri" w:eastAsia="Calibri" w:hAnsi="Calibri"/>
          <w:color w:val="000000"/>
          <w:sz w:val="20"/>
          <w:szCs w:val="20"/>
        </w:rPr>
        <w:t xml:space="preserve">Revisão e análise da documentação societária</w:t>
      </w:r>
    </w:p>
    <w:p>
      <w:pPr>
        <w:pStyle w:val="ListParagraph"/>
        <w:numPr>
          <w:ilvl w:val="0"/>
          <w:numId w:val="2"/>
        </w:numPr>
        <w:spacing w:after="20" w:before="20"/>
      </w:pPr>
      <w:r>
        <w:rPr>
          <w:rFonts w:ascii="Calibri" w:cs="Calibri" w:eastAsia="Calibri" w:hAnsi="Calibri"/>
          <w:color w:val="000000"/>
          <w:sz w:val="20"/>
          <w:szCs w:val="20"/>
        </w:rPr>
        <w:t xml:space="preserve">Documentos de transferência</w:t>
      </w:r>
    </w:p>
    <w:p>
      <w:pPr>
        <w:pStyle w:val="ListParagraph"/>
        <w:numPr>
          <w:ilvl w:val="0"/>
          <w:numId w:val="2"/>
        </w:numPr>
        <w:spacing w:after="20" w:before="20"/>
      </w:pPr>
      <w:r>
        <w:rPr>
          <w:rFonts w:ascii="Calibri" w:cs="Calibri" w:eastAsia="Calibri" w:hAnsi="Calibri"/>
          <w:color w:val="000000"/>
          <w:sz w:val="20"/>
          <w:szCs w:val="20"/>
        </w:rPr>
        <w:t xml:space="preserve">Fees do Agente Registrado</w:t>
      </w:r>
    </w:p>
    <w:p>
      <w:pPr>
        <w:pStyle w:val="ListParagraph"/>
        <w:numPr>
          <w:ilvl w:val="0"/>
          <w:numId w:val="2"/>
        </w:numPr>
        <w:spacing w:after="20" w:before="20"/>
      </w:pPr>
      <w:r>
        <w:rPr>
          <w:rFonts w:ascii="Calibri" w:cs="Calibri" w:eastAsia="Calibri" w:hAnsi="Calibri"/>
          <w:color w:val="000000"/>
          <w:sz w:val="20"/>
          <w:szCs w:val="20"/>
        </w:rPr>
        <w:t xml:space="preserve">Taxa governamental</w:t>
      </w:r>
    </w:p>
    <w:p>
      <w:pPr>
        <w:pStyle w:val="ListParagraph"/>
        <w:numPr>
          <w:ilvl w:val="0"/>
          <w:numId w:val="2"/>
        </w:numPr>
        <w:spacing w:after="20" w:before="20"/>
      </w:pPr>
      <w:r>
        <w:rPr>
          <w:rFonts w:ascii="Calibri" w:cs="Calibri" w:eastAsia="Calibri" w:hAnsi="Calibri"/>
          <w:color w:val="000000"/>
          <w:sz w:val="20"/>
          <w:szCs w:val="20"/>
        </w:rPr>
        <w:t xml:space="preserve">Compliance fees</w:t>
      </w:r>
    </w:p>
    <w:p>
      <w:pPr>
        <w:pBdr>
          <w:left w:val="single" w:color="B8C6D6" w:sz="14" w:space="10"/>
        </w:pBdr>
        <w:spacing w:after="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Os fees de transferência pressupõem que a empresa esteja em good standing no momento da transferência e inclui o processo de due diligence necessário para garantir a conformidade da documentação. Caso seja necessária a reorganização societária, a elaboração de outras atas, alterações contratuais ou a substituição de documentos faltantes ou inválidos, será apresentada uma proposta adicional após a devida avaliação.  </w:t>
      </w:r>
    </w:p>
    <w:p>
      <w:pPr>
        <w:pBdr>
          <w:left w:val="single" w:color="B8C6D6" w:sz="14" w:space="10"/>
        </w:pBdr>
        <w:spacing w:after="160" w:before="0"/>
        <w:ind w:left="340"/>
      </w:pPr>
      <w:r>
        <w:rPr>
          <w:rFonts w:ascii="Calibri" w:cs="Calibri" w:eastAsia="Calibri" w:hAnsi="Calibri"/>
          <w:i/>
          <w:iCs/>
          <w:color w:val="595959"/>
          <w:sz w:val="19"/>
          <w:szCs w:val="19"/>
        </w:rPr>
        <w:t xml:space="preserve">É possível que o atual agente de registro cobre uma taxa para realizar a transferência para outro agente. Esses custos deverão ser pagos diretamente e não estão inclusos nos valores acima.</w:t>
      </w:r>
    </w:p>
    <w:p>
      <w:pPr>
        <w:pStyle w:val="Heading3"/>
        <w:spacing w:after="110" w:before="260"/>
      </w:pPr>
      <w:r>
        <w:rPr>
          <w:rFonts w:ascii="Calibri" w:cs="Calibri" w:eastAsia="Calibri" w:hAnsi="Calibri"/>
          <w:b/>
          <w:bCs/>
          <w:color w:val="2E6DA4"/>
          <w:sz w:val="22"/>
          <w:szCs w:val="22"/>
        </w:rPr>
        <w:t xml:space="preserve">3.3 Transferência sem troca de agente (cortesia — USD 0)</w:t>
      </w:r>
    </w:p>
    <w:p>
      <w:pPr>
        <w:pStyle w:val="Heading4"/>
        <w:spacing w:after="80" w:before="200"/>
      </w:pPr>
      <w:r>
        <w:rPr>
          <w:rFonts w:ascii="Calibri" w:cs="Calibri" w:eastAsia="Calibri" w:hAnsi="Calibri"/>
          <w:b/>
          <w:bCs/>
          <w:color w:val="000000"/>
          <w:sz w:val="20"/>
          <w:szCs w:val="20"/>
        </w:rPr>
        <w:t xml:space="preserve">Transferência BVI (sem troca de agente) — </w:t>
      </w:r>
      <w:r>
        <w:rPr>
          <w:rFonts w:ascii="Calibri" w:cs="Calibri" w:eastAsia="Calibri" w:hAnsi="Calibri"/>
          <w:b/>
          <w:bCs/>
          <w:color w:val="000000"/>
          <w:sz w:val="20"/>
          <w:szCs w:val="20"/>
        </w:rPr>
        <w:t xml:space="preserve">Cortesia (USD 0)</w:t>
      </w:r>
    </w:p>
    <w:p>
      <w:pPr>
        <w:spacing w:after="120" w:before="60"/>
      </w:pPr>
      <w:r>
        <w:rPr>
          <w:rFonts w:ascii="Consolas" w:cs="Consolas" w:eastAsia="Consolas" w:hAnsi="Consolas"/>
          <w:color w:val="2E6DA4"/>
          <w:sz w:val="18"/>
          <w:szCs w:val="18"/>
        </w:rPr>
        <w:t xml:space="preserve">transBVIRA</w:t>
      </w:r>
    </w:p>
    <w:p>
      <w:pPr>
        <w:pStyle w:val="ListParagraph"/>
        <w:numPr>
          <w:ilvl w:val="0"/>
          <w:numId w:val="2"/>
        </w:numPr>
        <w:spacing w:after="20" w:before="20"/>
      </w:pPr>
      <w:r>
        <w:rPr>
          <w:rFonts w:ascii="Calibri" w:cs="Calibri" w:eastAsia="Calibri" w:hAnsi="Calibri"/>
          <w:color w:val="000000"/>
          <w:sz w:val="20"/>
          <w:szCs w:val="20"/>
        </w:rPr>
        <w:t xml:space="preserve">Transferência administrativa sem alteração de agente registrado</w:t>
      </w:r>
    </w:p>
    <w:p>
      <w:pPr>
        <w:pBdr>
          <w:left w:val="single" w:color="B8C6D6" w:sz="14" w:space="10"/>
        </w:pBdr>
        <w:spacing w:after="16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Cortesia</w:t>
      </w:r>
    </w:p>
    <w:p>
      <w:pPr>
        <w:pStyle w:val="Heading4"/>
        <w:spacing w:after="80" w:before="200"/>
      </w:pPr>
      <w:r>
        <w:rPr>
          <w:rFonts w:ascii="Calibri" w:cs="Calibri" w:eastAsia="Calibri" w:hAnsi="Calibri"/>
          <w:b/>
          <w:bCs/>
          <w:color w:val="000000"/>
          <w:sz w:val="20"/>
          <w:szCs w:val="20"/>
        </w:rPr>
        <w:t xml:space="preserve">Transferência Bahamas (sem troca de agente) — </w:t>
      </w:r>
      <w:r>
        <w:rPr>
          <w:rFonts w:ascii="Calibri" w:cs="Calibri" w:eastAsia="Calibri" w:hAnsi="Calibri"/>
          <w:b/>
          <w:bCs/>
          <w:color w:val="000000"/>
          <w:sz w:val="20"/>
          <w:szCs w:val="20"/>
        </w:rPr>
        <w:t xml:space="preserve">Cortesia (USD 0)</w:t>
      </w:r>
    </w:p>
    <w:p>
      <w:pPr>
        <w:spacing w:after="120" w:before="60"/>
      </w:pPr>
      <w:r>
        <w:rPr>
          <w:rFonts w:ascii="Consolas" w:cs="Consolas" w:eastAsia="Consolas" w:hAnsi="Consolas"/>
          <w:color w:val="2E6DA4"/>
          <w:sz w:val="18"/>
          <w:szCs w:val="18"/>
        </w:rPr>
        <w:t xml:space="preserve">transBahamasRA</w:t>
      </w:r>
    </w:p>
    <w:p>
      <w:pPr>
        <w:pStyle w:val="ListParagraph"/>
        <w:numPr>
          <w:ilvl w:val="0"/>
          <w:numId w:val="2"/>
        </w:numPr>
        <w:spacing w:after="20" w:before="20"/>
      </w:pPr>
      <w:r>
        <w:rPr>
          <w:rFonts w:ascii="Calibri" w:cs="Calibri" w:eastAsia="Calibri" w:hAnsi="Calibri"/>
          <w:color w:val="000000"/>
          <w:sz w:val="20"/>
          <w:szCs w:val="20"/>
        </w:rPr>
        <w:t xml:space="preserve">Transferência administrativa sem alteração de agente registrado</w:t>
      </w:r>
    </w:p>
    <w:p>
      <w:pPr>
        <w:pBdr>
          <w:left w:val="single" w:color="B8C6D6" w:sz="14" w:space="10"/>
        </w:pBdr>
        <w:spacing w:after="16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Cortesia</w:t>
      </w:r>
    </w:p>
    <w:p>
      <w:pPr>
        <w:pStyle w:val="Heading4"/>
        <w:spacing w:after="80" w:before="200"/>
      </w:pPr>
      <w:r>
        <w:rPr>
          <w:rFonts w:ascii="Calibri" w:cs="Calibri" w:eastAsia="Calibri" w:hAnsi="Calibri"/>
          <w:b/>
          <w:bCs/>
          <w:color w:val="000000"/>
          <w:sz w:val="20"/>
          <w:szCs w:val="20"/>
        </w:rPr>
        <w:t xml:space="preserve">Transferência Cayman (sem troca de agente) — </w:t>
      </w:r>
      <w:r>
        <w:rPr>
          <w:rFonts w:ascii="Calibri" w:cs="Calibri" w:eastAsia="Calibri" w:hAnsi="Calibri"/>
          <w:b/>
          <w:bCs/>
          <w:color w:val="000000"/>
          <w:sz w:val="20"/>
          <w:szCs w:val="20"/>
        </w:rPr>
        <w:t xml:space="preserve">Cortesia (USD 0)</w:t>
      </w:r>
    </w:p>
    <w:p>
      <w:pPr>
        <w:spacing w:after="120" w:before="60"/>
      </w:pPr>
      <w:r>
        <w:rPr>
          <w:rFonts w:ascii="Consolas" w:cs="Consolas" w:eastAsia="Consolas" w:hAnsi="Consolas"/>
          <w:color w:val="2E6DA4"/>
          <w:sz w:val="18"/>
          <w:szCs w:val="18"/>
        </w:rPr>
        <w:t xml:space="preserve">transCaymanRA</w:t>
      </w:r>
    </w:p>
    <w:p>
      <w:pPr>
        <w:pStyle w:val="ListParagraph"/>
        <w:numPr>
          <w:ilvl w:val="0"/>
          <w:numId w:val="2"/>
        </w:numPr>
        <w:spacing w:after="20" w:before="20"/>
      </w:pPr>
      <w:r>
        <w:rPr>
          <w:rFonts w:ascii="Calibri" w:cs="Calibri" w:eastAsia="Calibri" w:hAnsi="Calibri"/>
          <w:color w:val="000000"/>
          <w:sz w:val="20"/>
          <w:szCs w:val="20"/>
        </w:rPr>
        <w:t xml:space="preserve">Transferência administrativa sem alteração de agente registrado</w:t>
      </w:r>
    </w:p>
    <w:p>
      <w:pPr>
        <w:pBdr>
          <w:left w:val="single" w:color="B8C6D6" w:sz="14" w:space="10"/>
        </w:pBdr>
        <w:spacing w:after="16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Cortesia</w:t>
      </w:r>
    </w:p>
    <w:p>
      <w:pPr>
        <w:pStyle w:val="Heading4"/>
        <w:spacing w:after="80" w:before="200"/>
      </w:pPr>
      <w:r>
        <w:rPr>
          <w:rFonts w:ascii="Calibri" w:cs="Calibri" w:eastAsia="Calibri" w:hAnsi="Calibri"/>
          <w:b/>
          <w:bCs/>
          <w:color w:val="000000"/>
          <w:sz w:val="20"/>
          <w:szCs w:val="20"/>
        </w:rPr>
        <w:t xml:space="preserve">Transferência Nevis (sem troca de agente) — </w:t>
      </w:r>
      <w:r>
        <w:rPr>
          <w:rFonts w:ascii="Calibri" w:cs="Calibri" w:eastAsia="Calibri" w:hAnsi="Calibri"/>
          <w:b/>
          <w:bCs/>
          <w:color w:val="000000"/>
          <w:sz w:val="20"/>
          <w:szCs w:val="20"/>
        </w:rPr>
        <w:t xml:space="preserve">Cortesia (USD 0)</w:t>
      </w:r>
    </w:p>
    <w:p>
      <w:pPr>
        <w:spacing w:after="120" w:before="60"/>
      </w:pPr>
      <w:r>
        <w:rPr>
          <w:rFonts w:ascii="Consolas" w:cs="Consolas" w:eastAsia="Consolas" w:hAnsi="Consolas"/>
          <w:color w:val="2E6DA4"/>
          <w:sz w:val="18"/>
          <w:szCs w:val="18"/>
        </w:rPr>
        <w:t xml:space="preserve">transNevisRA</w:t>
      </w:r>
    </w:p>
    <w:p>
      <w:pPr>
        <w:pStyle w:val="ListParagraph"/>
        <w:numPr>
          <w:ilvl w:val="0"/>
          <w:numId w:val="2"/>
        </w:numPr>
        <w:spacing w:after="20" w:before="20"/>
      </w:pPr>
      <w:r>
        <w:rPr>
          <w:rFonts w:ascii="Calibri" w:cs="Calibri" w:eastAsia="Calibri" w:hAnsi="Calibri"/>
          <w:color w:val="000000"/>
          <w:sz w:val="20"/>
          <w:szCs w:val="20"/>
        </w:rPr>
        <w:t xml:space="preserve">Transferência administrativa sem alteração de agente registrado</w:t>
      </w:r>
    </w:p>
    <w:p>
      <w:pPr>
        <w:pBdr>
          <w:left w:val="single" w:color="B8C6D6" w:sz="14" w:space="10"/>
        </w:pBdr>
        <w:spacing w:after="16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Cortesia</w:t>
      </w:r>
    </w:p>
    <w:p>
      <w:pPr>
        <w:pStyle w:val="Heading4"/>
        <w:spacing w:after="80" w:before="200"/>
      </w:pPr>
      <w:r>
        <w:rPr>
          <w:rFonts w:ascii="Calibri" w:cs="Calibri" w:eastAsia="Calibri" w:hAnsi="Calibri"/>
          <w:b/>
          <w:bCs/>
          <w:color w:val="000000"/>
          <w:sz w:val="20"/>
          <w:szCs w:val="20"/>
        </w:rPr>
        <w:t xml:space="preserve">Transferência FL LLC (sem troca de agente) — </w:t>
      </w:r>
      <w:r>
        <w:rPr>
          <w:rFonts w:ascii="Calibri" w:cs="Calibri" w:eastAsia="Calibri" w:hAnsi="Calibri"/>
          <w:b/>
          <w:bCs/>
          <w:color w:val="000000"/>
          <w:sz w:val="20"/>
          <w:szCs w:val="20"/>
        </w:rPr>
        <w:t xml:space="preserve">Cortesia (USD 0)</w:t>
      </w:r>
    </w:p>
    <w:p>
      <w:pPr>
        <w:spacing w:after="120" w:before="60"/>
      </w:pPr>
      <w:r>
        <w:rPr>
          <w:rFonts w:ascii="Consolas" w:cs="Consolas" w:eastAsia="Consolas" w:hAnsi="Consolas"/>
          <w:color w:val="2E6DA4"/>
          <w:sz w:val="18"/>
          <w:szCs w:val="18"/>
        </w:rPr>
        <w:t xml:space="preserve">transFLRA</w:t>
      </w:r>
    </w:p>
    <w:p>
      <w:pPr>
        <w:pStyle w:val="ListParagraph"/>
        <w:numPr>
          <w:ilvl w:val="0"/>
          <w:numId w:val="2"/>
        </w:numPr>
        <w:spacing w:after="20" w:before="20"/>
      </w:pPr>
      <w:r>
        <w:rPr>
          <w:rFonts w:ascii="Calibri" w:cs="Calibri" w:eastAsia="Calibri" w:hAnsi="Calibri"/>
          <w:color w:val="000000"/>
          <w:sz w:val="20"/>
          <w:szCs w:val="20"/>
        </w:rPr>
        <w:t xml:space="preserve">Transferência administrativa sem alteração de agente registrado</w:t>
      </w:r>
    </w:p>
    <w:p>
      <w:pPr>
        <w:pBdr>
          <w:left w:val="single" w:color="B8C6D6" w:sz="14" w:space="10"/>
        </w:pBdr>
        <w:spacing w:after="16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Cortesia</w:t>
      </w:r>
    </w:p>
    <w:p>
      <w:pPr>
        <w:pStyle w:val="Heading4"/>
        <w:spacing w:after="80" w:before="200"/>
      </w:pPr>
      <w:r>
        <w:rPr>
          <w:rFonts w:ascii="Calibri" w:cs="Calibri" w:eastAsia="Calibri" w:hAnsi="Calibri"/>
          <w:b/>
          <w:bCs/>
          <w:color w:val="000000"/>
          <w:sz w:val="20"/>
          <w:szCs w:val="20"/>
        </w:rPr>
        <w:t xml:space="preserve">Transferência DE LLC (sem troca de agente) — </w:t>
      </w:r>
      <w:r>
        <w:rPr>
          <w:rFonts w:ascii="Calibri" w:cs="Calibri" w:eastAsia="Calibri" w:hAnsi="Calibri"/>
          <w:b/>
          <w:bCs/>
          <w:color w:val="000000"/>
          <w:sz w:val="20"/>
          <w:szCs w:val="20"/>
        </w:rPr>
        <w:t xml:space="preserve">Cortesia (USD 0)</w:t>
      </w:r>
    </w:p>
    <w:p>
      <w:pPr>
        <w:spacing w:after="120" w:before="60"/>
      </w:pPr>
      <w:r>
        <w:rPr>
          <w:rFonts w:ascii="Consolas" w:cs="Consolas" w:eastAsia="Consolas" w:hAnsi="Consolas"/>
          <w:color w:val="2E6DA4"/>
          <w:sz w:val="18"/>
          <w:szCs w:val="18"/>
        </w:rPr>
        <w:t xml:space="preserve">transDERA</w:t>
      </w:r>
    </w:p>
    <w:p>
      <w:pPr>
        <w:pStyle w:val="ListParagraph"/>
        <w:numPr>
          <w:ilvl w:val="0"/>
          <w:numId w:val="2"/>
        </w:numPr>
        <w:spacing w:after="20" w:before="20"/>
      </w:pPr>
      <w:r>
        <w:rPr>
          <w:rFonts w:ascii="Calibri" w:cs="Calibri" w:eastAsia="Calibri" w:hAnsi="Calibri"/>
          <w:color w:val="000000"/>
          <w:sz w:val="20"/>
          <w:szCs w:val="20"/>
        </w:rPr>
        <w:t xml:space="preserve">Transferência administrativa sem alteração de agente registrado</w:t>
      </w:r>
    </w:p>
    <w:p>
      <w:pPr>
        <w:pBdr>
          <w:left w:val="single" w:color="B8C6D6" w:sz="14" w:space="10"/>
        </w:pBdr>
        <w:spacing w:after="16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Cortesia</w:t>
      </w:r>
    </w:p>
    <w:p>
      <w:pPr>
        <w:pBdr>
          <w:left w:val="single" w:color="B8C6D6" w:sz="14" w:space="10"/>
        </w:pBdr>
        <w:spacing w:after="160" w:before="120"/>
        <w:ind w:left="340"/>
      </w:pPr>
      <w:r>
        <w:rPr>
          <w:rFonts w:ascii="Calibri" w:cs="Calibri" w:eastAsia="Calibri" w:hAnsi="Calibri"/>
          <w:i/>
          <w:iCs/>
          <w:color w:val="595959"/>
          <w:sz w:val="19"/>
          <w:szCs w:val="19"/>
        </w:rPr>
        <w:t xml:space="preserve">Serviço prestado sem cobrança. </w:t>
      </w:r>
      <w:r>
        <w:rPr>
          <w:rFonts w:ascii="Calibri" w:cs="Calibri" w:eastAsia="Calibri" w:hAnsi="Calibri"/>
          <w:b/>
          <w:bCs/>
          <w:i/>
          <w:iCs/>
          <w:color w:val="595959"/>
          <w:sz w:val="19"/>
          <w:szCs w:val="19"/>
        </w:rPr>
        <w:t xml:space="preserve">Aparece na proposta como "Cortesia".</w:t>
      </w:r>
    </w:p>
    <w:p>
      <w:pPr>
        <w:pStyle w:val="Heading2"/>
        <w:spacing w:after="140" w:before="340"/>
      </w:pPr>
      <w:r>
        <w:rPr>
          <w:rFonts w:ascii="Calibri" w:cs="Calibri" w:eastAsia="Calibri" w:hAnsi="Calibri"/>
          <w:b/>
          <w:bCs/>
          <w:color w:val="1F3A5F"/>
          <w:sz w:val="26"/>
          <w:szCs w:val="26"/>
        </w:rPr>
        <w:t xml:space="preserve">4. Sucessão</w:t>
      </w:r>
    </w:p>
    <w:p>
      <w:pPr>
        <w:pStyle w:val="Heading4"/>
        <w:spacing w:after="80" w:before="200"/>
      </w:pPr>
      <w:r>
        <w:rPr>
          <w:rFonts w:ascii="Calibri" w:cs="Calibri" w:eastAsia="Calibri" w:hAnsi="Calibri"/>
          <w:b/>
          <w:bCs/>
          <w:color w:val="000000"/>
          <w:sz w:val="20"/>
          <w:szCs w:val="20"/>
        </w:rPr>
        <w:t xml:space="preserve">Elaboração de Testamento BVI — </w:t>
      </w:r>
      <w:r>
        <w:rPr>
          <w:rFonts w:ascii="Calibri" w:cs="Calibri" w:eastAsia="Calibri" w:hAnsi="Calibri"/>
          <w:b/>
          <w:bCs/>
          <w:color w:val="000000"/>
          <w:sz w:val="20"/>
          <w:szCs w:val="20"/>
        </w:rPr>
        <w:t xml:space="preserve">USD 5,500</w:t>
      </w:r>
    </w:p>
    <w:p>
      <w:pPr>
        <w:spacing w:after="120" w:before="60"/>
      </w:pPr>
      <w:r>
        <w:rPr>
          <w:rFonts w:ascii="Consolas" w:cs="Consolas" w:eastAsia="Consolas" w:hAnsi="Consolas"/>
          <w:color w:val="2E6DA4"/>
          <w:sz w:val="18"/>
          <w:szCs w:val="18"/>
        </w:rPr>
        <w:t xml:space="preserve">will</w:t>
      </w:r>
    </w:p>
    <w:p>
      <w:pPr>
        <w:pStyle w:val="ListParagraph"/>
        <w:numPr>
          <w:ilvl w:val="0"/>
          <w:numId w:val="2"/>
        </w:numPr>
        <w:spacing w:after="20" w:before="20"/>
      </w:pPr>
      <w:r>
        <w:rPr>
          <w:rFonts w:ascii="Calibri" w:cs="Calibri" w:eastAsia="Calibri" w:hAnsi="Calibri"/>
          <w:color w:val="000000"/>
          <w:sz w:val="20"/>
          <w:szCs w:val="20"/>
        </w:rPr>
        <w:t xml:space="preserve">Testamento (non-simple Will), contemplando até duas (2) rodadas de revisão. Caso as premissas iniciais sejam alteradas, exijam revisões adicionais ou haja necessidade de incluir disposições específicas e/ou mecanismos de sucessão, honorários adicionais serão aplicados e discutidos oportunamente.</w:t>
      </w:r>
    </w:p>
    <w:p>
      <w:pPr>
        <w:pStyle w:val="ListParagraph"/>
        <w:numPr>
          <w:ilvl w:val="0"/>
          <w:numId w:val="2"/>
        </w:numPr>
        <w:spacing w:after="20" w:before="20"/>
      </w:pPr>
      <w:r>
        <w:rPr>
          <w:rFonts w:ascii="Calibri" w:cs="Calibri" w:eastAsia="Calibri" w:hAnsi="Calibri"/>
          <w:color w:val="000000"/>
          <w:sz w:val="20"/>
          <w:szCs w:val="20"/>
        </w:rPr>
        <w:t xml:space="preserve">Obtenção de Certificate of Good Standing</w:t>
      </w:r>
    </w:p>
    <w:p>
      <w:pPr>
        <w:pStyle w:val="ListParagraph"/>
        <w:numPr>
          <w:ilvl w:val="0"/>
          <w:numId w:val="2"/>
        </w:numPr>
        <w:spacing w:after="20" w:before="20"/>
      </w:pPr>
      <w:r>
        <w:rPr>
          <w:rFonts w:ascii="Calibri" w:cs="Calibri" w:eastAsia="Calibri" w:hAnsi="Calibri"/>
          <w:color w:val="000000"/>
          <w:sz w:val="20"/>
          <w:szCs w:val="20"/>
        </w:rPr>
        <w:t xml:space="preserve">Obtenção de Certificate of Incumbency</w:t>
      </w:r>
    </w:p>
    <w:p>
      <w:pPr>
        <w:pStyle w:val="ListParagraph"/>
        <w:numPr>
          <w:ilvl w:val="0"/>
          <w:numId w:val="2"/>
        </w:numPr>
        <w:spacing w:after="20" w:before="20"/>
      </w:pPr>
      <w:r>
        <w:rPr>
          <w:rFonts w:ascii="Calibri" w:cs="Calibri" w:eastAsia="Calibri" w:hAnsi="Calibri"/>
          <w:color w:val="000000"/>
          <w:sz w:val="20"/>
          <w:szCs w:val="20"/>
        </w:rPr>
        <w:t xml:space="preserve">Entrega da versão final em formato digital e físico, acompanhada de orientações formais sobre assinatura e guarda do documento</w:t>
      </w:r>
    </w:p>
    <w:p>
      <w:pPr>
        <w:pStyle w:val="ListParagraph"/>
        <w:numPr>
          <w:ilvl w:val="0"/>
          <w:numId w:val="2"/>
        </w:numPr>
        <w:spacing w:after="20" w:before="20"/>
      </w:pPr>
      <w:r>
        <w:rPr>
          <w:rFonts w:ascii="Calibri" w:cs="Calibri" w:eastAsia="Calibri" w:hAnsi="Calibri"/>
          <w:color w:val="000000"/>
          <w:sz w:val="20"/>
          <w:szCs w:val="20"/>
        </w:rPr>
        <w:t xml:space="preserve">Quaisquer despesas incorridas no âmbito deste trabalho serão reembolsadas imediatamente.</w:t>
      </w:r>
    </w:p>
    <w:p>
      <w:pPr>
        <w:pBdr>
          <w:left w:val="single" w:color="B8C6D6" w:sz="14" w:space="10"/>
        </w:pBdr>
        <w:spacing w:after="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A assinatura do Testamento deverá ocorrer no país de residência fiscal do testador, seguindo as formalidades locais.  </w:t>
      </w:r>
    </w:p>
    <w:p>
      <w:pPr>
        <w:pBdr>
          <w:left w:val="single" w:color="B8C6D6" w:sz="14" w:space="10"/>
        </w:pBdr>
        <w:spacing w:after="0" w:before="0"/>
        <w:ind w:left="340"/>
      </w:pPr>
      <w:r>
        <w:rPr>
          <w:rFonts w:ascii="Calibri" w:cs="Calibri" w:eastAsia="Calibri" w:hAnsi="Calibri"/>
          <w:i/>
          <w:iCs/>
          <w:color w:val="595959"/>
          <w:sz w:val="19"/>
          <w:szCs w:val="19"/>
        </w:rPr>
        <w:t xml:space="preserve">Não há registro público obrigatório nas BVI, mas recomenda-se informar os executores sobre o local de guarda do documento original.  </w:t>
      </w:r>
    </w:p>
    <w:p>
      <w:pPr>
        <w:pBdr>
          <w:left w:val="single" w:color="B8C6D6" w:sz="14" w:space="10"/>
        </w:pBdr>
        <w:spacing w:after="0" w:before="0"/>
        <w:ind w:left="340"/>
      </w:pPr>
      <w:r>
        <w:rPr>
          <w:rFonts w:ascii="Calibri" w:cs="Calibri" w:eastAsia="Calibri" w:hAnsi="Calibri"/>
          <w:i/>
          <w:iCs/>
          <w:color w:val="595959"/>
          <w:sz w:val="19"/>
          <w:szCs w:val="19"/>
        </w:rPr>
        <w:t xml:space="preserve">Add-on opcional: Affidavit of Witness — USD 1.000,00 adicional. Recomendamos que as testemunhas assinem o Affidavit of Witness com antecedência, documento obrigatório para fins de probate.  </w:t>
      </w:r>
    </w:p>
    <w:p>
      <w:pPr>
        <w:pBdr>
          <w:left w:val="single" w:color="B8C6D6" w:sz="14" w:space="10"/>
        </w:pBdr>
        <w:spacing w:after="160" w:before="0"/>
        <w:ind w:left="340"/>
      </w:pPr>
      <w:r>
        <w:rPr>
          <w:rFonts w:ascii="Calibri" w:cs="Calibri" w:eastAsia="Calibri" w:hAnsi="Calibri"/>
          <w:i/>
          <w:iCs/>
          <w:color w:val="595959"/>
          <w:sz w:val="19"/>
          <w:szCs w:val="19"/>
        </w:rPr>
        <w:t xml:space="preserve">Os honorários profissionais são estimados inicialmente em USD 5.500,00. Caso as premissas iniciais sejam alteradas ou haja necessidade de incluir disposições específicas e/ou mecanismos de sucessão adicionais, os honorários serão revisados e discutidos oportunamente.</w:t>
      </w:r>
    </w:p>
    <w:p>
      <w:pPr>
        <w:pStyle w:val="Heading2"/>
        <w:spacing w:after="140" w:before="340"/>
      </w:pPr>
      <w:r>
        <w:rPr>
          <w:rFonts w:ascii="Calibri" w:cs="Calibri" w:eastAsia="Calibri" w:hAnsi="Calibri"/>
          <w:b/>
          <w:bCs/>
          <w:color w:val="1F3A5F"/>
          <w:sz w:val="26"/>
          <w:szCs w:val="26"/>
        </w:rPr>
        <w:t xml:space="preserve">5. Add-ons</w:t>
      </w:r>
    </w:p>
    <w:p>
      <w:pPr>
        <w:pStyle w:val="Heading4"/>
        <w:spacing w:after="80" w:before="200"/>
      </w:pPr>
      <w:r>
        <w:rPr>
          <w:rFonts w:ascii="Calibri" w:cs="Calibri" w:eastAsia="Calibri" w:hAnsi="Calibri"/>
          <w:b/>
          <w:bCs/>
          <w:color w:val="000000"/>
          <w:sz w:val="20"/>
          <w:szCs w:val="20"/>
        </w:rPr>
        <w:t xml:space="preserve">Constituição Share Trust — </w:t>
      </w:r>
      <w:r>
        <w:rPr>
          <w:rFonts w:ascii="Calibri" w:cs="Calibri" w:eastAsia="Calibri" w:hAnsi="Calibri"/>
          <w:b/>
          <w:bCs/>
          <w:color w:val="000000"/>
          <w:sz w:val="20"/>
          <w:szCs w:val="20"/>
        </w:rPr>
        <w:t xml:space="preserve">USD 2,700</w:t>
      </w:r>
    </w:p>
    <w:p>
      <w:pPr>
        <w:spacing w:after="120" w:before="60"/>
      </w:pPr>
      <w:r>
        <w:rPr>
          <w:rFonts w:ascii="Consolas" w:cs="Consolas" w:eastAsia="Consolas" w:hAnsi="Consolas"/>
          <w:color w:val="2E6DA4"/>
          <w:sz w:val="18"/>
          <w:szCs w:val="18"/>
        </w:rPr>
        <w:t xml:space="preserve">trust</w:t>
      </w:r>
    </w:p>
    <w:p>
      <w:pPr>
        <w:pStyle w:val="ListParagraph"/>
        <w:numPr>
          <w:ilvl w:val="0"/>
          <w:numId w:val="2"/>
        </w:numPr>
        <w:spacing w:after="20" w:before="20"/>
      </w:pPr>
      <w:r>
        <w:rPr>
          <w:rFonts w:ascii="Calibri" w:cs="Calibri" w:eastAsia="Calibri" w:hAnsi="Calibri"/>
          <w:color w:val="000000"/>
          <w:sz w:val="20"/>
          <w:szCs w:val="20"/>
        </w:rPr>
        <w:t xml:space="preserve">Estruturação do Share Trust de acordo com as leis de British Virgin Islands</w:t>
      </w:r>
    </w:p>
    <w:p>
      <w:pPr>
        <w:pStyle w:val="ListParagraph"/>
        <w:numPr>
          <w:ilvl w:val="0"/>
          <w:numId w:val="2"/>
        </w:numPr>
        <w:spacing w:after="20" w:before="20"/>
      </w:pPr>
      <w:r>
        <w:rPr>
          <w:rFonts w:ascii="Calibri" w:cs="Calibri" w:eastAsia="Calibri" w:hAnsi="Calibri"/>
          <w:color w:val="000000"/>
          <w:sz w:val="20"/>
          <w:szCs w:val="20"/>
        </w:rPr>
        <w:t xml:space="preserve">Redação e personalização do Trust com direito a até duas (2) rodadas de revisão</w:t>
      </w:r>
    </w:p>
    <w:p>
      <w:pPr>
        <w:pStyle w:val="ListParagraph"/>
        <w:numPr>
          <w:ilvl w:val="0"/>
          <w:numId w:val="2"/>
        </w:numPr>
        <w:spacing w:after="20" w:before="20"/>
      </w:pPr>
      <w:r>
        <w:rPr>
          <w:rFonts w:ascii="Calibri" w:cs="Calibri" w:eastAsia="Calibri" w:hAnsi="Calibri"/>
          <w:color w:val="000000"/>
          <w:sz w:val="20"/>
          <w:szCs w:val="20"/>
        </w:rPr>
        <w:t xml:space="preserve">Obtenção da assinatura do Trustee, que será o próprio Agente Registrado</w:t>
      </w:r>
    </w:p>
    <w:p>
      <w:pPr>
        <w:pStyle w:val="ListParagraph"/>
        <w:numPr>
          <w:ilvl w:val="0"/>
          <w:numId w:val="2"/>
        </w:numPr>
        <w:spacing w:after="20" w:before="20"/>
      </w:pPr>
      <w:r>
        <w:rPr>
          <w:rFonts w:ascii="Calibri" w:cs="Calibri" w:eastAsia="Calibri" w:hAnsi="Calibri"/>
          <w:color w:val="000000"/>
          <w:sz w:val="20"/>
          <w:szCs w:val="20"/>
        </w:rPr>
        <w:t xml:space="preserve">Registro e conformidade com normas locais, se aplicável</w:t>
      </w:r>
    </w:p>
    <w:p>
      <w:pPr>
        <w:pStyle w:val="ListParagraph"/>
        <w:numPr>
          <w:ilvl w:val="0"/>
          <w:numId w:val="2"/>
        </w:numPr>
        <w:spacing w:after="20" w:before="20"/>
      </w:pPr>
      <w:r>
        <w:rPr>
          <w:rFonts w:ascii="Calibri" w:cs="Calibri" w:eastAsia="Calibri" w:hAnsi="Calibri"/>
          <w:color w:val="000000"/>
          <w:sz w:val="20"/>
          <w:szCs w:val="20"/>
        </w:rPr>
        <w:t xml:space="preserve">Digitalização e fornecimento dos documentos do Trust</w:t>
      </w:r>
    </w:p>
    <w:p>
      <w:pPr>
        <w:pBdr>
          <w:left w:val="single" w:color="B8C6D6" w:sz="14" w:space="10"/>
        </w:pBdr>
        <w:spacing w:after="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O trust será estruturado como um trust revogável, restrito exclusivamente às ações da BVI Company.  </w:t>
      </w:r>
    </w:p>
    <w:p>
      <w:pPr>
        <w:pBdr>
          <w:left w:val="single" w:color="B8C6D6" w:sz="14" w:space="10"/>
        </w:pBdr>
        <w:spacing w:after="160" w:before="0"/>
        <w:ind w:left="340"/>
      </w:pPr>
      <w:r>
        <w:rPr>
          <w:rFonts w:ascii="Calibri" w:cs="Calibri" w:eastAsia="Calibri" w:hAnsi="Calibri"/>
          <w:i/>
          <w:iCs/>
          <w:color w:val="595959"/>
          <w:sz w:val="19"/>
          <w:szCs w:val="19"/>
        </w:rPr>
        <w:t xml:space="preserve">Caso deseje incluir outros ativos, tornar o trust irrevogável, ou aplicar cláusulas específicas adicionais, será apresentado orçamento complementar.</w:t>
      </w:r>
    </w:p>
    <w:p>
      <w:pPr>
        <w:pStyle w:val="Heading4"/>
        <w:spacing w:after="80" w:before="200"/>
      </w:pPr>
      <w:r>
        <w:rPr>
          <w:rFonts w:ascii="Calibri" w:cs="Calibri" w:eastAsia="Calibri" w:hAnsi="Calibri"/>
          <w:b/>
          <w:bCs/>
          <w:color w:val="000000"/>
          <w:sz w:val="20"/>
          <w:szCs w:val="20"/>
        </w:rPr>
        <w:t xml:space="preserve">Notarização e Apostilamento — </w:t>
      </w:r>
      <w:r>
        <w:rPr>
          <w:rFonts w:ascii="Calibri" w:cs="Calibri" w:eastAsia="Calibri" w:hAnsi="Calibri"/>
          <w:b/>
          <w:bCs/>
          <w:color w:val="000000"/>
          <w:sz w:val="20"/>
          <w:szCs w:val="20"/>
        </w:rPr>
        <w:t xml:space="preserve">USD 1,500</w:t>
      </w:r>
    </w:p>
    <w:p>
      <w:pPr>
        <w:spacing w:after="120" w:before="60"/>
      </w:pPr>
      <w:r>
        <w:rPr>
          <w:rFonts w:ascii="Consolas" w:cs="Consolas" w:eastAsia="Consolas" w:hAnsi="Consolas"/>
          <w:color w:val="2E6DA4"/>
          <w:sz w:val="18"/>
          <w:szCs w:val="18"/>
        </w:rPr>
        <w:t xml:space="preserve">apostila</w:t>
      </w:r>
    </w:p>
    <w:p>
      <w:pPr>
        <w:pStyle w:val="ListParagraph"/>
        <w:numPr>
          <w:ilvl w:val="0"/>
          <w:numId w:val="2"/>
        </w:numPr>
        <w:spacing w:after="20" w:before="20"/>
      </w:pPr>
      <w:r>
        <w:rPr>
          <w:rFonts w:ascii="Calibri" w:cs="Calibri" w:eastAsia="Calibri" w:hAnsi="Calibri"/>
          <w:color w:val="000000"/>
          <w:sz w:val="20"/>
          <w:szCs w:val="20"/>
        </w:rPr>
        <w:t xml:space="preserve">Adequação de formato ou conteúdo dos documentos, conforme exigências para notarização e apostilamento</w:t>
      </w:r>
    </w:p>
    <w:p>
      <w:pPr>
        <w:pStyle w:val="ListParagraph"/>
        <w:numPr>
          <w:ilvl w:val="0"/>
          <w:numId w:val="2"/>
        </w:numPr>
        <w:spacing w:after="20" w:before="20"/>
      </w:pPr>
      <w:r>
        <w:rPr>
          <w:rFonts w:ascii="Calibri" w:cs="Calibri" w:eastAsia="Calibri" w:hAnsi="Calibri"/>
          <w:color w:val="000000"/>
          <w:sz w:val="20"/>
          <w:szCs w:val="20"/>
        </w:rPr>
        <w:t xml:space="preserve">Gestão do processo de notarização e apostilamento junto ao órgão competente</w:t>
      </w:r>
    </w:p>
    <w:p>
      <w:pPr>
        <w:pStyle w:val="ListParagraph"/>
        <w:numPr>
          <w:ilvl w:val="0"/>
          <w:numId w:val="2"/>
        </w:numPr>
        <w:spacing w:after="20" w:before="20"/>
      </w:pPr>
      <w:r>
        <w:rPr>
          <w:rFonts w:ascii="Calibri" w:cs="Calibri" w:eastAsia="Calibri" w:hAnsi="Calibri"/>
          <w:color w:val="000000"/>
          <w:sz w:val="20"/>
          <w:szCs w:val="20"/>
        </w:rPr>
        <w:t xml:space="preserve">Envio dos documentos ao cliente final, via courier ou FedEx</w:t>
      </w:r>
    </w:p>
    <w:p>
      <w:pPr>
        <w:pStyle w:val="Heading4"/>
        <w:spacing w:after="80" w:before="200"/>
      </w:pPr>
      <w:r>
        <w:rPr>
          <w:rFonts w:ascii="Calibri" w:cs="Calibri" w:eastAsia="Calibri" w:hAnsi="Calibri"/>
          <w:b/>
          <w:bCs/>
          <w:color w:val="000000"/>
          <w:sz w:val="20"/>
          <w:szCs w:val="20"/>
        </w:rPr>
        <w:t xml:space="preserve">Mailing Address (Opcional) — </w:t>
      </w:r>
      <w:r>
        <w:rPr>
          <w:rFonts w:ascii="Calibri" w:cs="Calibri" w:eastAsia="Calibri" w:hAnsi="Calibri"/>
          <w:b/>
          <w:bCs/>
          <w:color w:val="000000"/>
          <w:sz w:val="20"/>
          <w:szCs w:val="20"/>
        </w:rPr>
        <w:t xml:space="preserve">USD 300</w:t>
      </w:r>
    </w:p>
    <w:p>
      <w:pPr>
        <w:spacing w:after="120" w:before="60"/>
      </w:pPr>
      <w:r>
        <w:rPr>
          <w:rFonts w:ascii="Consolas" w:cs="Consolas" w:eastAsia="Consolas" w:hAnsi="Consolas"/>
          <w:color w:val="2E6DA4"/>
          <w:sz w:val="18"/>
          <w:szCs w:val="18"/>
        </w:rPr>
        <w:t xml:space="preserve">mailing</w:t>
      </w:r>
    </w:p>
    <w:p>
      <w:pPr>
        <w:pStyle w:val="ListParagraph"/>
        <w:numPr>
          <w:ilvl w:val="0"/>
          <w:numId w:val="2"/>
        </w:numPr>
        <w:spacing w:after="20" w:before="20"/>
      </w:pPr>
      <w:r>
        <w:rPr>
          <w:rFonts w:ascii="Calibri" w:cs="Calibri" w:eastAsia="Calibri" w:hAnsi="Calibri"/>
          <w:color w:val="000000"/>
          <w:sz w:val="20"/>
          <w:szCs w:val="20"/>
        </w:rPr>
        <w:t xml:space="preserve">Utilização do endereço da FGC como endereço oficial da empresa</w:t>
      </w:r>
    </w:p>
    <w:p>
      <w:pPr>
        <w:pStyle w:val="ListParagraph"/>
        <w:numPr>
          <w:ilvl w:val="0"/>
          <w:numId w:val="2"/>
        </w:numPr>
        <w:spacing w:after="20" w:before="20"/>
      </w:pPr>
      <w:r>
        <w:rPr>
          <w:rFonts w:ascii="Calibri" w:cs="Calibri" w:eastAsia="Calibri" w:hAnsi="Calibri"/>
          <w:color w:val="000000"/>
          <w:sz w:val="20"/>
          <w:szCs w:val="20"/>
        </w:rPr>
        <w:t xml:space="preserve">Recebimento das correspondências</w:t>
      </w:r>
    </w:p>
    <w:p>
      <w:pPr>
        <w:pStyle w:val="ListParagraph"/>
        <w:numPr>
          <w:ilvl w:val="0"/>
          <w:numId w:val="2"/>
        </w:numPr>
        <w:spacing w:after="20" w:before="20"/>
      </w:pPr>
      <w:r>
        <w:rPr>
          <w:rFonts w:ascii="Calibri" w:cs="Calibri" w:eastAsia="Calibri" w:hAnsi="Calibri"/>
          <w:color w:val="000000"/>
          <w:sz w:val="20"/>
          <w:szCs w:val="20"/>
        </w:rPr>
        <w:t xml:space="preserve">Digitalização e encaminhamento das correspondências recebidas por e-mail</w:t>
      </w:r>
    </w:p>
    <w:p>
      <w:pPr>
        <w:pBdr>
          <w:left w:val="single" w:color="B8C6D6" w:sz="14" w:space="10"/>
        </w:pBdr>
        <w:spacing w:after="16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Qualquer correspondência recebida no endereço da FGC será armazenada por um período de até 30 dias. Após esse prazo, as correspondências serão descartadas, salvo instrução formal do cliente dentro desse período.</w:t>
      </w:r>
    </w:p>
    <w:p>
      <w:pPr>
        <w:pStyle w:val="Heading2"/>
        <w:spacing w:after="140" w:before="340"/>
      </w:pPr>
      <w:r>
        <w:rPr>
          <w:rFonts w:ascii="Calibri" w:cs="Calibri" w:eastAsia="Calibri" w:hAnsi="Calibri"/>
          <w:b/>
          <w:bCs/>
          <w:color w:val="1F3A5F"/>
          <w:sz w:val="26"/>
          <w:szCs w:val="26"/>
        </w:rPr>
        <w:t xml:space="preserve">6. Contabilidade e Obrigações Fiscais (recorrente)</w:t>
      </w:r>
    </w:p>
    <w:p>
      <w:pPr>
        <w:pStyle w:val="Heading4"/>
        <w:spacing w:after="80" w:before="200"/>
      </w:pPr>
      <w:r>
        <w:rPr>
          <w:rFonts w:ascii="Calibri" w:cs="Calibri" w:eastAsia="Calibri" w:hAnsi="Calibri"/>
          <w:b/>
          <w:bCs/>
          <w:color w:val="000000"/>
          <w:sz w:val="20"/>
          <w:szCs w:val="20"/>
        </w:rPr>
        <w:t xml:space="preserve">Financial Statements (Demonstrações Financeiras) — </w:t>
      </w:r>
      <w:r>
        <w:rPr>
          <w:rFonts w:ascii="Calibri" w:cs="Calibri" w:eastAsia="Calibri" w:hAnsi="Calibri"/>
          <w:b/>
          <w:bCs/>
          <w:color w:val="000000"/>
          <w:sz w:val="20"/>
          <w:szCs w:val="20"/>
        </w:rPr>
        <w:t xml:space="preserve">USD 1,400</w:t>
      </w:r>
    </w:p>
    <w:p>
      <w:pPr>
        <w:spacing w:after="120" w:before="60"/>
      </w:pPr>
      <w:r>
        <w:rPr>
          <w:rFonts w:ascii="Consolas" w:cs="Consolas" w:eastAsia="Consolas" w:hAnsi="Consolas"/>
          <w:color w:val="2E6DA4"/>
          <w:sz w:val="18"/>
          <w:szCs w:val="18"/>
        </w:rPr>
        <w:t xml:space="preserve">fs</w:t>
      </w:r>
    </w:p>
    <w:p>
      <w:pPr>
        <w:pStyle w:val="ListParagraph"/>
        <w:numPr>
          <w:ilvl w:val="0"/>
          <w:numId w:val="2"/>
        </w:numPr>
        <w:spacing w:after="20" w:before="20"/>
      </w:pPr>
      <w:r>
        <w:rPr>
          <w:rFonts w:ascii="Calibri" w:cs="Calibri" w:eastAsia="Calibri" w:hAnsi="Calibri"/>
          <w:color w:val="000000"/>
          <w:sz w:val="20"/>
          <w:szCs w:val="20"/>
        </w:rPr>
        <w:t xml:space="preserve">Demonstrações Financeiras</w:t>
      </w:r>
    </w:p>
    <w:p>
      <w:pPr>
        <w:pStyle w:val="ListParagraph"/>
        <w:numPr>
          <w:ilvl w:val="0"/>
          <w:numId w:val="2"/>
        </w:numPr>
        <w:spacing w:after="20" w:before="20"/>
      </w:pPr>
      <w:r>
        <w:rPr>
          <w:rFonts w:ascii="Calibri" w:cs="Calibri" w:eastAsia="Calibri" w:hAnsi="Calibri"/>
          <w:color w:val="000000"/>
          <w:sz w:val="20"/>
          <w:szCs w:val="20"/>
        </w:rPr>
        <w:t xml:space="preserve">Annual Financial Return (AFR)</w:t>
      </w:r>
    </w:p>
    <w:p>
      <w:pPr>
        <w:pBdr>
          <w:left w:val="single" w:color="B8C6D6" w:sz="14" w:space="10"/>
        </w:pBdr>
        <w:spacing w:after="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Caso o cliente opte por não contratar os serviços de elaboração contábil conforme previsto neste item, e as demonstrações financeiras forem preparadas por terceiros, o cliente deverá encaminhar à FGC, até o dia 1º de junho de cada ano:  </w:t>
      </w:r>
    </w:p>
    <w:p>
      <w:pPr>
        <w:pBdr>
          <w:left w:val="single" w:color="B8C6D6" w:sz="14" w:space="10"/>
        </w:pBdr>
        <w:spacing w:after="0" w:before="0"/>
        <w:ind w:left="340"/>
      </w:pPr>
      <w:r>
        <w:rPr>
          <w:rFonts w:ascii="Calibri" w:cs="Calibri" w:eastAsia="Calibri" w:hAnsi="Calibri"/>
          <w:i/>
          <w:iCs/>
          <w:color w:val="595959"/>
          <w:sz w:val="19"/>
          <w:szCs w:val="19"/>
        </w:rPr>
        <w:t xml:space="preserve">- Cópia das Demonstrações Financeiras;  </w:t>
      </w:r>
    </w:p>
    <w:p>
      <w:pPr>
        <w:pBdr>
          <w:left w:val="single" w:color="B8C6D6" w:sz="14" w:space="10"/>
        </w:pBdr>
        <w:spacing w:after="0" w:before="0"/>
        <w:ind w:left="340"/>
      </w:pPr>
      <w:r>
        <w:rPr>
          <w:rFonts w:ascii="Calibri" w:cs="Calibri" w:eastAsia="Calibri" w:hAnsi="Calibri"/>
          <w:i/>
          <w:iCs/>
          <w:color w:val="595959"/>
          <w:sz w:val="19"/>
          <w:szCs w:val="19"/>
        </w:rPr>
        <w:t xml:space="preserve">- Relatório preenchido no formato exigido para submissão às autoridades nas BVI.  </w:t>
      </w:r>
    </w:p>
    <w:p>
      <w:pPr>
        <w:pBdr>
          <w:left w:val="single" w:color="B8C6D6" w:sz="14" w:space="10"/>
        </w:pBdr>
        <w:spacing w:after="0" w:before="0"/>
        <w:ind w:left="340"/>
      </w:pPr>
      <w:r>
        <w:rPr>
          <w:rFonts w:ascii="Calibri" w:cs="Calibri" w:eastAsia="Calibri" w:hAnsi="Calibri"/>
          <w:i/>
          <w:iCs/>
          <w:color w:val="595959"/>
          <w:sz w:val="19"/>
          <w:szCs w:val="19"/>
        </w:rPr>
        <w:t xml:space="preserve">Nessa hipótese, a FGC atuará exclusivamente na função de submissão do AFR, sem qualquer responsabilidade sobre a veracidade, consistência ou validade das informações contábeis fornecidas.  </w:t>
      </w:r>
    </w:p>
    <w:p>
      <w:pPr>
        <w:pBdr>
          <w:left w:val="single" w:color="B8C6D6" w:sz="14" w:space="10"/>
        </w:pBdr>
        <w:spacing w:after="160" w:before="0"/>
        <w:ind w:left="340"/>
      </w:pPr>
      <w:r>
        <w:rPr>
          <w:rFonts w:ascii="Calibri" w:cs="Calibri" w:eastAsia="Calibri" w:hAnsi="Calibri"/>
          <w:i/>
          <w:iCs/>
          <w:color w:val="595959"/>
          <w:sz w:val="19"/>
          <w:szCs w:val="19"/>
        </w:rPr>
        <w:t xml:space="preserve">O não envio da documentação no prazo informado poderá resultar em penalidades por parte das autoridades locais, sendo o cliente integralmente responsável por tais consequências. A FGC estará isenta de qualquer obrigação ou responsabilidade decorrente da não entrega ou entrega incompleta.</w:t>
      </w:r>
    </w:p>
    <w:p>
      <w:pPr>
        <w:pStyle w:val="Heading4"/>
        <w:spacing w:after="80" w:before="200"/>
      </w:pPr>
      <w:r>
        <w:rPr>
          <w:rFonts w:ascii="Calibri" w:cs="Calibri" w:eastAsia="Calibri" w:hAnsi="Calibri"/>
          <w:b/>
          <w:bCs/>
          <w:color w:val="000000"/>
          <w:sz w:val="20"/>
          <w:szCs w:val="20"/>
        </w:rPr>
        <w:t xml:space="preserve">Tax Return (Declaração de Imposto de Renda) — </w:t>
      </w:r>
      <w:r>
        <w:rPr>
          <w:rFonts w:ascii="Calibri" w:cs="Calibri" w:eastAsia="Calibri" w:hAnsi="Calibri"/>
          <w:b/>
          <w:bCs/>
          <w:color w:val="000000"/>
          <w:sz w:val="20"/>
          <w:szCs w:val="20"/>
        </w:rPr>
        <w:t xml:space="preserve">USD 1,500</w:t>
      </w:r>
    </w:p>
    <w:p>
      <w:pPr>
        <w:spacing w:after="120" w:before="60"/>
      </w:pPr>
      <w:r>
        <w:rPr>
          <w:rFonts w:ascii="Consolas" w:cs="Consolas" w:eastAsia="Consolas" w:hAnsi="Consolas"/>
          <w:color w:val="2E6DA4"/>
          <w:sz w:val="18"/>
          <w:szCs w:val="18"/>
        </w:rPr>
        <w:t xml:space="preserve">tr</w:t>
      </w:r>
    </w:p>
    <w:p>
      <w:pPr>
        <w:pStyle w:val="ListParagraph"/>
        <w:numPr>
          <w:ilvl w:val="0"/>
          <w:numId w:val="2"/>
        </w:numPr>
        <w:spacing w:after="20" w:before="20"/>
      </w:pPr>
      <w:r>
        <w:rPr>
          <w:rFonts w:ascii="Calibri" w:cs="Calibri" w:eastAsia="Calibri" w:hAnsi="Calibri"/>
          <w:color w:val="000000"/>
          <w:sz w:val="20"/>
          <w:szCs w:val="20"/>
        </w:rPr>
        <w:t xml:space="preserve">Lançamentos contábeis com base nos documentos fornecidos (extratos bancários, faturas, contratos, etc.)</w:t>
      </w:r>
    </w:p>
    <w:p>
      <w:pPr>
        <w:pStyle w:val="ListParagraph"/>
        <w:numPr>
          <w:ilvl w:val="0"/>
          <w:numId w:val="2"/>
        </w:numPr>
        <w:spacing w:after="20" w:before="20"/>
      </w:pPr>
      <w:r>
        <w:rPr>
          <w:rFonts w:ascii="Calibri" w:cs="Calibri" w:eastAsia="Calibri" w:hAnsi="Calibri"/>
          <w:color w:val="000000"/>
          <w:sz w:val="20"/>
          <w:szCs w:val="20"/>
        </w:rPr>
        <w:t xml:space="preserve">Entrega e submissão aos órgãos competentes</w:t>
      </w:r>
    </w:p>
    <w:p>
      <w:pPr>
        <w:pStyle w:val="Heading4"/>
        <w:spacing w:after="80" w:before="200"/>
      </w:pPr>
      <w:r>
        <w:rPr>
          <w:rFonts w:ascii="Calibri" w:cs="Calibri" w:eastAsia="Calibri" w:hAnsi="Calibri"/>
          <w:b/>
          <w:bCs/>
          <w:color w:val="000000"/>
          <w:sz w:val="20"/>
          <w:szCs w:val="20"/>
        </w:rPr>
        <w:t xml:space="preserve">Preparação do Annual Financial Return (AFR) — </w:t>
      </w:r>
      <w:r>
        <w:rPr>
          <w:rFonts w:ascii="Calibri" w:cs="Calibri" w:eastAsia="Calibri" w:hAnsi="Calibri"/>
          <w:b/>
          <w:bCs/>
          <w:color w:val="000000"/>
          <w:sz w:val="20"/>
          <w:szCs w:val="20"/>
        </w:rPr>
        <w:t xml:space="preserve">USD 650</w:t>
      </w:r>
    </w:p>
    <w:p>
      <w:pPr>
        <w:spacing w:after="120" w:before="60"/>
      </w:pPr>
      <w:r>
        <w:rPr>
          <w:rFonts w:ascii="Consolas" w:cs="Consolas" w:eastAsia="Consolas" w:hAnsi="Consolas"/>
          <w:color w:val="2E6DA4"/>
          <w:sz w:val="18"/>
          <w:szCs w:val="18"/>
        </w:rPr>
        <w:t xml:space="preserve">afr</w:t>
      </w:r>
    </w:p>
    <w:p>
      <w:pPr>
        <w:pStyle w:val="ListParagraph"/>
        <w:numPr>
          <w:ilvl w:val="0"/>
          <w:numId w:val="2"/>
        </w:numPr>
        <w:spacing w:after="20" w:before="20"/>
      </w:pPr>
      <w:r>
        <w:rPr>
          <w:rFonts w:ascii="Calibri" w:cs="Calibri" w:eastAsia="Calibri" w:hAnsi="Calibri"/>
          <w:color w:val="000000"/>
          <w:sz w:val="20"/>
          <w:szCs w:val="20"/>
        </w:rPr>
        <w:t xml:space="preserve">Annual Financial Return — submissão</w:t>
      </w:r>
    </w:p>
    <w:p>
      <w:pPr>
        <w:pBdr>
          <w:left w:val="single" w:color="B8C6D6" w:sz="14" w:space="10"/>
        </w:pBdr>
        <w:spacing w:after="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Caso o cliente contrate terceiros para a preparação do AFR, a FGC deverá receber até 1º de junho de cada ano: Relatório no formato exigido pelas autoridades de BVI.  </w:t>
      </w:r>
    </w:p>
    <w:p>
      <w:pPr>
        <w:pBdr>
          <w:left w:val="single" w:color="B8C6D6" w:sz="14" w:space="10"/>
        </w:pBdr>
        <w:spacing w:after="160" w:before="0"/>
        <w:ind w:left="340"/>
      </w:pPr>
      <w:r>
        <w:rPr>
          <w:rFonts w:ascii="Calibri" w:cs="Calibri" w:eastAsia="Calibri" w:hAnsi="Calibri"/>
          <w:i/>
          <w:iCs/>
          <w:color w:val="595959"/>
          <w:sz w:val="19"/>
          <w:szCs w:val="19"/>
        </w:rPr>
        <w:t xml:space="preserve">Nessa hipótese, a responsabilidade da FGC será limitada exclusivamente à submissão do AFR. A FGC não assumirá responsabilidade sobre a veracidade, consistência ou validade das informações contábeis fornecidas. O não envio da documentação no prazo poderá resultar em penalidades, sendo o cliente integralmente responsável.</w:t>
      </w:r>
    </w:p>
    <w:p>
      <w:pPr>
        <w:pStyle w:val="Heading4"/>
        <w:spacing w:after="80" w:before="200"/>
      </w:pPr>
      <w:r>
        <w:rPr>
          <w:rFonts w:ascii="Calibri" w:cs="Calibri" w:eastAsia="Calibri" w:hAnsi="Calibri"/>
          <w:b/>
          <w:bCs/>
          <w:color w:val="000000"/>
          <w:sz w:val="20"/>
          <w:szCs w:val="20"/>
        </w:rPr>
        <w:t xml:space="preserve">Financial Statements — Prior Years (Anos Anteriores) — </w:t>
      </w:r>
      <w:r>
        <w:rPr>
          <w:rFonts w:ascii="Calibri" w:cs="Calibri" w:eastAsia="Calibri" w:hAnsi="Calibri"/>
          <w:b/>
          <w:bCs/>
          <w:color w:val="000000"/>
          <w:sz w:val="20"/>
          <w:szCs w:val="20"/>
        </w:rPr>
        <w:t xml:space="preserve">USD 1,400</w:t>
      </w:r>
    </w:p>
    <w:p>
      <w:pPr>
        <w:spacing w:after="120" w:before="60"/>
      </w:pPr>
      <w:r>
        <w:rPr>
          <w:rFonts w:ascii="Consolas" w:cs="Consolas" w:eastAsia="Consolas" w:hAnsi="Consolas"/>
          <w:color w:val="2E6DA4"/>
          <w:sz w:val="18"/>
          <w:szCs w:val="18"/>
        </w:rPr>
        <w:t xml:space="preserve">fsAnterior</w:t>
      </w:r>
    </w:p>
    <w:p>
      <w:pPr>
        <w:pStyle w:val="ListParagraph"/>
        <w:numPr>
          <w:ilvl w:val="0"/>
          <w:numId w:val="2"/>
        </w:numPr>
        <w:spacing w:after="20" w:before="20"/>
      </w:pPr>
      <w:r>
        <w:rPr>
          <w:rFonts w:ascii="Calibri" w:cs="Calibri" w:eastAsia="Calibri" w:hAnsi="Calibri"/>
          <w:color w:val="000000"/>
          <w:sz w:val="20"/>
          <w:szCs w:val="20"/>
        </w:rPr>
        <w:t xml:space="preserve">Demonstrações Financeiras referentes a exercícios fiscais anteriores</w:t>
      </w:r>
    </w:p>
    <w:p>
      <w:pPr>
        <w:pStyle w:val="ListParagraph"/>
        <w:numPr>
          <w:ilvl w:val="0"/>
          <w:numId w:val="2"/>
        </w:numPr>
        <w:spacing w:after="20" w:before="20"/>
      </w:pPr>
      <w:r>
        <w:rPr>
          <w:rFonts w:ascii="Calibri" w:cs="Calibri" w:eastAsia="Calibri" w:hAnsi="Calibri"/>
          <w:color w:val="000000"/>
          <w:sz w:val="20"/>
          <w:szCs w:val="20"/>
        </w:rPr>
        <w:t xml:space="preserve">Annual Financial Return (AFR) — exercícios anteriores</w:t>
      </w:r>
    </w:p>
    <w:p>
      <w:pPr>
        <w:pStyle w:val="Heading4"/>
        <w:spacing w:after="80" w:before="200"/>
      </w:pPr>
      <w:r>
        <w:rPr>
          <w:rFonts w:ascii="Calibri" w:cs="Calibri" w:eastAsia="Calibri" w:hAnsi="Calibri"/>
          <w:b/>
          <w:bCs/>
          <w:color w:val="000000"/>
          <w:sz w:val="20"/>
          <w:szCs w:val="20"/>
        </w:rPr>
        <w:t xml:space="preserve">Tax Return — Prior Years (Anos Anteriores) — </w:t>
      </w:r>
      <w:r>
        <w:rPr>
          <w:rFonts w:ascii="Calibri" w:cs="Calibri" w:eastAsia="Calibri" w:hAnsi="Calibri"/>
          <w:b/>
          <w:bCs/>
          <w:color w:val="000000"/>
          <w:sz w:val="20"/>
          <w:szCs w:val="20"/>
        </w:rPr>
        <w:t xml:space="preserve">USD 1,500</w:t>
      </w:r>
    </w:p>
    <w:p>
      <w:pPr>
        <w:spacing w:after="120" w:before="60"/>
      </w:pPr>
      <w:r>
        <w:rPr>
          <w:rFonts w:ascii="Consolas" w:cs="Consolas" w:eastAsia="Consolas" w:hAnsi="Consolas"/>
          <w:color w:val="2E6DA4"/>
          <w:sz w:val="18"/>
          <w:szCs w:val="18"/>
        </w:rPr>
        <w:t xml:space="preserve">trAnterior</w:t>
      </w:r>
    </w:p>
    <w:p>
      <w:pPr>
        <w:pStyle w:val="ListParagraph"/>
        <w:numPr>
          <w:ilvl w:val="0"/>
          <w:numId w:val="2"/>
        </w:numPr>
        <w:spacing w:after="20" w:before="20"/>
      </w:pPr>
      <w:r>
        <w:rPr>
          <w:rFonts w:ascii="Calibri" w:cs="Calibri" w:eastAsia="Calibri" w:hAnsi="Calibri"/>
          <w:color w:val="000000"/>
          <w:sz w:val="20"/>
          <w:szCs w:val="20"/>
        </w:rPr>
        <w:t xml:space="preserve">Lançamentos contábeis referentes a exercícios fiscais anteriores, com base nos documentos fornecidos</w:t>
      </w:r>
    </w:p>
    <w:p>
      <w:pPr>
        <w:pStyle w:val="ListParagraph"/>
        <w:numPr>
          <w:ilvl w:val="0"/>
          <w:numId w:val="2"/>
        </w:numPr>
        <w:spacing w:after="20" w:before="20"/>
      </w:pPr>
      <w:r>
        <w:rPr>
          <w:rFonts w:ascii="Calibri" w:cs="Calibri" w:eastAsia="Calibri" w:hAnsi="Calibri"/>
          <w:color w:val="000000"/>
          <w:sz w:val="20"/>
          <w:szCs w:val="20"/>
        </w:rPr>
        <w:t xml:space="preserve">Entrega e submissão dos Tax Returns relativos aos exercícios anteriores aos órgãos competentes</w:t>
      </w:r>
    </w:p>
    <w:p>
      <w:pPr>
        <w:pStyle w:val="Heading4"/>
        <w:spacing w:after="80" w:before="200"/>
      </w:pPr>
      <w:r>
        <w:rPr>
          <w:rFonts w:ascii="Calibri" w:cs="Calibri" w:eastAsia="Calibri" w:hAnsi="Calibri"/>
          <w:b/>
          <w:bCs/>
          <w:color w:val="000000"/>
          <w:sz w:val="20"/>
          <w:szCs w:val="20"/>
        </w:rPr>
        <w:t xml:space="preserve">Demonstrações Financeiras — Elaboradas por Terceiros — </w:t>
      </w:r>
      <w:r>
        <w:rPr>
          <w:rFonts w:ascii="Calibri" w:cs="Calibri" w:eastAsia="Calibri" w:hAnsi="Calibri"/>
          <w:b/>
          <w:bCs/>
          <w:color w:val="000000"/>
          <w:sz w:val="20"/>
          <w:szCs w:val="20"/>
        </w:rPr>
        <w:t xml:space="preserve">A definir (caso a caso)</w:t>
      </w:r>
    </w:p>
    <w:p>
      <w:pPr>
        <w:spacing w:after="120" w:before="60"/>
      </w:pPr>
      <w:r>
        <w:rPr>
          <w:rFonts w:ascii="Consolas" w:cs="Consolas" w:eastAsia="Consolas" w:hAnsi="Consolas"/>
          <w:color w:val="2E6DA4"/>
          <w:sz w:val="18"/>
          <w:szCs w:val="18"/>
        </w:rPr>
        <w:t xml:space="preserve">fs3rd</w:t>
      </w:r>
    </w:p>
    <w:p>
      <w:pPr>
        <w:pStyle w:val="ListParagraph"/>
        <w:numPr>
          <w:ilvl w:val="0"/>
          <w:numId w:val="2"/>
        </w:numPr>
        <w:spacing w:after="20" w:before="20"/>
      </w:pPr>
      <w:r>
        <w:rPr>
          <w:rFonts w:ascii="Calibri" w:cs="Calibri" w:eastAsia="Calibri" w:hAnsi="Calibri"/>
          <w:color w:val="000000"/>
          <w:sz w:val="20"/>
          <w:szCs w:val="20"/>
        </w:rPr>
        <w:t xml:space="preserve">Para as demonstrações financeiras preparadas por terceiros, o cliente deverá encaminhar à FGC, até o dia 1º de junho de cada ano, a documentação necessária para a submissão do AFR.</w:t>
      </w:r>
    </w:p>
    <w:p>
      <w:pPr>
        <w:pStyle w:val="ListParagraph"/>
        <w:numPr>
          <w:ilvl w:val="0"/>
          <w:numId w:val="2"/>
        </w:numPr>
        <w:spacing w:after="20" w:before="20"/>
      </w:pPr>
      <w:r>
        <w:rPr>
          <w:rFonts w:ascii="Calibri" w:cs="Calibri" w:eastAsia="Calibri" w:hAnsi="Calibri"/>
          <w:color w:val="000000"/>
          <w:sz w:val="20"/>
          <w:szCs w:val="20"/>
        </w:rPr>
        <w:t xml:space="preserve">Nessa hipótese, a FGC atuará exclusivamente na função de submissão do AFR, sem qualquer responsabilidade sobre a veracidade, consistência ou validade das informações contábeis fornecidas.</w:t>
      </w:r>
    </w:p>
    <w:p>
      <w:pPr>
        <w:pStyle w:val="ListParagraph"/>
        <w:numPr>
          <w:ilvl w:val="0"/>
          <w:numId w:val="2"/>
        </w:numPr>
        <w:spacing w:after="20" w:before="20"/>
      </w:pPr>
      <w:r>
        <w:rPr>
          <w:rFonts w:ascii="Calibri" w:cs="Calibri" w:eastAsia="Calibri" w:hAnsi="Calibri"/>
          <w:color w:val="000000"/>
          <w:sz w:val="20"/>
          <w:szCs w:val="20"/>
        </w:rPr>
        <w:t xml:space="preserve">O não envio da documentação no prazo informado poderá resultar em penalidades por parte das autoridades locais, sendo o cliente integralmente responsável por tais consequências. A FGC estará isenta de qualquer obrigação ou responsabilidade decorrente da não entrega ou entrega incompleta.</w:t>
      </w:r>
    </w:p>
    <w:p>
      <w:pPr>
        <w:pStyle w:val="Heading4"/>
        <w:spacing w:after="80" w:before="200"/>
      </w:pPr>
      <w:r>
        <w:rPr>
          <w:rFonts w:ascii="Calibri" w:cs="Calibri" w:eastAsia="Calibri" w:hAnsi="Calibri"/>
          <w:b/>
          <w:bCs/>
          <w:color w:val="000000"/>
          <w:sz w:val="20"/>
          <w:szCs w:val="20"/>
        </w:rPr>
        <w:t xml:space="preserve">Tax Return — Elaborado por Terceiros — </w:t>
      </w:r>
      <w:r>
        <w:rPr>
          <w:rFonts w:ascii="Calibri" w:cs="Calibri" w:eastAsia="Calibri" w:hAnsi="Calibri"/>
          <w:b/>
          <w:bCs/>
          <w:color w:val="000000"/>
          <w:sz w:val="20"/>
          <w:szCs w:val="20"/>
        </w:rPr>
        <w:t xml:space="preserve">A definir (caso a caso)</w:t>
      </w:r>
    </w:p>
    <w:p>
      <w:pPr>
        <w:spacing w:after="120" w:before="60"/>
      </w:pPr>
      <w:r>
        <w:rPr>
          <w:rFonts w:ascii="Consolas" w:cs="Consolas" w:eastAsia="Consolas" w:hAnsi="Consolas"/>
          <w:color w:val="2E6DA4"/>
          <w:sz w:val="18"/>
          <w:szCs w:val="18"/>
        </w:rPr>
        <w:t xml:space="preserve">tr3rd</w:t>
      </w:r>
    </w:p>
    <w:p>
      <w:pPr>
        <w:pStyle w:val="ListParagraph"/>
        <w:numPr>
          <w:ilvl w:val="0"/>
          <w:numId w:val="2"/>
        </w:numPr>
        <w:spacing w:after="20" w:before="20"/>
      </w:pPr>
      <w:r>
        <w:rPr>
          <w:rFonts w:ascii="Calibri" w:cs="Calibri" w:eastAsia="Calibri" w:hAnsi="Calibri"/>
          <w:color w:val="000000"/>
          <w:sz w:val="20"/>
          <w:szCs w:val="20"/>
        </w:rPr>
        <w:t xml:space="preserve">Para o Tax Return preparado por terceiros, o cliente deverá encaminhar à FGC, até o dia 15 de março de cada ano, a documentação necessária para a submissão.</w:t>
      </w:r>
    </w:p>
    <w:p>
      <w:pPr>
        <w:pStyle w:val="ListParagraph"/>
        <w:numPr>
          <w:ilvl w:val="0"/>
          <w:numId w:val="2"/>
        </w:numPr>
        <w:spacing w:after="20" w:before="20"/>
      </w:pPr>
      <w:r>
        <w:rPr>
          <w:rFonts w:ascii="Calibri" w:cs="Calibri" w:eastAsia="Calibri" w:hAnsi="Calibri"/>
          <w:color w:val="000000"/>
          <w:sz w:val="20"/>
          <w:szCs w:val="20"/>
        </w:rPr>
        <w:t xml:space="preserve">Nessa hipótese, a FGC atuará exclusivamente na função de submissão do Tax Return, sem qualquer responsabilidade sobre a veracidade, consistência ou validade das informações fornecidas.</w:t>
      </w:r>
    </w:p>
    <w:p>
      <w:pPr>
        <w:pStyle w:val="ListParagraph"/>
        <w:numPr>
          <w:ilvl w:val="0"/>
          <w:numId w:val="2"/>
        </w:numPr>
        <w:spacing w:after="20" w:before="20"/>
      </w:pPr>
      <w:r>
        <w:rPr>
          <w:rFonts w:ascii="Calibri" w:cs="Calibri" w:eastAsia="Calibri" w:hAnsi="Calibri"/>
          <w:color w:val="000000"/>
          <w:sz w:val="20"/>
          <w:szCs w:val="20"/>
        </w:rPr>
        <w:t xml:space="preserve">O não envio da documentação no prazo informado poderá resultar em penalidades por parte das autoridades competentes, sendo o cliente integralmente responsável por tais consequências. A FGC estará isenta de qualquer obrigação ou responsabilidade decorrente da não entrega ou entrega incompleta.</w:t>
      </w:r>
    </w:p>
    <w:p>
      <w:pPr>
        <w:pStyle w:val="Heading4"/>
        <w:spacing w:after="80" w:before="200"/>
      </w:pPr>
      <w:r>
        <w:rPr>
          <w:rFonts w:ascii="Calibri" w:cs="Calibri" w:eastAsia="Calibri" w:hAnsi="Calibri"/>
          <w:b/>
          <w:bCs/>
          <w:color w:val="000000"/>
          <w:sz w:val="20"/>
          <w:szCs w:val="20"/>
        </w:rPr>
        <w:t xml:space="preserve">Transferência — FS ano corrente / Tax Return ano corrente</w:t>
      </w:r>
    </w:p>
    <w:p>
      <w:pPr>
        <w:pStyle w:val="ListParagraph"/>
        <w:numPr>
          <w:ilvl w:val="0"/>
          <w:numId w:val="2"/>
        </w:numPr>
        <w:spacing w:after="20" w:before="20"/>
      </w:pPr>
      <w:r>
        <w:rPr>
          <w:rFonts w:ascii="Calibri" w:cs="Calibri" w:eastAsia="Calibri" w:hAnsi="Calibri"/>
          <w:color w:val="000000"/>
          <w:sz w:val="20"/>
          <w:szCs w:val="20"/>
        </w:rPr>
        <w:t xml:space="preserve">Financial Statements (em transferência): </w:t>
      </w:r>
      <w:r>
        <w:rPr>
          <w:rFonts w:ascii="Calibri" w:cs="Calibri" w:eastAsia="Calibri" w:hAnsi="Calibri"/>
          <w:b/>
          <w:bCs/>
          <w:color w:val="000000"/>
          <w:sz w:val="20"/>
          <w:szCs w:val="20"/>
        </w:rPr>
        <w:t xml:space="preserve">USD 1,400</w:t>
      </w:r>
    </w:p>
    <w:p>
      <w:pPr>
        <w:pStyle w:val="ListParagraph"/>
        <w:numPr>
          <w:ilvl w:val="0"/>
          <w:numId w:val="2"/>
        </w:numPr>
        <w:spacing w:after="20" w:before="20"/>
      </w:pPr>
      <w:r>
        <w:rPr>
          <w:rFonts w:ascii="Calibri" w:cs="Calibri" w:eastAsia="Calibri" w:hAnsi="Calibri"/>
          <w:color w:val="000000"/>
          <w:sz w:val="20"/>
          <w:szCs w:val="20"/>
        </w:rPr>
        <w:t xml:space="preserve">Tax Return (em transferência): </w:t>
      </w:r>
      <w:r>
        <w:rPr>
          <w:rFonts w:ascii="Calibri" w:cs="Calibri" w:eastAsia="Calibri" w:hAnsi="Calibri"/>
          <w:b/>
          <w:bCs/>
          <w:color w:val="000000"/>
          <w:sz w:val="20"/>
          <w:szCs w:val="20"/>
        </w:rPr>
        <w:t xml:space="preserve">USD 1,500</w:t>
      </w:r>
    </w:p>
    <w:p>
      <w:pPr>
        <w:pStyle w:val="Heading2"/>
        <w:spacing w:after="140" w:before="340"/>
      </w:pPr>
      <w:r>
        <w:rPr>
          <w:rFonts w:ascii="Calibri" w:cs="Calibri" w:eastAsia="Calibri" w:hAnsi="Calibri"/>
          <w:b/>
          <w:bCs/>
          <w:color w:val="1F3A5F"/>
          <w:sz w:val="26"/>
          <w:szCs w:val="26"/>
        </w:rPr>
        <w:t xml:space="preserve">7. Dissolução (standalone)</w:t>
      </w:r>
    </w:p>
    <w:p>
      <w:pPr>
        <w:pStyle w:val="Heading4"/>
        <w:spacing w:after="80" w:before="200"/>
      </w:pPr>
      <w:r>
        <w:rPr>
          <w:rFonts w:ascii="Calibri" w:cs="Calibri" w:eastAsia="Calibri" w:hAnsi="Calibri"/>
          <w:b/>
          <w:bCs/>
          <w:color w:val="000000"/>
          <w:sz w:val="20"/>
          <w:szCs w:val="20"/>
        </w:rPr>
        <w:t xml:space="preserve">Dissolução BVI — </w:t>
      </w:r>
      <w:r>
        <w:rPr>
          <w:rFonts w:ascii="Calibri" w:cs="Calibri" w:eastAsia="Calibri" w:hAnsi="Calibri"/>
          <w:b/>
          <w:bCs/>
          <w:color w:val="000000"/>
          <w:sz w:val="20"/>
          <w:szCs w:val="20"/>
        </w:rPr>
        <w:t xml:space="preserve">USD 5,500</w:t>
      </w:r>
    </w:p>
    <w:p>
      <w:pPr>
        <w:spacing w:after="120" w:before="60"/>
      </w:pPr>
      <w:r>
        <w:rPr>
          <w:rFonts w:ascii="Consolas" w:cs="Consolas" w:eastAsia="Consolas" w:hAnsi="Consolas"/>
          <w:color w:val="2E6DA4"/>
          <w:sz w:val="18"/>
          <w:szCs w:val="18"/>
        </w:rPr>
        <w:t xml:space="preserve">dissolucaoBVI</w:t>
      </w:r>
    </w:p>
    <w:p>
      <w:pPr>
        <w:pStyle w:val="ListParagraph"/>
        <w:numPr>
          <w:ilvl w:val="0"/>
          <w:numId w:val="2"/>
        </w:numPr>
        <w:spacing w:after="20" w:before="20"/>
      </w:pPr>
      <w:r>
        <w:rPr>
          <w:rFonts w:ascii="Calibri" w:cs="Calibri" w:eastAsia="Calibri" w:hAnsi="Calibri"/>
          <w:color w:val="000000"/>
          <w:sz w:val="20"/>
          <w:szCs w:val="20"/>
        </w:rPr>
        <w:t xml:space="preserve">Formalização de todos os documentos necessários para a dissolução da empresa junto ao Registro de BVI (BVI Registry of Corporate Affairs)</w:t>
      </w:r>
    </w:p>
    <w:p>
      <w:pPr>
        <w:pStyle w:val="ListParagraph"/>
        <w:numPr>
          <w:ilvl w:val="0"/>
          <w:numId w:val="2"/>
        </w:numPr>
        <w:spacing w:after="20" w:before="20"/>
      </w:pPr>
      <w:r>
        <w:rPr>
          <w:rFonts w:ascii="Calibri" w:cs="Calibri" w:eastAsia="Calibri" w:hAnsi="Calibri"/>
          <w:color w:val="000000"/>
          <w:sz w:val="20"/>
          <w:szCs w:val="20"/>
        </w:rPr>
        <w:t xml:space="preserve">Cancelamento do registro da empresa perante as autoridades locais de BVI</w:t>
      </w:r>
    </w:p>
    <w:p>
      <w:pPr>
        <w:pStyle w:val="ListParagraph"/>
        <w:numPr>
          <w:ilvl w:val="0"/>
          <w:numId w:val="2"/>
        </w:numPr>
        <w:spacing w:after="20" w:before="20"/>
      </w:pPr>
      <w:r>
        <w:rPr>
          <w:rFonts w:ascii="Calibri" w:cs="Calibri" w:eastAsia="Calibri" w:hAnsi="Calibri"/>
          <w:color w:val="000000"/>
          <w:sz w:val="20"/>
          <w:szCs w:val="20"/>
        </w:rPr>
        <w:t xml:space="preserve">Coordenação com o agente registrado local para os procedimentos de encerramento</w:t>
      </w:r>
    </w:p>
    <w:p>
      <w:pPr>
        <w:pBdr>
          <w:left w:val="single" w:color="B8C6D6" w:sz="14" w:space="10"/>
        </w:pBdr>
        <w:spacing w:after="16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A dissolução está condicionada à regularidade da empresa junto às autoridades locais, incluindo pagamento de taxas governamentais em aberto e entrega de todos os documentos exigidos. A FGC não se responsabiliza por eventuais penalidades decorrentes de obrigações pendentes anteriores ao início do processo de dissolução.</w:t>
      </w:r>
    </w:p>
    <w:p>
      <w:pPr>
        <w:pStyle w:val="Heading4"/>
        <w:spacing w:after="80" w:before="200"/>
      </w:pPr>
      <w:r>
        <w:rPr>
          <w:rFonts w:ascii="Calibri" w:cs="Calibri" w:eastAsia="Calibri" w:hAnsi="Calibri"/>
          <w:b/>
          <w:bCs/>
          <w:color w:val="000000"/>
          <w:sz w:val="20"/>
          <w:szCs w:val="20"/>
        </w:rPr>
        <w:t xml:space="preserve">Dissolução Bahamas — </w:t>
      </w:r>
      <w:r>
        <w:rPr>
          <w:rFonts w:ascii="Calibri" w:cs="Calibri" w:eastAsia="Calibri" w:hAnsi="Calibri"/>
          <w:b/>
          <w:bCs/>
          <w:color w:val="000000"/>
          <w:sz w:val="20"/>
          <w:szCs w:val="20"/>
        </w:rPr>
        <w:t xml:space="preserve">USD 2,500</w:t>
      </w:r>
    </w:p>
    <w:p>
      <w:pPr>
        <w:spacing w:after="120" w:before="60"/>
      </w:pPr>
      <w:r>
        <w:rPr>
          <w:rFonts w:ascii="Consolas" w:cs="Consolas" w:eastAsia="Consolas" w:hAnsi="Consolas"/>
          <w:color w:val="2E6DA4"/>
          <w:sz w:val="18"/>
          <w:szCs w:val="18"/>
        </w:rPr>
        <w:t xml:space="preserve">dissolucaoBahamas</w:t>
      </w:r>
    </w:p>
    <w:p>
      <w:pPr>
        <w:pStyle w:val="ListParagraph"/>
        <w:numPr>
          <w:ilvl w:val="0"/>
          <w:numId w:val="2"/>
        </w:numPr>
        <w:spacing w:after="20" w:before="20"/>
      </w:pPr>
      <w:r>
        <w:rPr>
          <w:rFonts w:ascii="Calibri" w:cs="Calibri" w:eastAsia="Calibri" w:hAnsi="Calibri"/>
          <w:color w:val="000000"/>
          <w:sz w:val="20"/>
          <w:szCs w:val="20"/>
        </w:rPr>
        <w:t xml:space="preserve">Formalização de todos os documentos necessários para a dissolução da empresa junto ao Registro de Bahamas</w:t>
      </w:r>
    </w:p>
    <w:p>
      <w:pPr>
        <w:pStyle w:val="ListParagraph"/>
        <w:numPr>
          <w:ilvl w:val="0"/>
          <w:numId w:val="2"/>
        </w:numPr>
        <w:spacing w:after="20" w:before="20"/>
      </w:pPr>
      <w:r>
        <w:rPr>
          <w:rFonts w:ascii="Calibri" w:cs="Calibri" w:eastAsia="Calibri" w:hAnsi="Calibri"/>
          <w:color w:val="000000"/>
          <w:sz w:val="20"/>
          <w:szCs w:val="20"/>
        </w:rPr>
        <w:t xml:space="preserve">Cancelamento do registro da empresa perante as autoridades locais</w:t>
      </w:r>
    </w:p>
    <w:p>
      <w:pPr>
        <w:pStyle w:val="ListParagraph"/>
        <w:numPr>
          <w:ilvl w:val="0"/>
          <w:numId w:val="2"/>
        </w:numPr>
        <w:spacing w:after="20" w:before="20"/>
      </w:pPr>
      <w:r>
        <w:rPr>
          <w:rFonts w:ascii="Calibri" w:cs="Calibri" w:eastAsia="Calibri" w:hAnsi="Calibri"/>
          <w:color w:val="000000"/>
          <w:sz w:val="20"/>
          <w:szCs w:val="20"/>
        </w:rPr>
        <w:t xml:space="preserve">Coordenação com o agente registrado local para os procedimentos de encerramento</w:t>
      </w:r>
    </w:p>
    <w:p>
      <w:pPr>
        <w:pBdr>
          <w:left w:val="single" w:color="B8C6D6" w:sz="14" w:space="10"/>
        </w:pBdr>
        <w:spacing w:after="16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A dissolução está condicionada à regularidade da empresa junto às autoridades locais, incluindo pagamento de taxas governamentais em aberto e entrega de todos os documentos exigidos.</w:t>
      </w:r>
    </w:p>
    <w:p>
      <w:pPr>
        <w:pStyle w:val="Heading4"/>
        <w:spacing w:after="80" w:before="200"/>
      </w:pPr>
      <w:r>
        <w:rPr>
          <w:rFonts w:ascii="Calibri" w:cs="Calibri" w:eastAsia="Calibri" w:hAnsi="Calibri"/>
          <w:b/>
          <w:bCs/>
          <w:color w:val="000000"/>
          <w:sz w:val="20"/>
          <w:szCs w:val="20"/>
        </w:rPr>
        <w:t xml:space="preserve">Dissolução Cayman — </w:t>
      </w:r>
      <w:r>
        <w:rPr>
          <w:rFonts w:ascii="Calibri" w:cs="Calibri" w:eastAsia="Calibri" w:hAnsi="Calibri"/>
          <w:b/>
          <w:bCs/>
          <w:color w:val="000000"/>
          <w:sz w:val="20"/>
          <w:szCs w:val="20"/>
        </w:rPr>
        <w:t xml:space="preserve">USD 2,500</w:t>
      </w:r>
    </w:p>
    <w:p>
      <w:pPr>
        <w:spacing w:after="120" w:before="60"/>
      </w:pPr>
      <w:r>
        <w:rPr>
          <w:rFonts w:ascii="Consolas" w:cs="Consolas" w:eastAsia="Consolas" w:hAnsi="Consolas"/>
          <w:color w:val="2E6DA4"/>
          <w:sz w:val="18"/>
          <w:szCs w:val="18"/>
        </w:rPr>
        <w:t xml:space="preserve">dissolucaoCayman</w:t>
      </w:r>
    </w:p>
    <w:p>
      <w:pPr>
        <w:pStyle w:val="ListParagraph"/>
        <w:numPr>
          <w:ilvl w:val="0"/>
          <w:numId w:val="2"/>
        </w:numPr>
        <w:spacing w:after="20" w:before="20"/>
      </w:pPr>
      <w:r>
        <w:rPr>
          <w:rFonts w:ascii="Calibri" w:cs="Calibri" w:eastAsia="Calibri" w:hAnsi="Calibri"/>
          <w:color w:val="000000"/>
          <w:sz w:val="20"/>
          <w:szCs w:val="20"/>
        </w:rPr>
        <w:t xml:space="preserve">Formalização de todos os documentos necessários para a dissolução da empresa junto ao Registro de Cayman</w:t>
      </w:r>
    </w:p>
    <w:p>
      <w:pPr>
        <w:pStyle w:val="ListParagraph"/>
        <w:numPr>
          <w:ilvl w:val="0"/>
          <w:numId w:val="2"/>
        </w:numPr>
        <w:spacing w:after="20" w:before="20"/>
      </w:pPr>
      <w:r>
        <w:rPr>
          <w:rFonts w:ascii="Calibri" w:cs="Calibri" w:eastAsia="Calibri" w:hAnsi="Calibri"/>
          <w:color w:val="000000"/>
          <w:sz w:val="20"/>
          <w:szCs w:val="20"/>
        </w:rPr>
        <w:t xml:space="preserve">Cancelamento do registro da empresa perante as autoridades locais</w:t>
      </w:r>
    </w:p>
    <w:p>
      <w:pPr>
        <w:pStyle w:val="ListParagraph"/>
        <w:numPr>
          <w:ilvl w:val="0"/>
          <w:numId w:val="2"/>
        </w:numPr>
        <w:spacing w:after="20" w:before="20"/>
      </w:pPr>
      <w:r>
        <w:rPr>
          <w:rFonts w:ascii="Calibri" w:cs="Calibri" w:eastAsia="Calibri" w:hAnsi="Calibri"/>
          <w:color w:val="000000"/>
          <w:sz w:val="20"/>
          <w:szCs w:val="20"/>
        </w:rPr>
        <w:t xml:space="preserve">Coordenação com o agente registrado local para os procedimentos de encerramento</w:t>
      </w:r>
    </w:p>
    <w:p>
      <w:pPr>
        <w:pBdr>
          <w:left w:val="single" w:color="B8C6D6" w:sz="14" w:space="10"/>
        </w:pBdr>
        <w:spacing w:after="16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A dissolução está condicionada à regularidade da empresa junto às autoridades locais, incluindo pagamento de taxas governamentais em aberto e entrega de todos os documentos exigidos.</w:t>
      </w:r>
    </w:p>
    <w:p>
      <w:pPr>
        <w:pStyle w:val="Heading4"/>
        <w:spacing w:after="80" w:before="200"/>
      </w:pPr>
      <w:r>
        <w:rPr>
          <w:rFonts w:ascii="Calibri" w:cs="Calibri" w:eastAsia="Calibri" w:hAnsi="Calibri"/>
          <w:b/>
          <w:bCs/>
          <w:color w:val="000000"/>
          <w:sz w:val="20"/>
          <w:szCs w:val="20"/>
        </w:rPr>
        <w:t xml:space="preserve">Dissolução Nevis — </w:t>
      </w:r>
      <w:r>
        <w:rPr>
          <w:rFonts w:ascii="Calibri" w:cs="Calibri" w:eastAsia="Calibri" w:hAnsi="Calibri"/>
          <w:b/>
          <w:bCs/>
          <w:color w:val="000000"/>
          <w:sz w:val="20"/>
          <w:szCs w:val="20"/>
        </w:rPr>
        <w:t xml:space="preserve">USD 2,500</w:t>
      </w:r>
    </w:p>
    <w:p>
      <w:pPr>
        <w:spacing w:after="120" w:before="60"/>
      </w:pPr>
      <w:r>
        <w:rPr>
          <w:rFonts w:ascii="Consolas" w:cs="Consolas" w:eastAsia="Consolas" w:hAnsi="Consolas"/>
          <w:color w:val="2E6DA4"/>
          <w:sz w:val="18"/>
          <w:szCs w:val="18"/>
        </w:rPr>
        <w:t xml:space="preserve">dissolucaoNevis</w:t>
      </w:r>
    </w:p>
    <w:p>
      <w:pPr>
        <w:pStyle w:val="ListParagraph"/>
        <w:numPr>
          <w:ilvl w:val="0"/>
          <w:numId w:val="2"/>
        </w:numPr>
        <w:spacing w:after="20" w:before="20"/>
      </w:pPr>
      <w:r>
        <w:rPr>
          <w:rFonts w:ascii="Calibri" w:cs="Calibri" w:eastAsia="Calibri" w:hAnsi="Calibri"/>
          <w:color w:val="000000"/>
          <w:sz w:val="20"/>
          <w:szCs w:val="20"/>
        </w:rPr>
        <w:t xml:space="preserve">Formalização de todos os documentos necessários para a dissolução da empresa junto ao Registro de Nevis</w:t>
      </w:r>
    </w:p>
    <w:p>
      <w:pPr>
        <w:pStyle w:val="ListParagraph"/>
        <w:numPr>
          <w:ilvl w:val="0"/>
          <w:numId w:val="2"/>
        </w:numPr>
        <w:spacing w:after="20" w:before="20"/>
      </w:pPr>
      <w:r>
        <w:rPr>
          <w:rFonts w:ascii="Calibri" w:cs="Calibri" w:eastAsia="Calibri" w:hAnsi="Calibri"/>
          <w:color w:val="000000"/>
          <w:sz w:val="20"/>
          <w:szCs w:val="20"/>
        </w:rPr>
        <w:t xml:space="preserve">Cancelamento do registro da empresa perante as autoridades locais</w:t>
      </w:r>
    </w:p>
    <w:p>
      <w:pPr>
        <w:pStyle w:val="ListParagraph"/>
        <w:numPr>
          <w:ilvl w:val="0"/>
          <w:numId w:val="2"/>
        </w:numPr>
        <w:spacing w:after="20" w:before="20"/>
      </w:pPr>
      <w:r>
        <w:rPr>
          <w:rFonts w:ascii="Calibri" w:cs="Calibri" w:eastAsia="Calibri" w:hAnsi="Calibri"/>
          <w:color w:val="000000"/>
          <w:sz w:val="20"/>
          <w:szCs w:val="20"/>
        </w:rPr>
        <w:t xml:space="preserve">Coordenação com o agente registrado local para os procedimentos de encerramento</w:t>
      </w:r>
    </w:p>
    <w:p>
      <w:pPr>
        <w:pBdr>
          <w:left w:val="single" w:color="B8C6D6" w:sz="14" w:space="10"/>
        </w:pBdr>
        <w:spacing w:after="16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A dissolução está condicionada à regularidade da empresa junto às autoridades locais, incluindo pagamento de taxas governamentais em aberto e entrega de todos os documentos exigidos.</w:t>
      </w:r>
    </w:p>
    <w:p>
      <w:pPr>
        <w:pStyle w:val="Heading4"/>
        <w:spacing w:after="80" w:before="200"/>
      </w:pPr>
      <w:r>
        <w:rPr>
          <w:rFonts w:ascii="Calibri" w:cs="Calibri" w:eastAsia="Calibri" w:hAnsi="Calibri"/>
          <w:b/>
          <w:bCs/>
          <w:color w:val="000000"/>
          <w:sz w:val="20"/>
          <w:szCs w:val="20"/>
        </w:rPr>
        <w:t xml:space="preserve">Dissolução Florida LLC — </w:t>
      </w:r>
      <w:r>
        <w:rPr>
          <w:rFonts w:ascii="Calibri" w:cs="Calibri" w:eastAsia="Calibri" w:hAnsi="Calibri"/>
          <w:b/>
          <w:bCs/>
          <w:color w:val="000000"/>
          <w:sz w:val="20"/>
          <w:szCs w:val="20"/>
        </w:rPr>
        <w:t xml:space="preserve">USD 800</w:t>
      </w:r>
    </w:p>
    <w:p>
      <w:pPr>
        <w:spacing w:after="120" w:before="60"/>
      </w:pPr>
      <w:r>
        <w:rPr>
          <w:rFonts w:ascii="Consolas" w:cs="Consolas" w:eastAsia="Consolas" w:hAnsi="Consolas"/>
          <w:color w:val="2E6DA4"/>
          <w:sz w:val="18"/>
          <w:szCs w:val="18"/>
        </w:rPr>
        <w:t xml:space="preserve">dissolucaoFL</w:t>
      </w:r>
    </w:p>
    <w:p>
      <w:pPr>
        <w:pStyle w:val="ListParagraph"/>
        <w:numPr>
          <w:ilvl w:val="0"/>
          <w:numId w:val="2"/>
        </w:numPr>
        <w:spacing w:after="20" w:before="20"/>
      </w:pPr>
      <w:r>
        <w:rPr>
          <w:rFonts w:ascii="Calibri" w:cs="Calibri" w:eastAsia="Calibri" w:hAnsi="Calibri"/>
          <w:color w:val="000000"/>
          <w:sz w:val="20"/>
          <w:szCs w:val="20"/>
        </w:rPr>
        <w:t xml:space="preserve">Formalização da dissolução perante o Departamento de Estado da Florida</w:t>
      </w:r>
    </w:p>
    <w:p>
      <w:pPr>
        <w:pStyle w:val="Heading4"/>
        <w:spacing w:after="80" w:before="200"/>
      </w:pPr>
      <w:r>
        <w:rPr>
          <w:rFonts w:ascii="Calibri" w:cs="Calibri" w:eastAsia="Calibri" w:hAnsi="Calibri"/>
          <w:b/>
          <w:bCs/>
          <w:color w:val="000000"/>
          <w:sz w:val="20"/>
          <w:szCs w:val="20"/>
        </w:rPr>
        <w:t xml:space="preserve">Dissolução Delaware LLC — </w:t>
      </w:r>
      <w:r>
        <w:rPr>
          <w:rFonts w:ascii="Calibri" w:cs="Calibri" w:eastAsia="Calibri" w:hAnsi="Calibri"/>
          <w:b/>
          <w:bCs/>
          <w:color w:val="000000"/>
          <w:sz w:val="20"/>
          <w:szCs w:val="20"/>
        </w:rPr>
        <w:t xml:space="preserve">USD 2,000</w:t>
      </w:r>
    </w:p>
    <w:p>
      <w:pPr>
        <w:spacing w:after="120" w:before="60"/>
      </w:pPr>
      <w:r>
        <w:rPr>
          <w:rFonts w:ascii="Consolas" w:cs="Consolas" w:eastAsia="Consolas" w:hAnsi="Consolas"/>
          <w:color w:val="2E6DA4"/>
          <w:sz w:val="18"/>
          <w:szCs w:val="18"/>
        </w:rPr>
        <w:t xml:space="preserve">dissolucaoDE</w:t>
      </w:r>
    </w:p>
    <w:p>
      <w:pPr>
        <w:pStyle w:val="ListParagraph"/>
        <w:numPr>
          <w:ilvl w:val="0"/>
          <w:numId w:val="2"/>
        </w:numPr>
        <w:spacing w:after="20" w:before="20"/>
      </w:pPr>
      <w:r>
        <w:rPr>
          <w:rFonts w:ascii="Calibri" w:cs="Calibri" w:eastAsia="Calibri" w:hAnsi="Calibri"/>
          <w:color w:val="000000"/>
          <w:sz w:val="20"/>
          <w:szCs w:val="20"/>
        </w:rPr>
        <w:t xml:space="preserve">Formalização da dissolução perante o Departamento de Estado de Delaware</w:t>
      </w:r>
    </w:p>
    <w:p>
      <w:pPr>
        <w:pStyle w:val="Heading4"/>
        <w:spacing w:after="80" w:before="200"/>
      </w:pPr>
      <w:r>
        <w:rPr>
          <w:rFonts w:ascii="Calibri" w:cs="Calibri" w:eastAsia="Calibri" w:hAnsi="Calibri"/>
          <w:b/>
          <w:bCs/>
          <w:color w:val="000000"/>
          <w:sz w:val="20"/>
          <w:szCs w:val="20"/>
        </w:rPr>
        <w:t xml:space="preserve">Dissolução New York LLC — </w:t>
      </w:r>
      <w:r>
        <w:rPr>
          <w:rFonts w:ascii="Calibri" w:cs="Calibri" w:eastAsia="Calibri" w:hAnsi="Calibri"/>
          <w:b/>
          <w:bCs/>
          <w:color w:val="000000"/>
          <w:sz w:val="20"/>
          <w:szCs w:val="20"/>
        </w:rPr>
        <w:t xml:space="preserve">USD 800</w:t>
      </w:r>
    </w:p>
    <w:p>
      <w:pPr>
        <w:spacing w:after="120" w:before="60"/>
      </w:pPr>
      <w:r>
        <w:rPr>
          <w:rFonts w:ascii="Consolas" w:cs="Consolas" w:eastAsia="Consolas" w:hAnsi="Consolas"/>
          <w:color w:val="2E6DA4"/>
          <w:sz w:val="18"/>
          <w:szCs w:val="18"/>
        </w:rPr>
        <w:t xml:space="preserve">dissolucaoNY</w:t>
      </w:r>
    </w:p>
    <w:p>
      <w:pPr>
        <w:pStyle w:val="ListParagraph"/>
        <w:numPr>
          <w:ilvl w:val="0"/>
          <w:numId w:val="2"/>
        </w:numPr>
        <w:spacing w:after="20" w:before="20"/>
      </w:pPr>
      <w:r>
        <w:rPr>
          <w:rFonts w:ascii="Calibri" w:cs="Calibri" w:eastAsia="Calibri" w:hAnsi="Calibri"/>
          <w:color w:val="000000"/>
          <w:sz w:val="20"/>
          <w:szCs w:val="20"/>
        </w:rPr>
        <w:t xml:space="preserve">Formalização da dissolução perante o Departamento de Estado de New York</w:t>
      </w:r>
    </w:p>
    <w:p>
      <w:pPr>
        <w:pStyle w:val="Heading4"/>
        <w:spacing w:after="80" w:before="200"/>
      </w:pPr>
      <w:r>
        <w:rPr>
          <w:rFonts w:ascii="Calibri" w:cs="Calibri" w:eastAsia="Calibri" w:hAnsi="Calibri"/>
          <w:b/>
          <w:bCs/>
          <w:color w:val="000000"/>
          <w:sz w:val="20"/>
          <w:szCs w:val="20"/>
        </w:rPr>
        <w:t xml:space="preserve">Dissolução South Dakota LLC — </w:t>
      </w:r>
      <w:r>
        <w:rPr>
          <w:rFonts w:ascii="Calibri" w:cs="Calibri" w:eastAsia="Calibri" w:hAnsi="Calibri"/>
          <w:b/>
          <w:bCs/>
          <w:color w:val="000000"/>
          <w:sz w:val="20"/>
          <w:szCs w:val="20"/>
        </w:rPr>
        <w:t xml:space="preserve">USD 800</w:t>
      </w:r>
    </w:p>
    <w:p>
      <w:pPr>
        <w:spacing w:after="120" w:before="60"/>
      </w:pPr>
      <w:r>
        <w:rPr>
          <w:rFonts w:ascii="Consolas" w:cs="Consolas" w:eastAsia="Consolas" w:hAnsi="Consolas"/>
          <w:color w:val="2E6DA4"/>
          <w:sz w:val="18"/>
          <w:szCs w:val="18"/>
        </w:rPr>
        <w:t xml:space="preserve">dissolucaoSD</w:t>
      </w:r>
    </w:p>
    <w:p>
      <w:pPr>
        <w:pStyle w:val="ListParagraph"/>
        <w:numPr>
          <w:ilvl w:val="0"/>
          <w:numId w:val="2"/>
        </w:numPr>
        <w:spacing w:after="20" w:before="20"/>
      </w:pPr>
      <w:r>
        <w:rPr>
          <w:rFonts w:ascii="Calibri" w:cs="Calibri" w:eastAsia="Calibri" w:hAnsi="Calibri"/>
          <w:color w:val="000000"/>
          <w:sz w:val="20"/>
          <w:szCs w:val="20"/>
        </w:rPr>
        <w:t xml:space="preserve">Formalização da dissolução perante o Departamento de Estado de South Dakota</w:t>
      </w:r>
    </w:p>
    <w:p>
      <w:pPr>
        <w:pStyle w:val="Heading4"/>
        <w:spacing w:after="80" w:before="200"/>
      </w:pPr>
      <w:r>
        <w:rPr>
          <w:rFonts w:ascii="Calibri" w:cs="Calibri" w:eastAsia="Calibri" w:hAnsi="Calibri"/>
          <w:b/>
          <w:bCs/>
          <w:color w:val="000000"/>
          <w:sz w:val="20"/>
          <w:szCs w:val="20"/>
        </w:rPr>
        <w:t xml:space="preserve">Dissolução Wisconsin LLC — </w:t>
      </w:r>
      <w:r>
        <w:rPr>
          <w:rFonts w:ascii="Calibri" w:cs="Calibri" w:eastAsia="Calibri" w:hAnsi="Calibri"/>
          <w:b/>
          <w:bCs/>
          <w:color w:val="000000"/>
          <w:sz w:val="20"/>
          <w:szCs w:val="20"/>
        </w:rPr>
        <w:t xml:space="preserve">USD 800</w:t>
      </w:r>
    </w:p>
    <w:p>
      <w:pPr>
        <w:spacing w:after="120" w:before="60"/>
      </w:pPr>
      <w:r>
        <w:rPr>
          <w:rFonts w:ascii="Consolas" w:cs="Consolas" w:eastAsia="Consolas" w:hAnsi="Consolas"/>
          <w:color w:val="2E6DA4"/>
          <w:sz w:val="18"/>
          <w:szCs w:val="18"/>
        </w:rPr>
        <w:t xml:space="preserve">dissolucaoWI</w:t>
      </w:r>
    </w:p>
    <w:p>
      <w:pPr>
        <w:pStyle w:val="ListParagraph"/>
        <w:numPr>
          <w:ilvl w:val="0"/>
          <w:numId w:val="2"/>
        </w:numPr>
        <w:spacing w:after="20" w:before="20"/>
      </w:pPr>
      <w:r>
        <w:rPr>
          <w:rFonts w:ascii="Calibri" w:cs="Calibri" w:eastAsia="Calibri" w:hAnsi="Calibri"/>
          <w:color w:val="000000"/>
          <w:sz w:val="20"/>
          <w:szCs w:val="20"/>
        </w:rPr>
        <w:t xml:space="preserve">Formalização da dissolução perante o Departamento de Estado de Wisconsin</w:t>
      </w:r>
    </w:p>
    <w:p>
      <w:pPr>
        <w:pStyle w:val="Heading4"/>
        <w:spacing w:after="80" w:before="200"/>
      </w:pPr>
      <w:r>
        <w:rPr>
          <w:rFonts w:ascii="Calibri" w:cs="Calibri" w:eastAsia="Calibri" w:hAnsi="Calibri"/>
          <w:b/>
          <w:bCs/>
          <w:color w:val="000000"/>
          <w:sz w:val="20"/>
          <w:szCs w:val="20"/>
        </w:rPr>
        <w:t xml:space="preserve">Dissolução Minnesota LLC — </w:t>
      </w:r>
      <w:r>
        <w:rPr>
          <w:rFonts w:ascii="Calibri" w:cs="Calibri" w:eastAsia="Calibri" w:hAnsi="Calibri"/>
          <w:b/>
          <w:bCs/>
          <w:color w:val="000000"/>
          <w:sz w:val="20"/>
          <w:szCs w:val="20"/>
        </w:rPr>
        <w:t xml:space="preserve">USD 800</w:t>
      </w:r>
    </w:p>
    <w:p>
      <w:pPr>
        <w:spacing w:after="120" w:before="60"/>
      </w:pPr>
      <w:r>
        <w:rPr>
          <w:rFonts w:ascii="Consolas" w:cs="Consolas" w:eastAsia="Consolas" w:hAnsi="Consolas"/>
          <w:color w:val="2E6DA4"/>
          <w:sz w:val="18"/>
          <w:szCs w:val="18"/>
        </w:rPr>
        <w:t xml:space="preserve">dissolucaoMN</w:t>
      </w:r>
    </w:p>
    <w:p>
      <w:pPr>
        <w:pStyle w:val="ListParagraph"/>
        <w:numPr>
          <w:ilvl w:val="0"/>
          <w:numId w:val="2"/>
        </w:numPr>
        <w:spacing w:after="20" w:before="20"/>
      </w:pPr>
      <w:r>
        <w:rPr>
          <w:rFonts w:ascii="Calibri" w:cs="Calibri" w:eastAsia="Calibri" w:hAnsi="Calibri"/>
          <w:color w:val="000000"/>
          <w:sz w:val="20"/>
          <w:szCs w:val="20"/>
        </w:rPr>
        <w:t xml:space="preserve">Formalização da dissolução perante o Departamento de Estado de Minnesota</w:t>
      </w:r>
    </w:p>
    <w:p>
      <w:pPr>
        <w:pStyle w:val="Heading4"/>
        <w:spacing w:after="80" w:before="200"/>
      </w:pPr>
      <w:r>
        <w:rPr>
          <w:rFonts w:ascii="Calibri" w:cs="Calibri" w:eastAsia="Calibri" w:hAnsi="Calibri"/>
          <w:b/>
          <w:bCs/>
          <w:color w:val="000000"/>
          <w:sz w:val="20"/>
          <w:szCs w:val="20"/>
        </w:rPr>
        <w:t xml:space="preserve">Tax Return Final (FL LLC) — </w:t>
      </w:r>
      <w:r>
        <w:rPr>
          <w:rFonts w:ascii="Calibri" w:cs="Calibri" w:eastAsia="Calibri" w:hAnsi="Calibri"/>
          <w:b/>
          <w:bCs/>
          <w:color w:val="000000"/>
          <w:sz w:val="20"/>
          <w:szCs w:val="20"/>
        </w:rPr>
        <w:t xml:space="preserve">USD 1,500</w:t>
      </w:r>
    </w:p>
    <w:p>
      <w:pPr>
        <w:spacing w:after="120" w:before="60"/>
      </w:pPr>
      <w:r>
        <w:rPr>
          <w:rFonts w:ascii="Consolas" w:cs="Consolas" w:eastAsia="Consolas" w:hAnsi="Consolas"/>
          <w:color w:val="2E6DA4"/>
          <w:sz w:val="18"/>
          <w:szCs w:val="18"/>
        </w:rPr>
        <w:t xml:space="preserve">dissolucaoFLTR</w:t>
      </w:r>
    </w:p>
    <w:p>
      <w:pPr>
        <w:pStyle w:val="ListParagraph"/>
        <w:numPr>
          <w:ilvl w:val="0"/>
          <w:numId w:val="2"/>
        </w:numPr>
        <w:spacing w:after="20" w:before="20"/>
      </w:pPr>
      <w:r>
        <w:rPr>
          <w:rFonts w:ascii="Calibri" w:cs="Calibri" w:eastAsia="Calibri" w:hAnsi="Calibri"/>
          <w:color w:val="000000"/>
          <w:sz w:val="20"/>
          <w:szCs w:val="20"/>
        </w:rPr>
        <w:t xml:space="preserve">Tax Return final referente ao período de operação da empresa até a data de dissolução</w:t>
      </w:r>
    </w:p>
    <w:p>
      <w:pPr>
        <w:pStyle w:val="Heading4"/>
        <w:spacing w:after="80" w:before="200"/>
      </w:pPr>
      <w:r>
        <w:rPr>
          <w:rFonts w:ascii="Calibri" w:cs="Calibri" w:eastAsia="Calibri" w:hAnsi="Calibri"/>
          <w:b/>
          <w:bCs/>
          <w:color w:val="000000"/>
          <w:sz w:val="20"/>
          <w:szCs w:val="20"/>
        </w:rPr>
        <w:t xml:space="preserve">Demonstrações Financeiras Final (DE) — </w:t>
      </w:r>
      <w:r>
        <w:rPr>
          <w:rFonts w:ascii="Calibri" w:cs="Calibri" w:eastAsia="Calibri" w:hAnsi="Calibri"/>
          <w:b/>
          <w:bCs/>
          <w:color w:val="000000"/>
          <w:sz w:val="20"/>
          <w:szCs w:val="20"/>
        </w:rPr>
        <w:t xml:space="preserve">USD 1,400</w:t>
      </w:r>
    </w:p>
    <w:p>
      <w:pPr>
        <w:spacing w:after="120" w:before="60"/>
      </w:pPr>
      <w:r>
        <w:rPr>
          <w:rFonts w:ascii="Consolas" w:cs="Consolas" w:eastAsia="Consolas" w:hAnsi="Consolas"/>
          <w:color w:val="2E6DA4"/>
          <w:sz w:val="18"/>
          <w:szCs w:val="18"/>
        </w:rPr>
        <w:t xml:space="preserve">dissolucaoDEFS</w:t>
      </w:r>
    </w:p>
    <w:p>
      <w:pPr>
        <w:pStyle w:val="ListParagraph"/>
        <w:numPr>
          <w:ilvl w:val="0"/>
          <w:numId w:val="2"/>
        </w:numPr>
        <w:spacing w:after="20" w:before="20"/>
      </w:pPr>
      <w:r>
        <w:rPr>
          <w:rFonts w:ascii="Calibri" w:cs="Calibri" w:eastAsia="Calibri" w:hAnsi="Calibri"/>
          <w:color w:val="000000"/>
          <w:sz w:val="20"/>
          <w:szCs w:val="20"/>
        </w:rPr>
        <w:t xml:space="preserve">Demonstrações Financeiras finais referentes ao período de operação da empresa até a data de dissolução</w:t>
      </w:r>
    </w:p>
    <w:p>
      <w:pPr>
        <w:pStyle w:val="Heading2"/>
        <w:spacing w:after="140" w:before="340"/>
      </w:pPr>
      <w:r>
        <w:rPr>
          <w:rFonts w:ascii="Calibri" w:cs="Calibri" w:eastAsia="Calibri" w:hAnsi="Calibri"/>
          <w:b/>
          <w:bCs/>
          <w:color w:val="1F3A5F"/>
          <w:sz w:val="26"/>
          <w:szCs w:val="26"/>
        </w:rPr>
        <w:t xml:space="preserve">8. Reestruturação Societária (standalone — todos sem preço fixo)</w:t>
      </w:r>
    </w:p>
    <w:p>
      <w:pPr>
        <w:pStyle w:val="Heading4"/>
        <w:spacing w:after="80" w:before="200"/>
      </w:pPr>
      <w:r>
        <w:rPr>
          <w:rFonts w:ascii="Calibri" w:cs="Calibri" w:eastAsia="Calibri" w:hAnsi="Calibri"/>
          <w:b/>
          <w:bCs/>
          <w:color w:val="000000"/>
          <w:sz w:val="20"/>
          <w:szCs w:val="20"/>
        </w:rPr>
        <w:t xml:space="preserve">Inclusão / Exclusão de Diretor — </w:t>
      </w:r>
      <w:r>
        <w:rPr>
          <w:rFonts w:ascii="Calibri" w:cs="Calibri" w:eastAsia="Calibri" w:hAnsi="Calibri"/>
          <w:b/>
          <w:bCs/>
          <w:color w:val="000000"/>
          <w:sz w:val="20"/>
          <w:szCs w:val="20"/>
        </w:rPr>
        <w:t xml:space="preserve">A definir (caso a caso)</w:t>
      </w:r>
    </w:p>
    <w:p>
      <w:pPr>
        <w:spacing w:after="120" w:before="60"/>
      </w:pPr>
      <w:r>
        <w:rPr>
          <w:rFonts w:ascii="Consolas" w:cs="Consolas" w:eastAsia="Consolas" w:hAnsi="Consolas"/>
          <w:color w:val="2E6DA4"/>
          <w:sz w:val="18"/>
          <w:szCs w:val="18"/>
        </w:rPr>
        <w:t xml:space="preserve">reestruDiretor</w:t>
      </w:r>
    </w:p>
    <w:p>
      <w:pPr>
        <w:pStyle w:val="ListParagraph"/>
        <w:numPr>
          <w:ilvl w:val="0"/>
          <w:numId w:val="2"/>
        </w:numPr>
        <w:spacing w:after="20" w:before="20"/>
      </w:pPr>
      <w:r>
        <w:rPr>
          <w:rFonts w:ascii="Calibri" w:cs="Calibri" w:eastAsia="Calibri" w:hAnsi="Calibri"/>
          <w:color w:val="000000"/>
          <w:sz w:val="20"/>
          <w:szCs w:val="20"/>
        </w:rPr>
        <w:t xml:space="preserve">Inclusão ou exclusão de diretor da estrutura societária, incluindo atualização dos documentos corporativos, registros e demais procedimentos necessários para a formalização da alteração perante as autoridades competentes.</w:t>
      </w:r>
    </w:p>
    <w:p>
      <w:pPr>
        <w:pStyle w:val="Heading4"/>
        <w:spacing w:after="80" w:before="200"/>
      </w:pPr>
      <w:r>
        <w:rPr>
          <w:rFonts w:ascii="Calibri" w:cs="Calibri" w:eastAsia="Calibri" w:hAnsi="Calibri"/>
          <w:b/>
          <w:bCs/>
          <w:color w:val="000000"/>
          <w:sz w:val="20"/>
          <w:szCs w:val="20"/>
        </w:rPr>
        <w:t xml:space="preserve">Inclusão / Exclusão de Sócio — </w:t>
      </w:r>
      <w:r>
        <w:rPr>
          <w:rFonts w:ascii="Calibri" w:cs="Calibri" w:eastAsia="Calibri" w:hAnsi="Calibri"/>
          <w:b/>
          <w:bCs/>
          <w:color w:val="000000"/>
          <w:sz w:val="20"/>
          <w:szCs w:val="20"/>
        </w:rPr>
        <w:t xml:space="preserve">A definir (caso a caso)</w:t>
      </w:r>
    </w:p>
    <w:p>
      <w:pPr>
        <w:spacing w:after="120" w:before="60"/>
      </w:pPr>
      <w:r>
        <w:rPr>
          <w:rFonts w:ascii="Consolas" w:cs="Consolas" w:eastAsia="Consolas" w:hAnsi="Consolas"/>
          <w:color w:val="2E6DA4"/>
          <w:sz w:val="18"/>
          <w:szCs w:val="18"/>
        </w:rPr>
        <w:t xml:space="preserve">reestruMembers</w:t>
      </w:r>
    </w:p>
    <w:p>
      <w:pPr>
        <w:pStyle w:val="ListParagraph"/>
        <w:numPr>
          <w:ilvl w:val="0"/>
          <w:numId w:val="2"/>
        </w:numPr>
        <w:spacing w:after="20" w:before="20"/>
      </w:pPr>
      <w:r>
        <w:rPr>
          <w:rFonts w:ascii="Calibri" w:cs="Calibri" w:eastAsia="Calibri" w:hAnsi="Calibri"/>
          <w:color w:val="000000"/>
          <w:sz w:val="20"/>
          <w:szCs w:val="20"/>
        </w:rPr>
        <w:t xml:space="preserve">Inclusão ou exclusão de sócio da estrutura societária, com atualização dos documentos corporativos, registros e demais procedimentos necessários para a formalização da alteração.</w:t>
      </w:r>
    </w:p>
    <w:p>
      <w:pPr>
        <w:pStyle w:val="Heading4"/>
        <w:spacing w:after="80" w:before="200"/>
      </w:pPr>
      <w:r>
        <w:rPr>
          <w:rFonts w:ascii="Calibri" w:cs="Calibri" w:eastAsia="Calibri" w:hAnsi="Calibri"/>
          <w:b/>
          <w:bCs/>
          <w:color w:val="000000"/>
          <w:sz w:val="20"/>
          <w:szCs w:val="20"/>
        </w:rPr>
        <w:t xml:space="preserve">Share Certificate — </w:t>
      </w:r>
      <w:r>
        <w:rPr>
          <w:rFonts w:ascii="Calibri" w:cs="Calibri" w:eastAsia="Calibri" w:hAnsi="Calibri"/>
          <w:b/>
          <w:bCs/>
          <w:color w:val="000000"/>
          <w:sz w:val="20"/>
          <w:szCs w:val="20"/>
        </w:rPr>
        <w:t xml:space="preserve">A definir (caso a caso)</w:t>
      </w:r>
    </w:p>
    <w:p>
      <w:pPr>
        <w:spacing w:after="120" w:before="60"/>
      </w:pPr>
      <w:r>
        <w:rPr>
          <w:rFonts w:ascii="Consolas" w:cs="Consolas" w:eastAsia="Consolas" w:hAnsi="Consolas"/>
          <w:color w:val="2E6DA4"/>
          <w:sz w:val="18"/>
          <w:szCs w:val="18"/>
        </w:rPr>
        <w:t xml:space="preserve">reestruShare</w:t>
      </w:r>
    </w:p>
    <w:p>
      <w:pPr>
        <w:pStyle w:val="ListParagraph"/>
        <w:numPr>
          <w:ilvl w:val="0"/>
          <w:numId w:val="2"/>
        </w:numPr>
        <w:spacing w:after="20" w:before="20"/>
      </w:pPr>
      <w:r>
        <w:rPr>
          <w:rFonts w:ascii="Calibri" w:cs="Calibri" w:eastAsia="Calibri" w:hAnsi="Calibri"/>
          <w:color w:val="000000"/>
          <w:sz w:val="20"/>
          <w:szCs w:val="20"/>
        </w:rPr>
        <w:t xml:space="preserve">Emissão de certificado de ações para os sócios da estrutura societária, conforme exigência legal ou demanda interna da empresa.</w:t>
      </w:r>
    </w:p>
    <w:p>
      <w:pPr>
        <w:pStyle w:val="Heading4"/>
        <w:spacing w:after="80" w:before="200"/>
      </w:pPr>
      <w:r>
        <w:rPr>
          <w:rFonts w:ascii="Calibri" w:cs="Calibri" w:eastAsia="Calibri" w:hAnsi="Calibri"/>
          <w:b/>
          <w:bCs/>
          <w:color w:val="000000"/>
          <w:sz w:val="20"/>
          <w:szCs w:val="20"/>
        </w:rPr>
        <w:t xml:space="preserve">Inclusão de Joint Tenancy — </w:t>
      </w:r>
      <w:r>
        <w:rPr>
          <w:rFonts w:ascii="Calibri" w:cs="Calibri" w:eastAsia="Calibri" w:hAnsi="Calibri"/>
          <w:b/>
          <w:bCs/>
          <w:color w:val="000000"/>
          <w:sz w:val="20"/>
          <w:szCs w:val="20"/>
        </w:rPr>
        <w:t xml:space="preserve">A definir (caso a caso)</w:t>
      </w:r>
    </w:p>
    <w:p>
      <w:pPr>
        <w:spacing w:after="120" w:before="60"/>
      </w:pPr>
      <w:r>
        <w:rPr>
          <w:rFonts w:ascii="Consolas" w:cs="Consolas" w:eastAsia="Consolas" w:hAnsi="Consolas"/>
          <w:color w:val="2E6DA4"/>
          <w:sz w:val="18"/>
          <w:szCs w:val="18"/>
        </w:rPr>
        <w:t xml:space="preserve">reestruJoint</w:t>
      </w:r>
    </w:p>
    <w:p>
      <w:pPr>
        <w:pStyle w:val="ListParagraph"/>
        <w:numPr>
          <w:ilvl w:val="0"/>
          <w:numId w:val="2"/>
        </w:numPr>
        <w:spacing w:after="20" w:before="20"/>
      </w:pPr>
      <w:r>
        <w:rPr>
          <w:rFonts w:ascii="Calibri" w:cs="Calibri" w:eastAsia="Calibri" w:hAnsi="Calibri"/>
          <w:color w:val="000000"/>
          <w:sz w:val="20"/>
          <w:szCs w:val="20"/>
        </w:rPr>
        <w:t xml:space="preserve">Inclusão de modalidade de joint tenancy na estrutura de titularidade societária, com atualização dos documentos corporativos e registros correspondentes.</w:t>
      </w:r>
    </w:p>
    <w:p>
      <w:pPr>
        <w:pStyle w:val="Heading4"/>
        <w:spacing w:after="80" w:before="200"/>
      </w:pPr>
      <w:r>
        <w:rPr>
          <w:rFonts w:ascii="Calibri" w:cs="Calibri" w:eastAsia="Calibri" w:hAnsi="Calibri"/>
          <w:b/>
          <w:bCs/>
          <w:color w:val="000000"/>
          <w:sz w:val="20"/>
          <w:szCs w:val="20"/>
        </w:rPr>
        <w:t xml:space="preserve">Governança Corporativa — </w:t>
      </w:r>
      <w:r>
        <w:rPr>
          <w:rFonts w:ascii="Calibri" w:cs="Calibri" w:eastAsia="Calibri" w:hAnsi="Calibri"/>
          <w:b/>
          <w:bCs/>
          <w:color w:val="000000"/>
          <w:sz w:val="20"/>
          <w:szCs w:val="20"/>
        </w:rPr>
        <w:t xml:space="preserve">A definir (caso a caso)</w:t>
      </w:r>
    </w:p>
    <w:p>
      <w:pPr>
        <w:spacing w:after="120" w:before="60"/>
      </w:pPr>
      <w:r>
        <w:rPr>
          <w:rFonts w:ascii="Consolas" w:cs="Consolas" w:eastAsia="Consolas" w:hAnsi="Consolas"/>
          <w:color w:val="2E6DA4"/>
          <w:sz w:val="18"/>
          <w:szCs w:val="18"/>
        </w:rPr>
        <w:t xml:space="preserve">reestruGov</w:t>
      </w:r>
    </w:p>
    <w:p>
      <w:pPr>
        <w:pStyle w:val="ListParagraph"/>
        <w:numPr>
          <w:ilvl w:val="0"/>
          <w:numId w:val="2"/>
        </w:numPr>
        <w:spacing w:after="20" w:before="20"/>
      </w:pPr>
      <w:r>
        <w:rPr>
          <w:rFonts w:ascii="Calibri" w:cs="Calibri" w:eastAsia="Calibri" w:hAnsi="Calibri"/>
          <w:color w:val="000000"/>
          <w:sz w:val="20"/>
          <w:szCs w:val="20"/>
        </w:rPr>
        <w:t xml:space="preserve">Estruturação ou atualização das práticas de governança corporativa da entidade, com elaboração ou revisão de documentos internos, políticas, procedimentos e acordos de sócios conforme aplicável.</w:t>
      </w:r>
    </w:p>
    <w:p>
      <w:pPr>
        <w:pStyle w:val="Heading4"/>
        <w:spacing w:after="80" w:before="200"/>
      </w:pPr>
      <w:r>
        <w:rPr>
          <w:rFonts w:ascii="Calibri" w:cs="Calibri" w:eastAsia="Calibri" w:hAnsi="Calibri"/>
          <w:b/>
          <w:bCs/>
          <w:color w:val="000000"/>
          <w:sz w:val="20"/>
          <w:szCs w:val="20"/>
        </w:rPr>
        <w:t xml:space="preserve">Classe de Ações — </w:t>
      </w:r>
      <w:r>
        <w:rPr>
          <w:rFonts w:ascii="Calibri" w:cs="Calibri" w:eastAsia="Calibri" w:hAnsi="Calibri"/>
          <w:b/>
          <w:bCs/>
          <w:color w:val="000000"/>
          <w:sz w:val="20"/>
          <w:szCs w:val="20"/>
        </w:rPr>
        <w:t xml:space="preserve">A definir (caso a caso)</w:t>
      </w:r>
    </w:p>
    <w:p>
      <w:pPr>
        <w:spacing w:after="120" w:before="60"/>
      </w:pPr>
      <w:r>
        <w:rPr>
          <w:rFonts w:ascii="Consolas" w:cs="Consolas" w:eastAsia="Consolas" w:hAnsi="Consolas"/>
          <w:color w:val="2E6DA4"/>
          <w:sz w:val="18"/>
          <w:szCs w:val="18"/>
        </w:rPr>
        <w:t xml:space="preserve">reestruShareClass</w:t>
      </w:r>
    </w:p>
    <w:p>
      <w:pPr>
        <w:pStyle w:val="ListParagraph"/>
        <w:numPr>
          <w:ilvl w:val="0"/>
          <w:numId w:val="2"/>
        </w:numPr>
        <w:spacing w:after="20" w:before="20"/>
      </w:pPr>
      <w:r>
        <w:rPr>
          <w:rFonts w:ascii="Calibri" w:cs="Calibri" w:eastAsia="Calibri" w:hAnsi="Calibri"/>
          <w:color w:val="000000"/>
          <w:sz w:val="20"/>
          <w:szCs w:val="20"/>
        </w:rPr>
        <w:t xml:space="preserve">Criação, alteração ou reorganização de classes de ações da estrutura societária, com atualização dos documentos constitutivos, registros e demais procedimentos formais exigidos.</w:t>
      </w:r>
    </w:p>
    <w:p>
      <w:pPr>
        <w:pStyle w:val="Heading4"/>
        <w:spacing w:after="80" w:before="200"/>
      </w:pPr>
      <w:r>
        <w:rPr>
          <w:rFonts w:ascii="Calibri" w:cs="Calibri" w:eastAsia="Calibri" w:hAnsi="Calibri"/>
          <w:b/>
          <w:bCs/>
          <w:color w:val="000000"/>
          <w:sz w:val="20"/>
          <w:szCs w:val="20"/>
        </w:rPr>
        <w:t xml:space="preserve">Múltiplas Jurisdições — </w:t>
      </w:r>
      <w:r>
        <w:rPr>
          <w:rFonts w:ascii="Calibri" w:cs="Calibri" w:eastAsia="Calibri" w:hAnsi="Calibri"/>
          <w:b/>
          <w:bCs/>
          <w:color w:val="000000"/>
          <w:sz w:val="20"/>
          <w:szCs w:val="20"/>
        </w:rPr>
        <w:t xml:space="preserve">A definir (caso a caso)</w:t>
      </w:r>
    </w:p>
    <w:p>
      <w:pPr>
        <w:spacing w:after="120" w:before="60"/>
      </w:pPr>
      <w:r>
        <w:rPr>
          <w:rFonts w:ascii="Consolas" w:cs="Consolas" w:eastAsia="Consolas" w:hAnsi="Consolas"/>
          <w:color w:val="2E6DA4"/>
          <w:sz w:val="18"/>
          <w:szCs w:val="18"/>
        </w:rPr>
        <w:t xml:space="preserve">reestruMultiJuris</w:t>
      </w:r>
    </w:p>
    <w:p>
      <w:pPr>
        <w:pStyle w:val="ListParagraph"/>
        <w:numPr>
          <w:ilvl w:val="0"/>
          <w:numId w:val="2"/>
        </w:numPr>
        <w:spacing w:after="20" w:before="20"/>
      </w:pPr>
      <w:r>
        <w:rPr>
          <w:rFonts w:ascii="Calibri" w:cs="Calibri" w:eastAsia="Calibri" w:hAnsi="Calibri"/>
          <w:color w:val="000000"/>
          <w:sz w:val="20"/>
          <w:szCs w:val="20"/>
        </w:rPr>
        <w:t xml:space="preserve">Reorganização societária envolvendo múltiplas jurisdições, com coordenação dos procedimentos legais e regulatórios aplicáveis em cada território envolvido na estrutura.</w:t>
      </w:r>
    </w:p>
    <w:p>
      <w:pPr>
        <w:pStyle w:val="Heading4"/>
        <w:spacing w:after="80" w:before="200"/>
      </w:pPr>
      <w:r>
        <w:rPr>
          <w:rFonts w:ascii="Calibri" w:cs="Calibri" w:eastAsia="Calibri" w:hAnsi="Calibri"/>
          <w:b/>
          <w:bCs/>
          <w:color w:val="000000"/>
          <w:sz w:val="20"/>
          <w:szCs w:val="20"/>
        </w:rPr>
        <w:t xml:space="preserve">Entrada de Novo Sócio / Investidor — </w:t>
      </w:r>
      <w:r>
        <w:rPr>
          <w:rFonts w:ascii="Calibri" w:cs="Calibri" w:eastAsia="Calibri" w:hAnsi="Calibri"/>
          <w:b/>
          <w:bCs/>
          <w:color w:val="000000"/>
          <w:sz w:val="20"/>
          <w:szCs w:val="20"/>
        </w:rPr>
        <w:t xml:space="preserve">A definir (caso a caso)</w:t>
      </w:r>
    </w:p>
    <w:p>
      <w:pPr>
        <w:spacing w:after="120" w:before="60"/>
      </w:pPr>
      <w:r>
        <w:rPr>
          <w:rFonts w:ascii="Consolas" w:cs="Consolas" w:eastAsia="Consolas" w:hAnsi="Consolas"/>
          <w:color w:val="2E6DA4"/>
          <w:sz w:val="18"/>
          <w:szCs w:val="18"/>
        </w:rPr>
        <w:t xml:space="preserve">reestruNewPartner</w:t>
      </w:r>
    </w:p>
    <w:p>
      <w:pPr>
        <w:pStyle w:val="ListParagraph"/>
        <w:numPr>
          <w:ilvl w:val="0"/>
          <w:numId w:val="2"/>
        </w:numPr>
        <w:spacing w:after="20" w:before="20"/>
      </w:pPr>
      <w:r>
        <w:rPr>
          <w:rFonts w:ascii="Calibri" w:cs="Calibri" w:eastAsia="Calibri" w:hAnsi="Calibri"/>
          <w:color w:val="000000"/>
          <w:sz w:val="20"/>
          <w:szCs w:val="20"/>
        </w:rPr>
        <w:t xml:space="preserve">Formalização da entrada de novo sócio ou investidor na estrutura societária, incluindo negociação e elaboração dos documentos necessários, atualização dos registros corporativos e procedimentos formais de adesão.</w:t>
      </w:r>
    </w:p>
    <w:p>
      <w:pPr>
        <w:pStyle w:val="Heading2"/>
        <w:spacing w:after="140" w:before="340"/>
      </w:pPr>
      <w:r>
        <w:rPr>
          <w:rFonts w:ascii="Calibri" w:cs="Calibri" w:eastAsia="Calibri" w:hAnsi="Calibri"/>
          <w:b/>
          <w:bCs/>
          <w:color w:val="1F3A5F"/>
          <w:sz w:val="26"/>
          <w:szCs w:val="26"/>
        </w:rPr>
        <w:t xml:space="preserve">9. Outros</w:t>
      </w:r>
    </w:p>
    <w:p>
      <w:pPr>
        <w:pStyle w:val="Heading4"/>
        <w:spacing w:after="80" w:before="200"/>
      </w:pPr>
      <w:r>
        <w:rPr>
          <w:rFonts w:ascii="Calibri" w:cs="Calibri" w:eastAsia="Calibri" w:hAnsi="Calibri"/>
          <w:b/>
          <w:bCs/>
          <w:color w:val="000000"/>
          <w:sz w:val="20"/>
          <w:szCs w:val="20"/>
        </w:rPr>
        <w:t xml:space="preserve">DCBE — Declaração de Capitais Brasileiros no Exterior — </w:t>
      </w:r>
      <w:r>
        <w:rPr>
          <w:rFonts w:ascii="Calibri" w:cs="Calibri" w:eastAsia="Calibri" w:hAnsi="Calibri"/>
          <w:b/>
          <w:bCs/>
          <w:color w:val="000000"/>
          <w:sz w:val="20"/>
          <w:szCs w:val="20"/>
        </w:rPr>
        <w:t xml:space="preserve">A definir (caso a caso)</w:t>
      </w:r>
    </w:p>
    <w:p>
      <w:pPr>
        <w:spacing w:after="120" w:before="60"/>
      </w:pPr>
      <w:r>
        <w:rPr>
          <w:rFonts w:ascii="Consolas" w:cs="Consolas" w:eastAsia="Consolas" w:hAnsi="Consolas"/>
          <w:color w:val="2E6DA4"/>
          <w:sz w:val="18"/>
          <w:szCs w:val="18"/>
        </w:rPr>
        <w:t xml:space="preserve">dcbe</w:t>
      </w:r>
    </w:p>
    <w:p>
      <w:pPr>
        <w:pStyle w:val="Heading2"/>
        <w:spacing w:after="140" w:before="340"/>
      </w:pPr>
      <w:r>
        <w:rPr>
          <w:rFonts w:ascii="Calibri" w:cs="Calibri" w:eastAsia="Calibri" w:hAnsi="Calibri"/>
          <w:b/>
          <w:bCs/>
          <w:color w:val="1F3A5F"/>
          <w:sz w:val="26"/>
          <w:szCs w:val="26"/>
        </w:rPr>
        <w:t xml:space="preserve">10. O que a proposta atual já declara como NÃO INCLUÍDO</w:t>
      </w:r>
    </w:p>
    <w:p>
      <w:pPr>
        <w:pStyle w:val="ListParagraph"/>
        <w:numPr>
          <w:ilvl w:val="0"/>
          <w:numId w:val="2"/>
        </w:numPr>
        <w:spacing w:after="20" w:before="20"/>
      </w:pPr>
      <w:r>
        <w:rPr>
          <w:rFonts w:ascii="Calibri" w:cs="Calibri" w:eastAsia="Calibri" w:hAnsi="Calibri"/>
          <w:color w:val="000000"/>
          <w:sz w:val="20"/>
          <w:szCs w:val="20"/>
        </w:rPr>
        <w:t xml:space="preserve">Elaboração de atas (aportes, redução de capital, entre outros)</w:t>
      </w:r>
    </w:p>
    <w:p>
      <w:pPr>
        <w:pStyle w:val="ListParagraph"/>
        <w:numPr>
          <w:ilvl w:val="0"/>
          <w:numId w:val="2"/>
        </w:numPr>
        <w:spacing w:after="20" w:before="20"/>
      </w:pPr>
      <w:r>
        <w:rPr>
          <w:rFonts w:ascii="Calibri" w:cs="Calibri" w:eastAsia="Calibri" w:hAnsi="Calibri"/>
          <w:color w:val="000000"/>
          <w:sz w:val="20"/>
          <w:szCs w:val="20"/>
        </w:rPr>
        <w:t xml:space="preserve">Certificados (Good Standing, Incumbency)</w:t>
      </w:r>
    </w:p>
    <w:p>
      <w:pPr>
        <w:pStyle w:val="ListParagraph"/>
        <w:numPr>
          <w:ilvl w:val="0"/>
          <w:numId w:val="2"/>
        </w:numPr>
        <w:spacing w:after="20" w:before="20"/>
      </w:pPr>
      <w:r>
        <w:rPr>
          <w:rFonts w:ascii="Calibri" w:cs="Calibri" w:eastAsia="Calibri" w:hAnsi="Calibri"/>
          <w:color w:val="000000"/>
          <w:sz w:val="20"/>
          <w:szCs w:val="20"/>
        </w:rPr>
        <w:t xml:space="preserve">Reestruturações</w:t>
      </w:r>
    </w:p>
    <w:p>
      <w:pPr>
        <w:pStyle w:val="ListParagraph"/>
        <w:numPr>
          <w:ilvl w:val="0"/>
          <w:numId w:val="2"/>
        </w:numPr>
        <w:spacing w:after="20" w:before="20"/>
      </w:pPr>
      <w:r>
        <w:rPr>
          <w:rFonts w:ascii="Calibri" w:cs="Calibri" w:eastAsia="Calibri" w:hAnsi="Calibri"/>
          <w:color w:val="000000"/>
          <w:sz w:val="20"/>
          <w:szCs w:val="20"/>
        </w:rPr>
        <w:t xml:space="preserve">Notarizações e apostilamentos</w:t>
      </w:r>
    </w:p>
    <w:p>
      <w:pPr>
        <w:pStyle w:val="ListParagraph"/>
        <w:numPr>
          <w:ilvl w:val="0"/>
          <w:numId w:val="2"/>
        </w:numPr>
        <w:spacing w:after="20" w:before="20"/>
      </w:pPr>
      <w:r>
        <w:rPr>
          <w:rFonts w:ascii="Calibri" w:cs="Calibri" w:eastAsia="Calibri" w:hAnsi="Calibri"/>
          <w:color w:val="000000"/>
          <w:sz w:val="20"/>
          <w:szCs w:val="20"/>
        </w:rPr>
        <w:t xml:space="preserve">Serviços de courier/postagem</w:t>
      </w:r>
    </w:p>
    <w:p>
      <w:pPr>
        <w:pStyle w:val="ListParagraph"/>
        <w:numPr>
          <w:ilvl w:val="0"/>
          <w:numId w:val="2"/>
        </w:numPr>
        <w:spacing w:after="20" w:before="20"/>
      </w:pPr>
      <w:r>
        <w:rPr>
          <w:rFonts w:ascii="Calibri" w:cs="Calibri" w:eastAsia="Calibri" w:hAnsi="Calibri"/>
          <w:color w:val="000000"/>
          <w:sz w:val="20"/>
          <w:szCs w:val="20"/>
        </w:rPr>
        <w:t xml:space="preserve">Qualquer outra necessidade não especificada nos itens acima será tratada caso a caso, com apresentação de proposta adicional</w:t>
      </w:r>
    </w:p>
    <w:p>
      <w:pPr>
        <w:pBdr>
          <w:bottom w:val="single" w:color="C9D4E0" w:sz="6" w:space="1"/>
        </w:pBdr>
        <w:spacing w:after="200" w:before="160"/>
      </w:pPr>
      <w:r>
        <w:t xml:space="preserve"/>
      </w:r>
    </w:p>
    <w:p>
      <w:r>
        <w:br w:type="page"/>
      </w:r>
    </w:p>
    <w:p>
      <w:pPr>
        <w:pStyle w:val="Heading1"/>
        <w:spacing w:after="200" w:before="240"/>
      </w:pPr>
      <w:r>
        <w:rPr>
          <w:rFonts w:ascii="Calibri" w:cs="Calibri" w:eastAsia="Calibri" w:hAnsi="Calibri"/>
          <w:b/>
          <w:bCs/>
          <w:color w:val="1F3A5F"/>
          <w:sz w:val="34"/>
          <w:szCs w:val="34"/>
        </w:rPr>
        <w:t xml:space="preserve">Análise para o projeto de pacotes</w:t>
      </w:r>
    </w:p>
    <w:p>
      <w:pPr>
        <w:pBdr>
          <w:bottom w:val="single" w:color="2E6DA4" w:sz="12" w:space="2"/>
        </w:pBdr>
        <w:spacing w:after="200"/>
      </w:pPr>
      <w:r>
        <w:t xml:space="preserve"/>
      </w:r>
    </w:p>
    <w:p>
      <w:pPr>
        <w:pStyle w:val="Heading2"/>
        <w:spacing w:after="140" w:before="340"/>
      </w:pPr>
      <w:r>
        <w:rPr>
          <w:rFonts w:ascii="Calibri" w:cs="Calibri" w:eastAsia="Calibri" w:hAnsi="Calibri"/>
          <w:b/>
          <w:bCs/>
          <w:color w:val="1F3A5F"/>
          <w:sz w:val="26"/>
          <w:szCs w:val="26"/>
        </w:rPr>
        <w:t xml:space="preserve">O que o gerador JÁ resolve bem</w:t>
      </w:r>
    </w:p>
    <w:p>
      <w:pPr>
        <w:pStyle w:val="ListParagraph"/>
        <w:numPr>
          <w:ilvl w:val="0"/>
          <w:numId w:val="2"/>
        </w:numPr>
        <w:spacing w:after="20" w:before="20"/>
      </w:pPr>
      <w:r>
        <w:rPr>
          <w:rFonts w:ascii="Calibri" w:cs="Calibri" w:eastAsia="Calibri" w:hAnsi="Calibri"/>
          <w:b/>
          <w:bCs/>
          <w:color w:val="000000"/>
          <w:sz w:val="20"/>
          <w:szCs w:val="20"/>
        </w:rPr>
        <w:t xml:space="preserve">Preço fixo e transparente</w:t>
      </w:r>
      <w:r>
        <w:rPr>
          <w:rFonts w:ascii="Calibri" w:cs="Calibri" w:eastAsia="Calibri" w:hAnsi="Calibri"/>
          <w:color w:val="000000"/>
          <w:sz w:val="20"/>
          <w:szCs w:val="20"/>
        </w:rPr>
        <w:t xml:space="preserve"> em 3 das grandes categorias: constituição, manutenção e contabilidade.</w:t>
      </w:r>
    </w:p>
    <w:p>
      <w:pPr>
        <w:pStyle w:val="ListParagraph"/>
        <w:numPr>
          <w:ilvl w:val="0"/>
          <w:numId w:val="2"/>
        </w:numPr>
        <w:spacing w:after="20" w:before="20"/>
      </w:pPr>
      <w:r>
        <w:rPr>
          <w:rFonts w:ascii="Calibri" w:cs="Calibri" w:eastAsia="Calibri" w:hAnsi="Calibri"/>
          <w:b/>
          <w:bCs/>
          <w:color w:val="000000"/>
          <w:sz w:val="20"/>
          <w:szCs w:val="20"/>
        </w:rPr>
        <w:t xml:space="preserve">Escopo declarado item a item</w:t>
      </w:r>
      <w:r>
        <w:rPr>
          <w:rFonts w:ascii="Calibri" w:cs="Calibri" w:eastAsia="Calibri" w:hAnsi="Calibri"/>
          <w:color w:val="000000"/>
          <w:sz w:val="20"/>
          <w:szCs w:val="20"/>
        </w:rPr>
        <w:t xml:space="preserve"> para cada serviço — a base de "o que está incluído" já existe e está escrita.</w:t>
      </w:r>
    </w:p>
    <w:p>
      <w:pPr>
        <w:pStyle w:val="ListParagraph"/>
        <w:numPr>
          <w:ilvl w:val="0"/>
          <w:numId w:val="2"/>
        </w:numPr>
        <w:spacing w:after="20" w:before="20"/>
      </w:pPr>
      <w:r>
        <w:rPr>
          <w:rFonts w:ascii="Calibri" w:cs="Calibri" w:eastAsia="Calibri" w:hAnsi="Calibri"/>
          <w:b/>
          <w:bCs/>
          <w:color w:val="000000"/>
          <w:sz w:val="20"/>
          <w:szCs w:val="20"/>
        </w:rPr>
        <w:t xml:space="preserve">Cláusula "Não está incluído nesta proposta"</w:t>
      </w:r>
      <w:r>
        <w:rPr>
          <w:rFonts w:ascii="Calibri" w:cs="Calibri" w:eastAsia="Calibri" w:hAnsi="Calibri"/>
          <w:color w:val="000000"/>
          <w:sz w:val="20"/>
          <w:szCs w:val="20"/>
        </w:rPr>
        <w:t xml:space="preserve"> já existe, mas é genérica (6 linhas no fim da proposta).</w:t>
      </w:r>
    </w:p>
    <w:p>
      <w:pPr>
        <w:pStyle w:val="Heading2"/>
        <w:spacing w:after="140" w:before="340"/>
      </w:pPr>
      <w:r>
        <w:rPr>
          <w:rFonts w:ascii="Calibri" w:cs="Calibri" w:eastAsia="Calibri" w:hAnsi="Calibri"/>
          <w:b/>
          <w:bCs/>
          <w:color w:val="1F3A5F"/>
          <w:sz w:val="26"/>
          <w:szCs w:val="26"/>
        </w:rPr>
        <w:t xml:space="preserve">O que o gerador NÃO resolve — e é exatamente o ponto da Claudia</w:t>
      </w:r>
    </w:p>
    <w:p>
      <w:pPr>
        <w:pStyle w:val="Heading3"/>
        <w:spacing w:after="110" w:before="260"/>
      </w:pPr>
      <w:r>
        <w:rPr>
          <w:rFonts w:ascii="Calibri" w:cs="Calibri" w:eastAsia="Calibri" w:hAnsi="Calibri"/>
          <w:b/>
          <w:bCs/>
          <w:color w:val="2E6DA4"/>
          <w:sz w:val="22"/>
          <w:szCs w:val="22"/>
        </w:rPr>
        <w:t xml:space="preserve">1. Todo o trabalho relacional está fora do catálogo</w:t>
      </w:r>
    </w:p>
    <w:p>
      <w:pPr>
        <w:spacing w:after="120" w:before="60"/>
      </w:pPr>
      <w:r>
        <w:rPr>
          <w:rFonts w:ascii="Calibri" w:cs="Calibri" w:eastAsia="Calibri" w:hAnsi="Calibri"/>
          <w:color w:val="000000"/>
          <w:sz w:val="20"/>
          <w:szCs w:val="20"/>
        </w:rPr>
        <w:t xml:space="preserve">Não existe nenhum item no gerador para:</w:t>
      </w:r>
    </w:p>
    <w:p>
      <w:pPr>
        <w:pStyle w:val="ListParagraph"/>
        <w:numPr>
          <w:ilvl w:val="0"/>
          <w:numId w:val="2"/>
        </w:numPr>
        <w:spacing w:after="20" w:before="20"/>
      </w:pPr>
      <w:r>
        <w:rPr>
          <w:rFonts w:ascii="Calibri" w:cs="Calibri" w:eastAsia="Calibri" w:hAnsi="Calibri"/>
          <w:color w:val="000000"/>
          <w:sz w:val="20"/>
          <w:szCs w:val="20"/>
        </w:rPr>
        <w:t xml:space="preserve">Acompanhamento contínuo do cliente</w:t>
      </w:r>
    </w:p>
    <w:p>
      <w:pPr>
        <w:pStyle w:val="ListParagraph"/>
        <w:numPr>
          <w:ilvl w:val="0"/>
          <w:numId w:val="2"/>
        </w:numPr>
        <w:spacing w:after="20" w:before="20"/>
      </w:pPr>
      <w:r>
        <w:rPr>
          <w:rFonts w:ascii="Calibri" w:cs="Calibri" w:eastAsia="Calibri" w:hAnsi="Calibri"/>
          <w:color w:val="000000"/>
          <w:sz w:val="20"/>
          <w:szCs w:val="20"/>
        </w:rPr>
        <w:t xml:space="preserve">Reuniões (de onboarding, revisão anual, ad hoc)</w:t>
      </w:r>
    </w:p>
    <w:p>
      <w:pPr>
        <w:pStyle w:val="ListParagraph"/>
        <w:numPr>
          <w:ilvl w:val="0"/>
          <w:numId w:val="2"/>
        </w:numPr>
        <w:spacing w:after="20" w:before="20"/>
      </w:pPr>
      <w:r>
        <w:rPr>
          <w:rFonts w:ascii="Calibri" w:cs="Calibri" w:eastAsia="Calibri" w:hAnsi="Calibri"/>
          <w:color w:val="000000"/>
          <w:sz w:val="20"/>
          <w:szCs w:val="20"/>
        </w:rPr>
        <w:t xml:space="preserve">Coordenação com contador brasileiro</w:t>
      </w:r>
    </w:p>
    <w:p>
      <w:pPr>
        <w:pStyle w:val="ListParagraph"/>
        <w:numPr>
          <w:ilvl w:val="0"/>
          <w:numId w:val="2"/>
        </w:numPr>
        <w:spacing w:after="20" w:before="20"/>
      </w:pPr>
      <w:r>
        <w:rPr>
          <w:rFonts w:ascii="Calibri" w:cs="Calibri" w:eastAsia="Calibri" w:hAnsi="Calibri"/>
          <w:color w:val="000000"/>
          <w:sz w:val="20"/>
          <w:szCs w:val="20"/>
        </w:rPr>
        <w:t xml:space="preserve">Coordenação com advogado (sucessório, tributário)</w:t>
      </w:r>
    </w:p>
    <w:p>
      <w:pPr>
        <w:pStyle w:val="ListParagraph"/>
        <w:numPr>
          <w:ilvl w:val="0"/>
          <w:numId w:val="2"/>
        </w:numPr>
        <w:spacing w:after="20" w:before="20"/>
      </w:pPr>
      <w:r>
        <w:rPr>
          <w:rFonts w:ascii="Calibri" w:cs="Calibri" w:eastAsia="Calibri" w:hAnsi="Calibri"/>
          <w:color w:val="000000"/>
          <w:sz w:val="20"/>
          <w:szCs w:val="20"/>
        </w:rPr>
        <w:t xml:space="preserve">Coordenação com banco / private banking</w:t>
      </w:r>
    </w:p>
    <w:p>
      <w:pPr>
        <w:pStyle w:val="ListParagraph"/>
        <w:numPr>
          <w:ilvl w:val="0"/>
          <w:numId w:val="2"/>
        </w:numPr>
        <w:spacing w:after="20" w:before="20"/>
      </w:pPr>
      <w:r>
        <w:rPr>
          <w:rFonts w:ascii="Calibri" w:cs="Calibri" w:eastAsia="Calibri" w:hAnsi="Calibri"/>
          <w:color w:val="000000"/>
          <w:sz w:val="20"/>
          <w:szCs w:val="20"/>
        </w:rPr>
        <w:t xml:space="preserve">Respostas a e-mails e WhatsApp fora de escopo</w:t>
      </w:r>
    </w:p>
    <w:p>
      <w:pPr>
        <w:pStyle w:val="ListParagraph"/>
        <w:numPr>
          <w:ilvl w:val="0"/>
          <w:numId w:val="2"/>
        </w:numPr>
        <w:spacing w:after="20" w:before="20"/>
      </w:pPr>
      <w:r>
        <w:rPr>
          <w:rFonts w:ascii="Calibri" w:cs="Calibri" w:eastAsia="Calibri" w:hAnsi="Calibri"/>
          <w:color w:val="000000"/>
          <w:sz w:val="20"/>
          <w:szCs w:val="20"/>
        </w:rPr>
        <w:t xml:space="preserve">Orientação sobre DCBE, declarações no Brasil, etc.</w:t>
      </w:r>
    </w:p>
    <w:p>
      <w:pPr>
        <w:spacing w:after="120" w:before="60"/>
      </w:pPr>
      <w:r>
        <w:rPr>
          <w:rFonts w:ascii="Calibri" w:cs="Calibri" w:eastAsia="Calibri" w:hAnsi="Calibri"/>
          <w:color w:val="000000"/>
          <w:sz w:val="20"/>
          <w:szCs w:val="20"/>
        </w:rPr>
        <w:t xml:space="preserve">Esse é o </w:t>
      </w:r>
      <w:r>
        <w:rPr>
          <w:rFonts w:ascii="Calibri" w:cs="Calibri" w:eastAsia="Calibri" w:hAnsi="Calibri"/>
          <w:b/>
          <w:bCs/>
          <w:color w:val="000000"/>
          <w:sz w:val="20"/>
          <w:szCs w:val="20"/>
        </w:rPr>
        <w:t xml:space="preserve">concierge</w:t>
      </w:r>
      <w:r>
        <w:rPr>
          <w:rFonts w:ascii="Calibri" w:cs="Calibri" w:eastAsia="Calibri" w:hAnsi="Calibri"/>
          <w:color w:val="000000"/>
          <w:sz w:val="20"/>
          <w:szCs w:val="20"/>
        </w:rPr>
        <w:t xml:space="preserve">. Hoje ele é entregue e não é cobrado — e por não estar escrito em lugar nenhum, o cliente nem sabe que está recebendo.</w:t>
      </w:r>
    </w:p>
    <w:p>
      <w:pPr>
        <w:pStyle w:val="Heading3"/>
        <w:spacing w:after="110" w:before="260"/>
      </w:pPr>
      <w:r>
        <w:rPr>
          <w:rFonts w:ascii="Calibri" w:cs="Calibri" w:eastAsia="Calibri" w:hAnsi="Calibri"/>
          <w:b/>
          <w:bCs/>
          <w:color w:val="2E6DA4"/>
          <w:sz w:val="22"/>
          <w:szCs w:val="22"/>
        </w:rPr>
        <w:t xml:space="preserve">2. Toda a reestruturação está "caso a caso"</w:t>
      </w:r>
    </w:p>
    <w:p>
      <w:pPr>
        <w:spacing w:after="120" w:before="60"/>
      </w:pPr>
      <w:r>
        <w:rPr>
          <w:rFonts w:ascii="Calibri" w:cs="Calibri" w:eastAsia="Calibri" w:hAnsi="Calibri"/>
          <w:color w:val="000000"/>
          <w:sz w:val="20"/>
          <w:szCs w:val="20"/>
        </w:rPr>
        <w:t xml:space="preserve">Os 8 serviços de reestruturação (inclusão/exclusão de diretor, sócio, share certificate, joint tenancy, governança, classe de ações, múltiplas jurisdições, novo sócio) </w:t>
      </w:r>
      <w:r>
        <w:rPr>
          <w:rFonts w:ascii="Calibri" w:cs="Calibri" w:eastAsia="Calibri" w:hAnsi="Calibri"/>
          <w:b/>
          <w:bCs/>
          <w:color w:val="000000"/>
          <w:sz w:val="20"/>
          <w:szCs w:val="20"/>
        </w:rPr>
        <w:t xml:space="preserve">não têm preço no gerador</w:t>
      </w:r>
      <w:r>
        <w:rPr>
          <w:rFonts w:ascii="Calibri" w:cs="Calibri" w:eastAsia="Calibri" w:hAnsi="Calibri"/>
          <w:color w:val="000000"/>
          <w:sz w:val="20"/>
          <w:szCs w:val="20"/>
        </w:rPr>
        <w:t xml:space="preserve">. Na prática isso significa que ou são precificados na hora (inconsistente entre Claudia, Fabiana e Meire) ou acabam sendo absorvidos.</w:t>
      </w:r>
    </w:p>
    <w:p>
      <w:pPr>
        <w:pStyle w:val="Heading3"/>
        <w:spacing w:after="110" w:before="260"/>
      </w:pPr>
      <w:r>
        <w:rPr>
          <w:rFonts w:ascii="Calibri" w:cs="Calibri" w:eastAsia="Calibri" w:hAnsi="Calibri"/>
          <w:b/>
          <w:bCs/>
          <w:color w:val="2E6DA4"/>
          <w:sz w:val="22"/>
          <w:szCs w:val="22"/>
        </w:rPr>
        <w:t xml:space="preserve">3. Não existe noção de nível de serviço</w:t>
      </w:r>
    </w:p>
    <w:p>
      <w:pPr>
        <w:spacing w:after="120" w:before="60"/>
      </w:pPr>
      <w:r>
        <w:rPr>
          <w:rFonts w:ascii="Calibri" w:cs="Calibri" w:eastAsia="Calibri" w:hAnsi="Calibri"/>
          <w:color w:val="000000"/>
          <w:sz w:val="20"/>
          <w:szCs w:val="20"/>
        </w:rPr>
        <w:t xml:space="preserve">Todo cliente recebe o mesmo tratamento, independentemente de ter 1 LLC de USD 1.900 ou uma estrutura BVI + Trust + Testamento de USD 15.000+. Não há como o cliente maior perceber que está recebendo mais.</w:t>
      </w:r>
    </w:p>
    <w:p>
      <w:pPr>
        <w:pStyle w:val="Heading3"/>
        <w:spacing w:after="110" w:before="260"/>
      </w:pPr>
      <w:r>
        <w:rPr>
          <w:rFonts w:ascii="Calibri" w:cs="Calibri" w:eastAsia="Calibri" w:hAnsi="Calibri"/>
          <w:b/>
          <w:bCs/>
          <w:color w:val="2E6DA4"/>
          <w:sz w:val="22"/>
          <w:szCs w:val="22"/>
        </w:rPr>
        <w:t xml:space="preserve">4. As cortesias não são visíveis como valor</w:t>
      </w:r>
    </w:p>
    <w:p>
      <w:pPr>
        <w:spacing w:after="120" w:before="60"/>
      </w:pPr>
      <w:r>
        <w:rPr>
          <w:rFonts w:ascii="Calibri" w:cs="Calibri" w:eastAsia="Calibri" w:hAnsi="Calibri"/>
          <w:color w:val="000000"/>
          <w:sz w:val="20"/>
          <w:szCs w:val="20"/>
        </w:rPr>
        <w:t xml:space="preserve">As 6 transferências "sem troca de agente" já aparecem como Cortesia (USD 0) — esse é o único lugar onde a proposta mostra valor entregue sem cobrança. É um bom precedente para replicar.</w:t>
      </w:r>
    </w:p>
    <w:p>
      <w:pPr>
        <w:pBdr>
          <w:bottom w:val="single" w:color="C9D4E0" w:sz="6" w:space="1"/>
        </w:pBdr>
        <w:spacing w:after="200" w:before="160"/>
      </w:pPr>
      <w:r>
        <w:t xml:space="preserve"/>
      </w:r>
    </w:p>
    <w:p>
      <w:pPr>
        <w:pStyle w:val="Heading2"/>
        <w:spacing w:after="140" w:before="340"/>
      </w:pPr>
      <w:r>
        <w:rPr>
          <w:rFonts w:ascii="Calibri" w:cs="Calibri" w:eastAsia="Calibri" w:hAnsi="Calibri"/>
          <w:b/>
          <w:bCs/>
          <w:color w:val="1F3A5F"/>
          <w:sz w:val="26"/>
          <w:szCs w:val="26"/>
        </w:rPr>
        <w:t xml:space="preserve">Informação que falta para montar os pacotes</w:t>
      </w:r>
    </w:p>
    <w:p>
      <w:pPr>
        <w:spacing w:after="120" w:before="60"/>
      </w:pPr>
      <w:r>
        <w:rPr>
          <w:rFonts w:ascii="Calibri" w:cs="Calibri" w:eastAsia="Calibri" w:hAnsi="Calibri"/>
          <w:color w:val="000000"/>
          <w:sz w:val="20"/>
          <w:szCs w:val="20"/>
        </w:rPr>
        <w:t xml:space="preserve">Antes de definir níveis e valores, precisamos de dados que </w:t>
      </w:r>
      <w:r>
        <w:rPr>
          <w:rFonts w:ascii="Calibri" w:cs="Calibri" w:eastAsia="Calibri" w:hAnsi="Calibri"/>
          <w:b/>
          <w:bCs/>
          <w:color w:val="000000"/>
          <w:sz w:val="20"/>
          <w:szCs w:val="20"/>
        </w:rPr>
        <w:t xml:space="preserve">não estão no gerador</w:t>
      </w:r>
      <w:r>
        <w:rPr>
          <w:rFonts w:ascii="Calibri" w:cs="Calibri" w:eastAsia="Calibri" w:hAnsi="Calibri"/>
          <w:color w:val="000000"/>
          <w:sz w:val="20"/>
          <w:szCs w:val="20"/>
        </w:rPr>
        <w:t xml:space="preserve">:</w:t>
      </w:r>
    </w:p>
    <w:p>
      <w:pPr>
        <w:spacing w:after="120" w:before="60"/>
      </w:pPr>
      <w:r>
        <w:rPr>
          <w:rFonts w:ascii="Calibri" w:cs="Calibri" w:eastAsia="Calibri" w:hAnsi="Calibri"/>
          <w:b/>
          <w:bCs/>
          <w:color w:val="000000"/>
          <w:sz w:val="20"/>
          <w:szCs w:val="20"/>
        </w:rPr>
        <w:t xml:space="preserve">Sobre o concierge (a Claudia precisa levantar):</w:t>
      </w:r>
    </w:p>
    <w:p>
      <w:pPr>
        <w:pStyle w:val="ListParagraph"/>
        <w:numPr>
          <w:ilvl w:val="0"/>
          <w:numId w:val="3"/>
        </w:numPr>
        <w:spacing w:after="20" w:before="20"/>
      </w:pPr>
      <w:r>
        <w:rPr>
          <w:rFonts w:ascii="Calibri" w:cs="Calibri" w:eastAsia="Calibri" w:hAnsi="Calibri"/>
          <w:color w:val="000000"/>
          <w:sz w:val="20"/>
          <w:szCs w:val="20"/>
        </w:rPr>
        <w:t xml:space="preserve">Lista completa dos serviços invisíveis — o que vocês fazem hoje sem cobrar</w:t>
      </w:r>
    </w:p>
    <w:p>
      <w:pPr>
        <w:pStyle w:val="ListParagraph"/>
        <w:numPr>
          <w:ilvl w:val="0"/>
          <w:numId w:val="3"/>
        </w:numPr>
        <w:spacing w:after="20" w:before="20"/>
      </w:pPr>
      <w:r>
        <w:rPr>
          <w:rFonts w:ascii="Calibri" w:cs="Calibri" w:eastAsia="Calibri" w:hAnsi="Calibri"/>
          <w:color w:val="000000"/>
          <w:sz w:val="20"/>
          <w:szCs w:val="20"/>
        </w:rPr>
        <w:t xml:space="preserve">Estimativa de horas/ano por cliente para cada um</w:t>
      </w:r>
    </w:p>
    <w:p>
      <w:pPr>
        <w:pStyle w:val="ListParagraph"/>
        <w:numPr>
          <w:ilvl w:val="0"/>
          <w:numId w:val="3"/>
        </w:numPr>
        <w:spacing w:after="20" w:before="20"/>
      </w:pPr>
      <w:r>
        <w:rPr>
          <w:rFonts w:ascii="Calibri" w:cs="Calibri" w:eastAsia="Calibri" w:hAnsi="Calibri"/>
          <w:color w:val="000000"/>
          <w:sz w:val="20"/>
          <w:szCs w:val="20"/>
        </w:rPr>
        <w:t xml:space="preserve">Quem executa (Claudia, Fabiana, Meire, terceiro) e qual o custo-hora</w:t>
      </w:r>
    </w:p>
    <w:p>
      <w:pPr>
        <w:pStyle w:val="ListParagraph"/>
        <w:numPr>
          <w:ilvl w:val="0"/>
          <w:numId w:val="3"/>
        </w:numPr>
        <w:spacing w:after="20" w:before="20"/>
      </w:pPr>
      <w:r>
        <w:rPr>
          <w:rFonts w:ascii="Calibri" w:cs="Calibri" w:eastAsia="Calibri" w:hAnsi="Calibri"/>
          <w:color w:val="000000"/>
          <w:sz w:val="20"/>
          <w:szCs w:val="20"/>
        </w:rPr>
        <w:t xml:space="preserve">Frequência: é todo cliente ou só alguns? Quais?</w:t>
      </w:r>
    </w:p>
    <w:p>
      <w:pPr>
        <w:spacing w:after="120" w:before="60"/>
      </w:pPr>
      <w:r>
        <w:rPr>
          <w:rFonts w:ascii="Calibri" w:cs="Calibri" w:eastAsia="Calibri" w:hAnsi="Calibri"/>
          <w:b/>
          <w:bCs/>
          <w:color w:val="000000"/>
          <w:sz w:val="20"/>
          <w:szCs w:val="20"/>
        </w:rPr>
        <w:t xml:space="preserve">Sobre a base de clientes:</w:t>
      </w:r>
    </w:p>
    <w:p>
      <w:pPr>
        <w:pStyle w:val="ListParagraph"/>
        <w:numPr>
          <w:ilvl w:val="0"/>
          <w:numId w:val="3"/>
        </w:numPr>
        <w:spacing w:after="20" w:before="20"/>
      </w:pPr>
      <w:r>
        <w:rPr>
          <w:rFonts w:ascii="Calibri" w:cs="Calibri" w:eastAsia="Calibri" w:hAnsi="Calibri"/>
          <w:color w:val="000000"/>
          <w:sz w:val="20"/>
          <w:szCs w:val="20"/>
        </w:rPr>
        <w:t xml:space="preserve">Quantos clientes ativos e como se distribuem por ticket anual</w:t>
      </w:r>
    </w:p>
    <w:p>
      <w:pPr>
        <w:pStyle w:val="ListParagraph"/>
        <w:numPr>
          <w:ilvl w:val="0"/>
          <w:numId w:val="3"/>
        </w:numPr>
        <w:spacing w:after="20" w:before="20"/>
      </w:pPr>
      <w:r>
        <w:rPr>
          <w:rFonts w:ascii="Calibri" w:cs="Calibri" w:eastAsia="Calibri" w:hAnsi="Calibri"/>
          <w:color w:val="000000"/>
          <w:sz w:val="20"/>
          <w:szCs w:val="20"/>
        </w:rPr>
        <w:t xml:space="preserve">Qual o receita recorrente média por cliente hoje (manutenção + contabilidade)</w:t>
      </w:r>
    </w:p>
    <w:p>
      <w:pPr>
        <w:pStyle w:val="ListParagraph"/>
        <w:numPr>
          <w:ilvl w:val="0"/>
          <w:numId w:val="3"/>
        </w:numPr>
        <w:spacing w:after="20" w:before="20"/>
      </w:pPr>
      <w:r>
        <w:rPr>
          <w:rFonts w:ascii="Calibri" w:cs="Calibri" w:eastAsia="Calibri" w:hAnsi="Calibri"/>
          <w:color w:val="000000"/>
          <w:sz w:val="20"/>
          <w:szCs w:val="20"/>
        </w:rPr>
        <w:t xml:space="preserve">Quais clientes consomem mais concierge — e se são os que pagam mais</w:t>
      </w:r>
    </w:p>
    <w:p>
      <w:pPr>
        <w:spacing w:after="120" w:before="60"/>
      </w:pPr>
      <w:r>
        <w:rPr>
          <w:rFonts w:ascii="Calibri" w:cs="Calibri" w:eastAsia="Calibri" w:hAnsi="Calibri"/>
          <w:b/>
          <w:bCs/>
          <w:color w:val="000000"/>
          <w:sz w:val="20"/>
          <w:szCs w:val="20"/>
        </w:rPr>
        <w:t xml:space="preserve">Sobre custo x benefício:</w:t>
      </w:r>
    </w:p>
    <w:p>
      <w:pPr>
        <w:pStyle w:val="ListParagraph"/>
        <w:numPr>
          <w:ilvl w:val="0"/>
          <w:numId w:val="3"/>
        </w:numPr>
        <w:spacing w:after="20" w:before="20"/>
      </w:pPr>
      <w:r>
        <w:rPr>
          <w:rFonts w:ascii="Calibri" w:cs="Calibri" w:eastAsia="Calibri" w:hAnsi="Calibri"/>
          <w:color w:val="000000"/>
          <w:sz w:val="20"/>
          <w:szCs w:val="20"/>
        </w:rPr>
        <w:t xml:space="preserve">Custo direto de cada serviço (taxa governamental, agente registrado, terceiros) para saber a margem real</w:t>
      </w:r>
    </w:p>
    <w:p>
      <w:pPr>
        <w:pStyle w:val="ListParagraph"/>
        <w:numPr>
          <w:ilvl w:val="0"/>
          <w:numId w:val="3"/>
        </w:numPr>
        <w:spacing w:after="20" w:before="20"/>
      </w:pPr>
      <w:r>
        <w:rPr>
          <w:rFonts w:ascii="Calibri" w:cs="Calibri" w:eastAsia="Calibri" w:hAnsi="Calibri"/>
          <w:color w:val="000000"/>
          <w:sz w:val="20"/>
          <w:szCs w:val="20"/>
        </w:rPr>
        <w:t xml:space="preserve">Onde a margem está sendo corroída pelo trabalho invisível</w:t>
      </w:r>
    </w:p>
    <w:p>
      <w:pPr>
        <w:spacing w:after="120" w:before="60"/>
      </w:pPr>
      <w:r>
        <w:rPr>
          <w:rFonts w:ascii="Calibri" w:cs="Calibri" w:eastAsia="Calibri" w:hAnsi="Calibri"/>
          <w:b/>
          <w:bCs/>
          <w:color w:val="000000"/>
          <w:sz w:val="20"/>
          <w:szCs w:val="20"/>
        </w:rPr>
        <w:t xml:space="preserve">Decisão de negócio:</w:t>
      </w:r>
    </w:p>
    <w:p>
      <w:pPr>
        <w:pStyle w:val="ListParagraph"/>
        <w:numPr>
          <w:ilvl w:val="0"/>
          <w:numId w:val="3"/>
        </w:numPr>
        <w:spacing w:after="20" w:before="20"/>
      </w:pPr>
      <w:r>
        <w:rPr>
          <w:rFonts w:ascii="Calibri" w:cs="Calibri" w:eastAsia="Calibri" w:hAnsi="Calibri"/>
          <w:color w:val="000000"/>
          <w:sz w:val="20"/>
          <w:szCs w:val="20"/>
        </w:rPr>
        <w:t xml:space="preserve">Os pacotes vão substituir a precificação avulsa ou conviver com ela?</w:t>
      </w:r>
    </w:p>
    <w:p>
      <w:pPr>
        <w:pStyle w:val="ListParagraph"/>
        <w:numPr>
          <w:ilvl w:val="0"/>
          <w:numId w:val="3"/>
        </w:numPr>
        <w:spacing w:after="20" w:before="20"/>
      </w:pPr>
      <w:r>
        <w:rPr>
          <w:rFonts w:ascii="Calibri" w:cs="Calibri" w:eastAsia="Calibri" w:hAnsi="Calibri"/>
          <w:color w:val="000000"/>
          <w:sz w:val="20"/>
          <w:szCs w:val="20"/>
        </w:rPr>
        <w:t xml:space="preserve">O objetivo é aumentar receita, aumentar margem, ou reduzir o trabalho não remunerado? (muda completamente o desenho)</w:t>
      </w:r>
    </w:p>
    <w:p>
      <w:pPr>
        <w:pBdr>
          <w:bottom w:val="single" w:color="C9D4E0" w:sz="6" w:space="1"/>
        </w:pBdr>
        <w:spacing w:after="200" w:before="160"/>
      </w:pPr>
      <w:r>
        <w:t xml:space="preserve"/>
      </w:r>
    </w:p>
    <w:p>
      <w:r>
        <w:br w:type="page"/>
      </w:r>
    </w:p>
    <w:p>
      <w:pPr>
        <w:pStyle w:val="Heading1"/>
        <w:spacing w:after="200" w:before="240"/>
      </w:pPr>
      <w:r>
        <w:rPr>
          <w:rFonts w:ascii="Calibri" w:cs="Calibri" w:eastAsia="Calibri" w:hAnsi="Calibri"/>
          <w:b/>
          <w:bCs/>
          <w:color w:val="1F3A5F"/>
          <w:sz w:val="34"/>
          <w:szCs w:val="34"/>
        </w:rPr>
        <w:t xml:space="preserve">PARTE 2 — Mapeamento dos serviços ocultos (Concierge)</w:t>
      </w:r>
    </w:p>
    <w:p>
      <w:pPr>
        <w:pBdr>
          <w:bottom w:val="single" w:color="2E6DA4" w:sz="12" w:space="2"/>
        </w:pBdr>
        <w:spacing w:after="200"/>
      </w:pPr>
      <w:r>
        <w:t xml:space="preserve"/>
      </w:r>
    </w:p>
    <w:p>
      <w:pPr>
        <w:spacing w:after="120" w:before="60"/>
      </w:pPr>
      <w:r>
        <w:rPr>
          <w:rFonts w:ascii="Calibri" w:cs="Calibri" w:eastAsia="Calibri" w:hAnsi="Calibri"/>
          <w:color w:val="000000"/>
          <w:sz w:val="20"/>
          <w:szCs w:val="20"/>
        </w:rPr>
        <w:t xml:space="preserve">Esta é a parte que não existe no gerador e que precisa ser construída do zero.</w:t>
      </w:r>
    </w:p>
    <w:p>
      <w:pPr>
        <w:spacing w:after="120" w:before="60"/>
      </w:pPr>
      <w:r>
        <w:rPr>
          <w:rFonts w:ascii="Calibri" w:cs="Calibri" w:eastAsia="Calibri" w:hAnsi="Calibri"/>
          <w:color w:val="000000"/>
          <w:sz w:val="20"/>
          <w:szCs w:val="20"/>
        </w:rPr>
        <w:t xml:space="preserve">O objetivo desta seção é dar à Claudia uma estrutura pronta para levantar,</w:t>
      </w:r>
    </w:p>
    <w:p>
      <w:pPr>
        <w:spacing w:after="120" w:before="60"/>
      </w:pPr>
      <w:r>
        <w:rPr>
          <w:rFonts w:ascii="Calibri" w:cs="Calibri" w:eastAsia="Calibri" w:hAnsi="Calibri"/>
          <w:color w:val="000000"/>
          <w:sz w:val="20"/>
          <w:szCs w:val="20"/>
        </w:rPr>
        <w:t xml:space="preserve">medir e precificar o que hoje é entregue de graça.</w:t>
      </w:r>
    </w:p>
    <w:p>
      <w:pPr>
        <w:pStyle w:val="Heading2"/>
        <w:spacing w:after="140" w:before="340"/>
      </w:pPr>
      <w:r>
        <w:rPr>
          <w:rFonts w:ascii="Calibri" w:cs="Calibri" w:eastAsia="Calibri" w:hAnsi="Calibri"/>
          <w:b/>
          <w:bCs/>
          <w:color w:val="1F3A5F"/>
          <w:sz w:val="26"/>
          <w:szCs w:val="26"/>
        </w:rPr>
        <w:t xml:space="preserve">Por que isso importa</w:t>
      </w:r>
    </w:p>
    <w:p>
      <w:pPr>
        <w:spacing w:after="120" w:before="60"/>
      </w:pPr>
      <w:r>
        <w:rPr>
          <w:rFonts w:ascii="Calibri" w:cs="Calibri" w:eastAsia="Calibri" w:hAnsi="Calibri"/>
          <w:color w:val="000000"/>
          <w:sz w:val="20"/>
          <w:szCs w:val="20"/>
        </w:rPr>
        <w:t xml:space="preserve">Serviço invisível não é serviço barato — é serviço de graça. E pior: como não</w:t>
      </w:r>
    </w:p>
    <w:p>
      <w:pPr>
        <w:spacing w:after="120" w:before="60"/>
      </w:pPr>
      <w:r>
        <w:rPr>
          <w:rFonts w:ascii="Calibri" w:cs="Calibri" w:eastAsia="Calibri" w:hAnsi="Calibri"/>
          <w:color w:val="000000"/>
          <w:sz w:val="20"/>
          <w:szCs w:val="20"/>
        </w:rPr>
        <w:t xml:space="preserve">está escrito em lugar nenhum, o cliente não sabe que recebe, não atribui valor,</w:t>
      </w:r>
    </w:p>
    <w:p>
      <w:pPr>
        <w:spacing w:after="120" w:before="60"/>
      </w:pPr>
      <w:r>
        <w:rPr>
          <w:rFonts w:ascii="Calibri" w:cs="Calibri" w:eastAsia="Calibri" w:hAnsi="Calibri"/>
          <w:color w:val="000000"/>
          <w:sz w:val="20"/>
          <w:szCs w:val="20"/>
        </w:rPr>
        <w:t xml:space="preserve">e ainda acha que a manutenção anual de USD 1.900 é cara. O trabalho existe, o</w:t>
      </w:r>
    </w:p>
    <w:p>
      <w:pPr>
        <w:spacing w:after="120" w:before="60"/>
      </w:pPr>
      <w:r>
        <w:rPr>
          <w:rFonts w:ascii="Calibri" w:cs="Calibri" w:eastAsia="Calibri" w:hAnsi="Calibri"/>
          <w:color w:val="000000"/>
          <w:sz w:val="20"/>
          <w:szCs w:val="20"/>
        </w:rPr>
        <w:t xml:space="preserve">custo existe, só a receita não existe.</w:t>
      </w:r>
    </w:p>
    <w:p>
      <w:pPr>
        <w:spacing w:after="120" w:before="60"/>
      </w:pPr>
      <w:r>
        <w:rPr>
          <w:rFonts w:ascii="Calibri" w:cs="Calibri" w:eastAsia="Calibri" w:hAnsi="Calibri"/>
          <w:color w:val="000000"/>
          <w:sz w:val="20"/>
          <w:szCs w:val="20"/>
        </w:rPr>
        <w:t xml:space="preserve">Escrever o que </w:t>
      </w:r>
      <w:r>
        <w:rPr>
          <w:rFonts w:ascii="Calibri" w:cs="Calibri" w:eastAsia="Calibri" w:hAnsi="Calibri"/>
          <w:b/>
          <w:bCs/>
          <w:color w:val="000000"/>
          <w:sz w:val="20"/>
          <w:szCs w:val="20"/>
        </w:rPr>
        <w:t xml:space="preserve">não</w:t>
      </w:r>
      <w:r>
        <w:rPr>
          <w:rFonts w:ascii="Calibri" w:cs="Calibri" w:eastAsia="Calibri" w:hAnsi="Calibri"/>
          <w:color w:val="000000"/>
          <w:sz w:val="20"/>
          <w:szCs w:val="20"/>
        </w:rPr>
        <w:t xml:space="preserve"> está incluído vale tanto quanto escrever o que está.</w:t>
      </w:r>
    </w:p>
    <w:p>
      <w:pPr>
        <w:spacing w:after="120" w:before="60"/>
      </w:pPr>
      <w:r>
        <w:rPr>
          <w:rFonts w:ascii="Calibri" w:cs="Calibri" w:eastAsia="Calibri" w:hAnsi="Calibri"/>
          <w:color w:val="000000"/>
          <w:sz w:val="20"/>
          <w:szCs w:val="20"/>
        </w:rPr>
        <w:t xml:space="preserve">É o que transforma "vocês cobram caro" em "ah, isso tudo vem junto?".</w:t>
      </w:r>
    </w:p>
    <w:p>
      <w:pPr>
        <w:pBdr>
          <w:bottom w:val="single" w:color="C9D4E0" w:sz="6" w:space="1"/>
        </w:pBdr>
        <w:spacing w:after="200" w:before="160"/>
      </w:pPr>
      <w:r>
        <w:t xml:space="preserve"/>
      </w:r>
    </w:p>
    <w:p>
      <w:pPr>
        <w:pStyle w:val="Heading2"/>
        <w:spacing w:after="140" w:before="340"/>
      </w:pPr>
      <w:r>
        <w:rPr>
          <w:rFonts w:ascii="Calibri" w:cs="Calibri" w:eastAsia="Calibri" w:hAnsi="Calibri"/>
          <w:b/>
          <w:bCs/>
          <w:color w:val="1F3A5F"/>
          <w:sz w:val="26"/>
          <w:szCs w:val="26"/>
        </w:rPr>
        <w:t xml:space="preserve">2.1 Taxonomia dos serviços ocultos — as 6 famílias</w:t>
      </w:r>
    </w:p>
    <w:p>
      <w:pPr>
        <w:spacing w:after="120" w:before="60"/>
      </w:pPr>
      <w:r>
        <w:rPr>
          <w:rFonts w:ascii="Calibri" w:cs="Calibri" w:eastAsia="Calibri" w:hAnsi="Calibri"/>
          <w:color w:val="000000"/>
          <w:sz w:val="20"/>
          <w:szCs w:val="20"/>
        </w:rPr>
        <w:t xml:space="preserve">Esta é a grade para o levantamento. A Claudia, a Fabiana e a Meire preenchem</w:t>
      </w:r>
    </w:p>
    <w:p>
      <w:pPr>
        <w:spacing w:after="120" w:before="60"/>
      </w:pPr>
      <w:r>
        <w:rPr>
          <w:rFonts w:ascii="Calibri" w:cs="Calibri" w:eastAsia="Calibri" w:hAnsi="Calibri"/>
          <w:color w:val="000000"/>
          <w:sz w:val="20"/>
          <w:szCs w:val="20"/>
        </w:rPr>
        <w:t xml:space="preserve">cada linha. O que não for lembrado aqui, não vai ser cobrado depois.</w:t>
      </w:r>
    </w:p>
    <w:p>
      <w:pPr>
        <w:pStyle w:val="Heading3"/>
        <w:spacing w:after="110" w:before="260"/>
      </w:pPr>
      <w:r>
        <w:rPr>
          <w:rFonts w:ascii="Calibri" w:cs="Calibri" w:eastAsia="Calibri" w:hAnsi="Calibri"/>
          <w:b/>
          <w:bCs/>
          <w:color w:val="2E6DA4"/>
          <w:sz w:val="22"/>
          <w:szCs w:val="22"/>
        </w:rPr>
        <w:t xml:space="preserve">A. Relacionamento e acompanhamento</w:t>
      </w:r>
    </w:p>
    <w:tbl>
      <w:tblPr>
        <w:tblW w:type="dxa" w:w="9746"/>
        <w:tblBorders>
          <w:top w:val="single" w:color="C9D4E0" w:sz="2"/>
          <w:left w:val="single" w:color="C9D4E0" w:sz="2"/>
          <w:bottom w:val="single" w:color="C9D4E0" w:sz="2"/>
          <w:right w:val="single" w:color="C9D4E0" w:sz="2"/>
          <w:insideH w:val="single" w:color="C9D4E0" w:sz="2"/>
          <w:insideV w:val="single" w:color="C9D4E0" w:sz="2"/>
        </w:tblBorders>
      </w:tblPr>
      <w:tblGrid>
        <w:gridCol w:w="730"/>
        <w:gridCol w:w="7309"/>
        <w:gridCol w:w="1707"/>
      </w:tblGrid>
      <w:tr>
        <w:trPr>
          <w:tblHeader/>
        </w:trPr>
        <w:tc>
          <w:tcPr>
            <w:tcW w:type="dxa" w:w="730"/>
            <w:shd w:fill="1F3A5F" w:color="auto" w:val="clear"/>
            <w:tcMar>
              <w:top w:type="dxa" w:w="60"/>
              <w:left w:type="dxa" w:w="110"/>
              <w:bottom w:type="dxa" w:w="60"/>
              <w:right w:type="dxa" w:w="110"/>
            </w:tcMar>
          </w:tcPr>
          <w:p>
            <w:pPr>
              <w:spacing w:after="0" w:before="0"/>
              <w:jc w:val="left"/>
            </w:pPr>
            <w:r>
              <w:rPr>
                <w:rFonts w:ascii="Calibri" w:cs="Calibri" w:eastAsia="Calibri" w:hAnsi="Calibri"/>
                <w:b/>
                <w:bCs/>
                <w:color w:val="FFFFFF"/>
                <w:sz w:val="18"/>
                <w:szCs w:val="18"/>
              </w:rPr>
              <w:t xml:space="preserve">#</w:t>
            </w:r>
          </w:p>
        </w:tc>
        <w:tc>
          <w:tcPr>
            <w:tcW w:type="dxa" w:w="7309"/>
            <w:shd w:fill="1F3A5F" w:color="auto" w:val="clear"/>
            <w:tcMar>
              <w:top w:type="dxa" w:w="60"/>
              <w:left w:type="dxa" w:w="110"/>
              <w:bottom w:type="dxa" w:w="60"/>
              <w:right w:type="dxa" w:w="110"/>
            </w:tcMar>
          </w:tcPr>
          <w:p>
            <w:pPr>
              <w:spacing w:after="0" w:before="0"/>
              <w:jc w:val="left"/>
            </w:pPr>
            <w:r>
              <w:rPr>
                <w:rFonts w:ascii="Calibri" w:cs="Calibri" w:eastAsia="Calibri" w:hAnsi="Calibri"/>
                <w:b/>
                <w:bCs/>
                <w:color w:val="FFFFFF"/>
                <w:sz w:val="18"/>
                <w:szCs w:val="18"/>
              </w:rPr>
              <w:t xml:space="preserve">Serviço</w:t>
            </w:r>
          </w:p>
        </w:tc>
        <w:tc>
          <w:tcPr>
            <w:tcW w:type="dxa" w:w="1707"/>
            <w:shd w:fill="1F3A5F" w:color="auto" w:val="clear"/>
            <w:tcMar>
              <w:top w:type="dxa" w:w="60"/>
              <w:left w:type="dxa" w:w="110"/>
              <w:bottom w:type="dxa" w:w="60"/>
              <w:right w:type="dxa" w:w="110"/>
            </w:tcMar>
          </w:tcPr>
          <w:p>
            <w:pPr>
              <w:spacing w:after="0" w:before="0"/>
              <w:jc w:val="left"/>
            </w:pPr>
            <w:r>
              <w:rPr>
                <w:rFonts w:ascii="Calibri" w:cs="Calibri" w:eastAsia="Calibri" w:hAnsi="Calibri"/>
                <w:b/>
                <w:bCs/>
                <w:color w:val="FFFFFF"/>
                <w:sz w:val="18"/>
                <w:szCs w:val="18"/>
              </w:rPr>
              <w:t xml:space="preserve">Já fazem hoje?</w:t>
            </w:r>
          </w:p>
        </w:tc>
      </w:tr>
      <w:tr>
        <w:tc>
          <w:tcPr>
            <w:tcW w:type="dxa" w:w="730"/>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A1</w:t>
            </w:r>
          </w:p>
        </w:tc>
        <w:tc>
          <w:tcPr>
            <w:tcW w:type="dxa" w:w="7309"/>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Reunião de onboarding / kick-off da estrutura</w:t>
            </w:r>
          </w:p>
        </w:tc>
        <w:tc>
          <w:tcPr>
            <w:tcW w:type="dxa" w:w="1707"/>
            <w:shd w:fill="FFFFFF" w:color="auto" w:val="clear"/>
            <w:tcMar>
              <w:top w:type="dxa" w:w="60"/>
              <w:left w:type="dxa" w:w="110"/>
              <w:bottom w:type="dxa" w:w="60"/>
              <w:right w:type="dxa" w:w="110"/>
            </w:tcMar>
          </w:tcPr>
          <w:p>
            <w:pPr>
              <w:spacing w:after="0" w:before="0"/>
              <w:jc w:val="left"/>
            </w:pPr>
            <w:r>
              <w:rPr>
                <w:rFonts w:ascii="Calibri" w:cs="Calibri" w:eastAsia="Calibri" w:hAnsi="Calibri"/>
                <w:color w:val="000000"/>
                <w:sz w:val="18"/>
                <w:szCs w:val="18"/>
              </w:rPr>
              <w:t xml:space="preserve"/>
            </w:r>
          </w:p>
        </w:tc>
      </w:tr>
      <w:tr>
        <w:tc>
          <w:tcPr>
            <w:tcW w:type="dxa" w:w="730"/>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A2</w:t>
            </w:r>
          </w:p>
        </w:tc>
        <w:tc>
          <w:tcPr>
            <w:tcW w:type="dxa" w:w="7309"/>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Reunião anual de revisão da estrutura</w:t>
            </w:r>
          </w:p>
        </w:tc>
        <w:tc>
          <w:tcPr>
            <w:tcW w:type="dxa" w:w="1707"/>
            <w:shd w:fill="F2F5F8" w:color="auto" w:val="clear"/>
            <w:tcMar>
              <w:top w:type="dxa" w:w="60"/>
              <w:left w:type="dxa" w:w="110"/>
              <w:bottom w:type="dxa" w:w="60"/>
              <w:right w:type="dxa" w:w="110"/>
            </w:tcMar>
          </w:tcPr>
          <w:p>
            <w:pPr>
              <w:spacing w:after="0" w:before="0"/>
              <w:jc w:val="left"/>
            </w:pPr>
            <w:r>
              <w:rPr>
                <w:rFonts w:ascii="Calibri" w:cs="Calibri" w:eastAsia="Calibri" w:hAnsi="Calibri"/>
                <w:color w:val="000000"/>
                <w:sz w:val="18"/>
                <w:szCs w:val="18"/>
              </w:rPr>
              <w:t xml:space="preserve"/>
            </w:r>
          </w:p>
        </w:tc>
      </w:tr>
      <w:tr>
        <w:tc>
          <w:tcPr>
            <w:tcW w:type="dxa" w:w="730"/>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A3</w:t>
            </w:r>
          </w:p>
        </w:tc>
        <w:tc>
          <w:tcPr>
            <w:tcW w:type="dxa" w:w="7309"/>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Reuniões ad hoc (dúvida, mudança de vida, novo investimento)</w:t>
            </w:r>
          </w:p>
        </w:tc>
        <w:tc>
          <w:tcPr>
            <w:tcW w:type="dxa" w:w="1707"/>
            <w:shd w:fill="FFFFFF" w:color="auto" w:val="clear"/>
            <w:tcMar>
              <w:top w:type="dxa" w:w="60"/>
              <w:left w:type="dxa" w:w="110"/>
              <w:bottom w:type="dxa" w:w="60"/>
              <w:right w:type="dxa" w:w="110"/>
            </w:tcMar>
          </w:tcPr>
          <w:p>
            <w:pPr>
              <w:spacing w:after="0" w:before="0"/>
              <w:jc w:val="left"/>
            </w:pPr>
            <w:r>
              <w:rPr>
                <w:rFonts w:ascii="Calibri" w:cs="Calibri" w:eastAsia="Calibri" w:hAnsi="Calibri"/>
                <w:color w:val="000000"/>
                <w:sz w:val="18"/>
                <w:szCs w:val="18"/>
              </w:rPr>
              <w:t xml:space="preserve"/>
            </w:r>
          </w:p>
        </w:tc>
      </w:tr>
      <w:tr>
        <w:tc>
          <w:tcPr>
            <w:tcW w:type="dxa" w:w="730"/>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A4</w:t>
            </w:r>
          </w:p>
        </w:tc>
        <w:tc>
          <w:tcPr>
            <w:tcW w:type="dxa" w:w="7309"/>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Atendimento por WhatsApp / telefone fora de escopo</w:t>
            </w:r>
          </w:p>
        </w:tc>
        <w:tc>
          <w:tcPr>
            <w:tcW w:type="dxa" w:w="1707"/>
            <w:shd w:fill="F2F5F8" w:color="auto" w:val="clear"/>
            <w:tcMar>
              <w:top w:type="dxa" w:w="60"/>
              <w:left w:type="dxa" w:w="110"/>
              <w:bottom w:type="dxa" w:w="60"/>
              <w:right w:type="dxa" w:w="110"/>
            </w:tcMar>
          </w:tcPr>
          <w:p>
            <w:pPr>
              <w:spacing w:after="0" w:before="0"/>
              <w:jc w:val="left"/>
            </w:pPr>
            <w:r>
              <w:rPr>
                <w:rFonts w:ascii="Calibri" w:cs="Calibri" w:eastAsia="Calibri" w:hAnsi="Calibri"/>
                <w:color w:val="000000"/>
                <w:sz w:val="18"/>
                <w:szCs w:val="18"/>
              </w:rPr>
              <w:t xml:space="preserve"/>
            </w:r>
          </w:p>
        </w:tc>
      </w:tr>
      <w:tr>
        <w:tc>
          <w:tcPr>
            <w:tcW w:type="dxa" w:w="730"/>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A5</w:t>
            </w:r>
          </w:p>
        </w:tc>
        <w:tc>
          <w:tcPr>
            <w:tcW w:type="dxa" w:w="7309"/>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Respostas a e-mails de dúvida geral</w:t>
            </w:r>
          </w:p>
        </w:tc>
        <w:tc>
          <w:tcPr>
            <w:tcW w:type="dxa" w:w="1707"/>
            <w:shd w:fill="FFFFFF" w:color="auto" w:val="clear"/>
            <w:tcMar>
              <w:top w:type="dxa" w:w="60"/>
              <w:left w:type="dxa" w:w="110"/>
              <w:bottom w:type="dxa" w:w="60"/>
              <w:right w:type="dxa" w:w="110"/>
            </w:tcMar>
          </w:tcPr>
          <w:p>
            <w:pPr>
              <w:spacing w:after="0" w:before="0"/>
              <w:jc w:val="left"/>
            </w:pPr>
            <w:r>
              <w:rPr>
                <w:rFonts w:ascii="Calibri" w:cs="Calibri" w:eastAsia="Calibri" w:hAnsi="Calibri"/>
                <w:color w:val="000000"/>
                <w:sz w:val="18"/>
                <w:szCs w:val="18"/>
              </w:rPr>
              <w:t xml:space="preserve"/>
            </w:r>
          </w:p>
        </w:tc>
      </w:tr>
      <w:tr>
        <w:tc>
          <w:tcPr>
            <w:tcW w:type="dxa" w:w="730"/>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A6</w:t>
            </w:r>
          </w:p>
        </w:tc>
        <w:tc>
          <w:tcPr>
            <w:tcW w:type="dxa" w:w="7309"/>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Follow-up proativo de prazos (AFR, Tax Return, renovação)</w:t>
            </w:r>
          </w:p>
        </w:tc>
        <w:tc>
          <w:tcPr>
            <w:tcW w:type="dxa" w:w="1707"/>
            <w:shd w:fill="F2F5F8" w:color="auto" w:val="clear"/>
            <w:tcMar>
              <w:top w:type="dxa" w:w="60"/>
              <w:left w:type="dxa" w:w="110"/>
              <w:bottom w:type="dxa" w:w="60"/>
              <w:right w:type="dxa" w:w="110"/>
            </w:tcMar>
          </w:tcPr>
          <w:p>
            <w:pPr>
              <w:spacing w:after="0" w:before="0"/>
              <w:jc w:val="left"/>
            </w:pPr>
            <w:r>
              <w:rPr>
                <w:rFonts w:ascii="Calibri" w:cs="Calibri" w:eastAsia="Calibri" w:hAnsi="Calibri"/>
                <w:color w:val="000000"/>
                <w:sz w:val="18"/>
                <w:szCs w:val="18"/>
              </w:rPr>
              <w:t xml:space="preserve"/>
            </w:r>
          </w:p>
        </w:tc>
      </w:tr>
      <w:tr>
        <w:tc>
          <w:tcPr>
            <w:tcW w:type="dxa" w:w="730"/>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A7</w:t>
            </w:r>
          </w:p>
        </w:tc>
        <w:tc>
          <w:tcPr>
            <w:tcW w:type="dxa" w:w="7309"/>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Lembretes de vencimento e cobrança de documentos</w:t>
            </w:r>
          </w:p>
        </w:tc>
        <w:tc>
          <w:tcPr>
            <w:tcW w:type="dxa" w:w="1707"/>
            <w:shd w:fill="FFFFFF" w:color="auto" w:val="clear"/>
            <w:tcMar>
              <w:top w:type="dxa" w:w="60"/>
              <w:left w:type="dxa" w:w="110"/>
              <w:bottom w:type="dxa" w:w="60"/>
              <w:right w:type="dxa" w:w="110"/>
            </w:tcMar>
          </w:tcPr>
          <w:p>
            <w:pPr>
              <w:spacing w:after="0" w:before="0"/>
              <w:jc w:val="left"/>
            </w:pPr>
            <w:r>
              <w:rPr>
                <w:rFonts w:ascii="Calibri" w:cs="Calibri" w:eastAsia="Calibri" w:hAnsi="Calibri"/>
                <w:color w:val="000000"/>
                <w:sz w:val="18"/>
                <w:szCs w:val="18"/>
              </w:rPr>
              <w:t xml:space="preserve"/>
            </w:r>
          </w:p>
        </w:tc>
      </w:tr>
      <w:tr>
        <w:tc>
          <w:tcPr>
            <w:tcW w:type="dxa" w:w="730"/>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A8</w:t>
            </w:r>
          </w:p>
        </w:tc>
        <w:tc>
          <w:tcPr>
            <w:tcW w:type="dxa" w:w="7309"/>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Ponto focal único / gestor de conta dedicado</w:t>
            </w:r>
          </w:p>
        </w:tc>
        <w:tc>
          <w:tcPr>
            <w:tcW w:type="dxa" w:w="1707"/>
            <w:shd w:fill="F2F5F8" w:color="auto" w:val="clear"/>
            <w:tcMar>
              <w:top w:type="dxa" w:w="60"/>
              <w:left w:type="dxa" w:w="110"/>
              <w:bottom w:type="dxa" w:w="60"/>
              <w:right w:type="dxa" w:w="110"/>
            </w:tcMar>
          </w:tcPr>
          <w:p>
            <w:pPr>
              <w:spacing w:after="0" w:before="0"/>
              <w:jc w:val="left"/>
            </w:pPr>
            <w:r>
              <w:rPr>
                <w:rFonts w:ascii="Calibri" w:cs="Calibri" w:eastAsia="Calibri" w:hAnsi="Calibri"/>
                <w:color w:val="000000"/>
                <w:sz w:val="18"/>
                <w:szCs w:val="18"/>
              </w:rPr>
              <w:t xml:space="preserve"/>
            </w:r>
          </w:p>
        </w:tc>
      </w:tr>
    </w:tbl>
    <w:p>
      <w:pPr>
        <w:spacing w:after="200"/>
      </w:pPr>
      <w:r>
        <w:t xml:space="preserve"/>
      </w:r>
    </w:p>
    <w:p>
      <w:pPr>
        <w:pStyle w:val="Heading3"/>
        <w:spacing w:after="110" w:before="260"/>
      </w:pPr>
      <w:r>
        <w:rPr>
          <w:rFonts w:ascii="Calibri" w:cs="Calibri" w:eastAsia="Calibri" w:hAnsi="Calibri"/>
          <w:b/>
          <w:bCs/>
          <w:color w:val="2E6DA4"/>
          <w:sz w:val="22"/>
          <w:szCs w:val="22"/>
        </w:rPr>
        <w:t xml:space="preserve">B. Coordenação com terceiros</w:t>
      </w:r>
    </w:p>
    <w:tbl>
      <w:tblPr>
        <w:tblW w:type="dxa" w:w="9746"/>
        <w:tblBorders>
          <w:top w:val="single" w:color="C9D4E0" w:sz="2"/>
          <w:left w:val="single" w:color="C9D4E0" w:sz="2"/>
          <w:bottom w:val="single" w:color="C9D4E0" w:sz="2"/>
          <w:right w:val="single" w:color="C9D4E0" w:sz="2"/>
          <w:insideH w:val="single" w:color="C9D4E0" w:sz="2"/>
          <w:insideV w:val="single" w:color="C9D4E0" w:sz="2"/>
        </w:tblBorders>
      </w:tblPr>
      <w:tblGrid>
        <w:gridCol w:w="730"/>
        <w:gridCol w:w="7309"/>
        <w:gridCol w:w="1707"/>
      </w:tblGrid>
      <w:tr>
        <w:trPr>
          <w:tblHeader/>
        </w:trPr>
        <w:tc>
          <w:tcPr>
            <w:tcW w:type="dxa" w:w="730"/>
            <w:shd w:fill="1F3A5F" w:color="auto" w:val="clear"/>
            <w:tcMar>
              <w:top w:type="dxa" w:w="60"/>
              <w:left w:type="dxa" w:w="110"/>
              <w:bottom w:type="dxa" w:w="60"/>
              <w:right w:type="dxa" w:w="110"/>
            </w:tcMar>
          </w:tcPr>
          <w:p>
            <w:pPr>
              <w:spacing w:after="0" w:before="0"/>
              <w:jc w:val="left"/>
            </w:pPr>
            <w:r>
              <w:rPr>
                <w:rFonts w:ascii="Calibri" w:cs="Calibri" w:eastAsia="Calibri" w:hAnsi="Calibri"/>
                <w:b/>
                <w:bCs/>
                <w:color w:val="FFFFFF"/>
                <w:sz w:val="18"/>
                <w:szCs w:val="18"/>
              </w:rPr>
              <w:t xml:space="preserve">#</w:t>
            </w:r>
          </w:p>
        </w:tc>
        <w:tc>
          <w:tcPr>
            <w:tcW w:type="dxa" w:w="7309"/>
            <w:shd w:fill="1F3A5F" w:color="auto" w:val="clear"/>
            <w:tcMar>
              <w:top w:type="dxa" w:w="60"/>
              <w:left w:type="dxa" w:w="110"/>
              <w:bottom w:type="dxa" w:w="60"/>
              <w:right w:type="dxa" w:w="110"/>
            </w:tcMar>
          </w:tcPr>
          <w:p>
            <w:pPr>
              <w:spacing w:after="0" w:before="0"/>
              <w:jc w:val="left"/>
            </w:pPr>
            <w:r>
              <w:rPr>
                <w:rFonts w:ascii="Calibri" w:cs="Calibri" w:eastAsia="Calibri" w:hAnsi="Calibri"/>
                <w:b/>
                <w:bCs/>
                <w:color w:val="FFFFFF"/>
                <w:sz w:val="18"/>
                <w:szCs w:val="18"/>
              </w:rPr>
              <w:t xml:space="preserve">Serviço</w:t>
            </w:r>
          </w:p>
        </w:tc>
        <w:tc>
          <w:tcPr>
            <w:tcW w:type="dxa" w:w="1707"/>
            <w:shd w:fill="1F3A5F" w:color="auto" w:val="clear"/>
            <w:tcMar>
              <w:top w:type="dxa" w:w="60"/>
              <w:left w:type="dxa" w:w="110"/>
              <w:bottom w:type="dxa" w:w="60"/>
              <w:right w:type="dxa" w:w="110"/>
            </w:tcMar>
          </w:tcPr>
          <w:p>
            <w:pPr>
              <w:spacing w:after="0" w:before="0"/>
              <w:jc w:val="left"/>
            </w:pPr>
            <w:r>
              <w:rPr>
                <w:rFonts w:ascii="Calibri" w:cs="Calibri" w:eastAsia="Calibri" w:hAnsi="Calibri"/>
                <w:b/>
                <w:bCs/>
                <w:color w:val="FFFFFF"/>
                <w:sz w:val="18"/>
                <w:szCs w:val="18"/>
              </w:rPr>
              <w:t xml:space="preserve">Já fazem hoje?</w:t>
            </w:r>
          </w:p>
        </w:tc>
      </w:tr>
      <w:tr>
        <w:tc>
          <w:tcPr>
            <w:tcW w:type="dxa" w:w="730"/>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B1</w:t>
            </w:r>
          </w:p>
        </w:tc>
        <w:tc>
          <w:tcPr>
            <w:tcW w:type="dxa" w:w="7309"/>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Coordenação com o contador brasileiro do cliente</w:t>
            </w:r>
          </w:p>
        </w:tc>
        <w:tc>
          <w:tcPr>
            <w:tcW w:type="dxa" w:w="1707"/>
            <w:shd w:fill="FFFFFF" w:color="auto" w:val="clear"/>
            <w:tcMar>
              <w:top w:type="dxa" w:w="60"/>
              <w:left w:type="dxa" w:w="110"/>
              <w:bottom w:type="dxa" w:w="60"/>
              <w:right w:type="dxa" w:w="110"/>
            </w:tcMar>
          </w:tcPr>
          <w:p>
            <w:pPr>
              <w:spacing w:after="0" w:before="0"/>
              <w:jc w:val="left"/>
            </w:pPr>
            <w:r>
              <w:rPr>
                <w:rFonts w:ascii="Calibri" w:cs="Calibri" w:eastAsia="Calibri" w:hAnsi="Calibri"/>
                <w:color w:val="000000"/>
                <w:sz w:val="18"/>
                <w:szCs w:val="18"/>
              </w:rPr>
              <w:t xml:space="preserve"/>
            </w:r>
          </w:p>
        </w:tc>
      </w:tr>
      <w:tr>
        <w:tc>
          <w:tcPr>
            <w:tcW w:type="dxa" w:w="730"/>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B2</w:t>
            </w:r>
          </w:p>
        </w:tc>
        <w:tc>
          <w:tcPr>
            <w:tcW w:type="dxa" w:w="7309"/>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Explicação da estrutura para o contador (recorrente todo ano)</w:t>
            </w:r>
          </w:p>
        </w:tc>
        <w:tc>
          <w:tcPr>
            <w:tcW w:type="dxa" w:w="1707"/>
            <w:shd w:fill="F2F5F8" w:color="auto" w:val="clear"/>
            <w:tcMar>
              <w:top w:type="dxa" w:w="60"/>
              <w:left w:type="dxa" w:w="110"/>
              <w:bottom w:type="dxa" w:w="60"/>
              <w:right w:type="dxa" w:w="110"/>
            </w:tcMar>
          </w:tcPr>
          <w:p>
            <w:pPr>
              <w:spacing w:after="0" w:before="0"/>
              <w:jc w:val="left"/>
            </w:pPr>
            <w:r>
              <w:rPr>
                <w:rFonts w:ascii="Calibri" w:cs="Calibri" w:eastAsia="Calibri" w:hAnsi="Calibri"/>
                <w:color w:val="000000"/>
                <w:sz w:val="18"/>
                <w:szCs w:val="18"/>
              </w:rPr>
              <w:t xml:space="preserve"/>
            </w:r>
          </w:p>
        </w:tc>
      </w:tr>
      <w:tr>
        <w:tc>
          <w:tcPr>
            <w:tcW w:type="dxa" w:w="730"/>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B3</w:t>
            </w:r>
          </w:p>
        </w:tc>
        <w:tc>
          <w:tcPr>
            <w:tcW w:type="dxa" w:w="7309"/>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Suporte ao DCBE / declarações no Brasil</w:t>
            </w:r>
          </w:p>
        </w:tc>
        <w:tc>
          <w:tcPr>
            <w:tcW w:type="dxa" w:w="1707"/>
            <w:shd w:fill="FFFFFF" w:color="auto" w:val="clear"/>
            <w:tcMar>
              <w:top w:type="dxa" w:w="60"/>
              <w:left w:type="dxa" w:w="110"/>
              <w:bottom w:type="dxa" w:w="60"/>
              <w:right w:type="dxa" w:w="110"/>
            </w:tcMar>
          </w:tcPr>
          <w:p>
            <w:pPr>
              <w:spacing w:after="0" w:before="0"/>
              <w:jc w:val="left"/>
            </w:pPr>
            <w:r>
              <w:rPr>
                <w:rFonts w:ascii="Calibri" w:cs="Calibri" w:eastAsia="Calibri" w:hAnsi="Calibri"/>
                <w:color w:val="000000"/>
                <w:sz w:val="18"/>
                <w:szCs w:val="18"/>
              </w:rPr>
              <w:t xml:space="preserve"/>
            </w:r>
          </w:p>
        </w:tc>
      </w:tr>
      <w:tr>
        <w:tc>
          <w:tcPr>
            <w:tcW w:type="dxa" w:w="730"/>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B4</w:t>
            </w:r>
          </w:p>
        </w:tc>
        <w:tc>
          <w:tcPr>
            <w:tcW w:type="dxa" w:w="7309"/>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Coordenação com advogado tributarista</w:t>
            </w:r>
          </w:p>
        </w:tc>
        <w:tc>
          <w:tcPr>
            <w:tcW w:type="dxa" w:w="1707"/>
            <w:shd w:fill="F2F5F8" w:color="auto" w:val="clear"/>
            <w:tcMar>
              <w:top w:type="dxa" w:w="60"/>
              <w:left w:type="dxa" w:w="110"/>
              <w:bottom w:type="dxa" w:w="60"/>
              <w:right w:type="dxa" w:w="110"/>
            </w:tcMar>
          </w:tcPr>
          <w:p>
            <w:pPr>
              <w:spacing w:after="0" w:before="0"/>
              <w:jc w:val="left"/>
            </w:pPr>
            <w:r>
              <w:rPr>
                <w:rFonts w:ascii="Calibri" w:cs="Calibri" w:eastAsia="Calibri" w:hAnsi="Calibri"/>
                <w:color w:val="000000"/>
                <w:sz w:val="18"/>
                <w:szCs w:val="18"/>
              </w:rPr>
              <w:t xml:space="preserve"/>
            </w:r>
          </w:p>
        </w:tc>
      </w:tr>
      <w:tr>
        <w:tc>
          <w:tcPr>
            <w:tcW w:type="dxa" w:w="730"/>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B5</w:t>
            </w:r>
          </w:p>
        </w:tc>
        <w:tc>
          <w:tcPr>
            <w:tcW w:type="dxa" w:w="7309"/>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Coordenação com advogado sucessório</w:t>
            </w:r>
          </w:p>
        </w:tc>
        <w:tc>
          <w:tcPr>
            <w:tcW w:type="dxa" w:w="1707"/>
            <w:shd w:fill="FFFFFF" w:color="auto" w:val="clear"/>
            <w:tcMar>
              <w:top w:type="dxa" w:w="60"/>
              <w:left w:type="dxa" w:w="110"/>
              <w:bottom w:type="dxa" w:w="60"/>
              <w:right w:type="dxa" w:w="110"/>
            </w:tcMar>
          </w:tcPr>
          <w:p>
            <w:pPr>
              <w:spacing w:after="0" w:before="0"/>
              <w:jc w:val="left"/>
            </w:pPr>
            <w:r>
              <w:rPr>
                <w:rFonts w:ascii="Calibri" w:cs="Calibri" w:eastAsia="Calibri" w:hAnsi="Calibri"/>
                <w:color w:val="000000"/>
                <w:sz w:val="18"/>
                <w:szCs w:val="18"/>
              </w:rPr>
              <w:t xml:space="preserve"/>
            </w:r>
          </w:p>
        </w:tc>
      </w:tr>
      <w:tr>
        <w:tc>
          <w:tcPr>
            <w:tcW w:type="dxa" w:w="730"/>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B6</w:t>
            </w:r>
          </w:p>
        </w:tc>
        <w:tc>
          <w:tcPr>
            <w:tcW w:type="dxa" w:w="7309"/>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Coordenação com advogado no exterior</w:t>
            </w:r>
          </w:p>
        </w:tc>
        <w:tc>
          <w:tcPr>
            <w:tcW w:type="dxa" w:w="1707"/>
            <w:shd w:fill="F2F5F8" w:color="auto" w:val="clear"/>
            <w:tcMar>
              <w:top w:type="dxa" w:w="60"/>
              <w:left w:type="dxa" w:w="110"/>
              <w:bottom w:type="dxa" w:w="60"/>
              <w:right w:type="dxa" w:w="110"/>
            </w:tcMar>
          </w:tcPr>
          <w:p>
            <w:pPr>
              <w:spacing w:after="0" w:before="0"/>
              <w:jc w:val="left"/>
            </w:pPr>
            <w:r>
              <w:rPr>
                <w:rFonts w:ascii="Calibri" w:cs="Calibri" w:eastAsia="Calibri" w:hAnsi="Calibri"/>
                <w:color w:val="000000"/>
                <w:sz w:val="18"/>
                <w:szCs w:val="18"/>
              </w:rPr>
              <w:t xml:space="preserve"/>
            </w:r>
          </w:p>
        </w:tc>
      </w:tr>
      <w:tr>
        <w:tc>
          <w:tcPr>
            <w:tcW w:type="dxa" w:w="730"/>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B7</w:t>
            </w:r>
          </w:p>
        </w:tc>
        <w:tc>
          <w:tcPr>
            <w:tcW w:type="dxa" w:w="7309"/>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Coordenação com banco / private banking (abertura, KYC, refresh)</w:t>
            </w:r>
          </w:p>
        </w:tc>
        <w:tc>
          <w:tcPr>
            <w:tcW w:type="dxa" w:w="1707"/>
            <w:shd w:fill="FFFFFF" w:color="auto" w:val="clear"/>
            <w:tcMar>
              <w:top w:type="dxa" w:w="60"/>
              <w:left w:type="dxa" w:w="110"/>
              <w:bottom w:type="dxa" w:w="60"/>
              <w:right w:type="dxa" w:w="110"/>
            </w:tcMar>
          </w:tcPr>
          <w:p>
            <w:pPr>
              <w:spacing w:after="0" w:before="0"/>
              <w:jc w:val="left"/>
            </w:pPr>
            <w:r>
              <w:rPr>
                <w:rFonts w:ascii="Calibri" w:cs="Calibri" w:eastAsia="Calibri" w:hAnsi="Calibri"/>
                <w:color w:val="000000"/>
                <w:sz w:val="18"/>
                <w:szCs w:val="18"/>
              </w:rPr>
              <w:t xml:space="preserve"/>
            </w:r>
          </w:p>
        </w:tc>
      </w:tr>
      <w:tr>
        <w:tc>
          <w:tcPr>
            <w:tcW w:type="dxa" w:w="730"/>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B8</w:t>
            </w:r>
          </w:p>
        </w:tc>
        <w:tc>
          <w:tcPr>
            <w:tcW w:type="dxa" w:w="7309"/>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Preenchimento e revisão de formulários bancários (W-8, FATCA, CRS)</w:t>
            </w:r>
          </w:p>
        </w:tc>
        <w:tc>
          <w:tcPr>
            <w:tcW w:type="dxa" w:w="1707"/>
            <w:shd w:fill="F2F5F8" w:color="auto" w:val="clear"/>
            <w:tcMar>
              <w:top w:type="dxa" w:w="60"/>
              <w:left w:type="dxa" w:w="110"/>
              <w:bottom w:type="dxa" w:w="60"/>
              <w:right w:type="dxa" w:w="110"/>
            </w:tcMar>
          </w:tcPr>
          <w:p>
            <w:pPr>
              <w:spacing w:after="0" w:before="0"/>
              <w:jc w:val="left"/>
            </w:pPr>
            <w:r>
              <w:rPr>
                <w:rFonts w:ascii="Calibri" w:cs="Calibri" w:eastAsia="Calibri" w:hAnsi="Calibri"/>
                <w:color w:val="000000"/>
                <w:sz w:val="18"/>
                <w:szCs w:val="18"/>
              </w:rPr>
              <w:t xml:space="preserve"/>
            </w:r>
          </w:p>
        </w:tc>
      </w:tr>
      <w:tr>
        <w:tc>
          <w:tcPr>
            <w:tcW w:type="dxa" w:w="730"/>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B9</w:t>
            </w:r>
          </w:p>
        </w:tc>
        <w:tc>
          <w:tcPr>
            <w:tcW w:type="dxa" w:w="7309"/>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Coordenação com gestora / corretora / family office</w:t>
            </w:r>
          </w:p>
        </w:tc>
        <w:tc>
          <w:tcPr>
            <w:tcW w:type="dxa" w:w="1707"/>
            <w:shd w:fill="FFFFFF" w:color="auto" w:val="clear"/>
            <w:tcMar>
              <w:top w:type="dxa" w:w="60"/>
              <w:left w:type="dxa" w:w="110"/>
              <w:bottom w:type="dxa" w:w="60"/>
              <w:right w:type="dxa" w:w="110"/>
            </w:tcMar>
          </w:tcPr>
          <w:p>
            <w:pPr>
              <w:spacing w:after="0" w:before="0"/>
              <w:jc w:val="left"/>
            </w:pPr>
            <w:r>
              <w:rPr>
                <w:rFonts w:ascii="Calibri" w:cs="Calibri" w:eastAsia="Calibri" w:hAnsi="Calibri"/>
                <w:color w:val="000000"/>
                <w:sz w:val="18"/>
                <w:szCs w:val="18"/>
              </w:rPr>
              <w:t xml:space="preserve"/>
            </w:r>
          </w:p>
        </w:tc>
      </w:tr>
      <w:tr>
        <w:tc>
          <w:tcPr>
            <w:tcW w:type="dxa" w:w="730"/>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B10</w:t>
            </w:r>
          </w:p>
        </w:tc>
        <w:tc>
          <w:tcPr>
            <w:tcW w:type="dxa" w:w="7309"/>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Coordenação com auditoria</w:t>
            </w:r>
          </w:p>
        </w:tc>
        <w:tc>
          <w:tcPr>
            <w:tcW w:type="dxa" w:w="1707"/>
            <w:shd w:fill="F2F5F8" w:color="auto" w:val="clear"/>
            <w:tcMar>
              <w:top w:type="dxa" w:w="60"/>
              <w:left w:type="dxa" w:w="110"/>
              <w:bottom w:type="dxa" w:w="60"/>
              <w:right w:type="dxa" w:w="110"/>
            </w:tcMar>
          </w:tcPr>
          <w:p>
            <w:pPr>
              <w:spacing w:after="0" w:before="0"/>
              <w:jc w:val="left"/>
            </w:pPr>
            <w:r>
              <w:rPr>
                <w:rFonts w:ascii="Calibri" w:cs="Calibri" w:eastAsia="Calibri" w:hAnsi="Calibri"/>
                <w:color w:val="000000"/>
                <w:sz w:val="18"/>
                <w:szCs w:val="18"/>
              </w:rPr>
              <w:t xml:space="preserve"/>
            </w:r>
          </w:p>
        </w:tc>
      </w:tr>
    </w:tbl>
    <w:p>
      <w:pPr>
        <w:spacing w:after="200"/>
      </w:pPr>
      <w:r>
        <w:t xml:space="preserve"/>
      </w:r>
    </w:p>
    <w:p>
      <w:pPr>
        <w:pStyle w:val="Heading3"/>
        <w:spacing w:after="110" w:before="260"/>
      </w:pPr>
      <w:r>
        <w:rPr>
          <w:rFonts w:ascii="Calibri" w:cs="Calibri" w:eastAsia="Calibri" w:hAnsi="Calibri"/>
          <w:b/>
          <w:bCs/>
          <w:color w:val="2E6DA4"/>
          <w:sz w:val="22"/>
          <w:szCs w:val="22"/>
        </w:rPr>
        <w:t xml:space="preserve">C. Documentos e certidões avulsas</w:t>
      </w:r>
    </w:p>
    <w:tbl>
      <w:tblPr>
        <w:tblW w:type="dxa" w:w="9746"/>
        <w:tblBorders>
          <w:top w:val="single" w:color="C9D4E0" w:sz="2"/>
          <w:left w:val="single" w:color="C9D4E0" w:sz="2"/>
          <w:bottom w:val="single" w:color="C9D4E0" w:sz="2"/>
          <w:right w:val="single" w:color="C9D4E0" w:sz="2"/>
          <w:insideH w:val="single" w:color="C9D4E0" w:sz="2"/>
          <w:insideV w:val="single" w:color="C9D4E0" w:sz="2"/>
        </w:tblBorders>
      </w:tblPr>
      <w:tblGrid>
        <w:gridCol w:w="730"/>
        <w:gridCol w:w="7309"/>
        <w:gridCol w:w="1707"/>
      </w:tblGrid>
      <w:tr>
        <w:trPr>
          <w:tblHeader/>
        </w:trPr>
        <w:tc>
          <w:tcPr>
            <w:tcW w:type="dxa" w:w="730"/>
            <w:shd w:fill="1F3A5F" w:color="auto" w:val="clear"/>
            <w:tcMar>
              <w:top w:type="dxa" w:w="60"/>
              <w:left w:type="dxa" w:w="110"/>
              <w:bottom w:type="dxa" w:w="60"/>
              <w:right w:type="dxa" w:w="110"/>
            </w:tcMar>
          </w:tcPr>
          <w:p>
            <w:pPr>
              <w:spacing w:after="0" w:before="0"/>
              <w:jc w:val="left"/>
            </w:pPr>
            <w:r>
              <w:rPr>
                <w:rFonts w:ascii="Calibri" w:cs="Calibri" w:eastAsia="Calibri" w:hAnsi="Calibri"/>
                <w:b/>
                <w:bCs/>
                <w:color w:val="FFFFFF"/>
                <w:sz w:val="18"/>
                <w:szCs w:val="18"/>
              </w:rPr>
              <w:t xml:space="preserve">#</w:t>
            </w:r>
          </w:p>
        </w:tc>
        <w:tc>
          <w:tcPr>
            <w:tcW w:type="dxa" w:w="7309"/>
            <w:shd w:fill="1F3A5F" w:color="auto" w:val="clear"/>
            <w:tcMar>
              <w:top w:type="dxa" w:w="60"/>
              <w:left w:type="dxa" w:w="110"/>
              <w:bottom w:type="dxa" w:w="60"/>
              <w:right w:type="dxa" w:w="110"/>
            </w:tcMar>
          </w:tcPr>
          <w:p>
            <w:pPr>
              <w:spacing w:after="0" w:before="0"/>
              <w:jc w:val="left"/>
            </w:pPr>
            <w:r>
              <w:rPr>
                <w:rFonts w:ascii="Calibri" w:cs="Calibri" w:eastAsia="Calibri" w:hAnsi="Calibri"/>
                <w:b/>
                <w:bCs/>
                <w:color w:val="FFFFFF"/>
                <w:sz w:val="18"/>
                <w:szCs w:val="18"/>
              </w:rPr>
              <w:t xml:space="preserve">Serviço</w:t>
            </w:r>
          </w:p>
        </w:tc>
        <w:tc>
          <w:tcPr>
            <w:tcW w:type="dxa" w:w="1707"/>
            <w:shd w:fill="1F3A5F" w:color="auto" w:val="clear"/>
            <w:tcMar>
              <w:top w:type="dxa" w:w="60"/>
              <w:left w:type="dxa" w:w="110"/>
              <w:bottom w:type="dxa" w:w="60"/>
              <w:right w:type="dxa" w:w="110"/>
            </w:tcMar>
          </w:tcPr>
          <w:p>
            <w:pPr>
              <w:spacing w:after="0" w:before="0"/>
              <w:jc w:val="left"/>
            </w:pPr>
            <w:r>
              <w:rPr>
                <w:rFonts w:ascii="Calibri" w:cs="Calibri" w:eastAsia="Calibri" w:hAnsi="Calibri"/>
                <w:b/>
                <w:bCs/>
                <w:color w:val="FFFFFF"/>
                <w:sz w:val="18"/>
                <w:szCs w:val="18"/>
              </w:rPr>
              <w:t xml:space="preserve">Já fazem hoje?</w:t>
            </w:r>
          </w:p>
        </w:tc>
      </w:tr>
      <w:tr>
        <w:tc>
          <w:tcPr>
            <w:tcW w:type="dxa" w:w="730"/>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C1</w:t>
            </w:r>
          </w:p>
        </w:tc>
        <w:tc>
          <w:tcPr>
            <w:tcW w:type="dxa" w:w="7309"/>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Certificate of Good Standing</w:t>
            </w:r>
          </w:p>
        </w:tc>
        <w:tc>
          <w:tcPr>
            <w:tcW w:type="dxa" w:w="1707"/>
            <w:shd w:fill="FFFFFF" w:color="auto" w:val="clear"/>
            <w:tcMar>
              <w:top w:type="dxa" w:w="60"/>
              <w:left w:type="dxa" w:w="110"/>
              <w:bottom w:type="dxa" w:w="60"/>
              <w:right w:type="dxa" w:w="110"/>
            </w:tcMar>
          </w:tcPr>
          <w:p>
            <w:pPr>
              <w:spacing w:after="0" w:before="0"/>
              <w:jc w:val="left"/>
            </w:pPr>
            <w:r>
              <w:rPr>
                <w:rFonts w:ascii="Calibri" w:cs="Calibri" w:eastAsia="Calibri" w:hAnsi="Calibri"/>
                <w:color w:val="000000"/>
                <w:sz w:val="18"/>
                <w:szCs w:val="18"/>
              </w:rPr>
              <w:t xml:space="preserve"/>
            </w:r>
          </w:p>
        </w:tc>
      </w:tr>
      <w:tr>
        <w:tc>
          <w:tcPr>
            <w:tcW w:type="dxa" w:w="730"/>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C2</w:t>
            </w:r>
          </w:p>
        </w:tc>
        <w:tc>
          <w:tcPr>
            <w:tcW w:type="dxa" w:w="7309"/>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Certificate of Incumbency</w:t>
            </w:r>
          </w:p>
        </w:tc>
        <w:tc>
          <w:tcPr>
            <w:tcW w:type="dxa" w:w="1707"/>
            <w:shd w:fill="F2F5F8" w:color="auto" w:val="clear"/>
            <w:tcMar>
              <w:top w:type="dxa" w:w="60"/>
              <w:left w:type="dxa" w:w="110"/>
              <w:bottom w:type="dxa" w:w="60"/>
              <w:right w:type="dxa" w:w="110"/>
            </w:tcMar>
          </w:tcPr>
          <w:p>
            <w:pPr>
              <w:spacing w:after="0" w:before="0"/>
              <w:jc w:val="left"/>
            </w:pPr>
            <w:r>
              <w:rPr>
                <w:rFonts w:ascii="Calibri" w:cs="Calibri" w:eastAsia="Calibri" w:hAnsi="Calibri"/>
                <w:color w:val="000000"/>
                <w:sz w:val="18"/>
                <w:szCs w:val="18"/>
              </w:rPr>
              <w:t xml:space="preserve"/>
            </w:r>
          </w:p>
        </w:tc>
      </w:tr>
      <w:tr>
        <w:tc>
          <w:tcPr>
            <w:tcW w:type="dxa" w:w="730"/>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C3</w:t>
            </w:r>
          </w:p>
        </w:tc>
        <w:tc>
          <w:tcPr>
            <w:tcW w:type="dxa" w:w="7309"/>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Elaboração de atas (aporte, redução de capital, distribuição)</w:t>
            </w:r>
          </w:p>
        </w:tc>
        <w:tc>
          <w:tcPr>
            <w:tcW w:type="dxa" w:w="1707"/>
            <w:shd w:fill="FFFFFF" w:color="auto" w:val="clear"/>
            <w:tcMar>
              <w:top w:type="dxa" w:w="60"/>
              <w:left w:type="dxa" w:w="110"/>
              <w:bottom w:type="dxa" w:w="60"/>
              <w:right w:type="dxa" w:w="110"/>
            </w:tcMar>
          </w:tcPr>
          <w:p>
            <w:pPr>
              <w:spacing w:after="0" w:before="0"/>
              <w:jc w:val="left"/>
            </w:pPr>
            <w:r>
              <w:rPr>
                <w:rFonts w:ascii="Calibri" w:cs="Calibri" w:eastAsia="Calibri" w:hAnsi="Calibri"/>
                <w:color w:val="000000"/>
                <w:sz w:val="18"/>
                <w:szCs w:val="18"/>
              </w:rPr>
              <w:t xml:space="preserve"/>
            </w:r>
          </w:p>
        </w:tc>
      </w:tr>
      <w:tr>
        <w:tc>
          <w:tcPr>
            <w:tcW w:type="dxa" w:w="730"/>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C4</w:t>
            </w:r>
          </w:p>
        </w:tc>
        <w:tc>
          <w:tcPr>
            <w:tcW w:type="dxa" w:w="7309"/>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Segunda via / cópias de documentos societários</w:t>
            </w:r>
          </w:p>
        </w:tc>
        <w:tc>
          <w:tcPr>
            <w:tcW w:type="dxa" w:w="1707"/>
            <w:shd w:fill="F2F5F8" w:color="auto" w:val="clear"/>
            <w:tcMar>
              <w:top w:type="dxa" w:w="60"/>
              <w:left w:type="dxa" w:w="110"/>
              <w:bottom w:type="dxa" w:w="60"/>
              <w:right w:type="dxa" w:w="110"/>
            </w:tcMar>
          </w:tcPr>
          <w:p>
            <w:pPr>
              <w:spacing w:after="0" w:before="0"/>
              <w:jc w:val="left"/>
            </w:pPr>
            <w:r>
              <w:rPr>
                <w:rFonts w:ascii="Calibri" w:cs="Calibri" w:eastAsia="Calibri" w:hAnsi="Calibri"/>
                <w:color w:val="000000"/>
                <w:sz w:val="18"/>
                <w:szCs w:val="18"/>
              </w:rPr>
              <w:t xml:space="preserve"/>
            </w:r>
          </w:p>
        </w:tc>
      </w:tr>
      <w:tr>
        <w:tc>
          <w:tcPr>
            <w:tcW w:type="dxa" w:w="730"/>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C5</w:t>
            </w:r>
          </w:p>
        </w:tc>
        <w:tc>
          <w:tcPr>
            <w:tcW w:type="dxa" w:w="7309"/>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Cartas de referência e declarações a pedido do banco</w:t>
            </w:r>
          </w:p>
        </w:tc>
        <w:tc>
          <w:tcPr>
            <w:tcW w:type="dxa" w:w="1707"/>
            <w:shd w:fill="FFFFFF" w:color="auto" w:val="clear"/>
            <w:tcMar>
              <w:top w:type="dxa" w:w="60"/>
              <w:left w:type="dxa" w:w="110"/>
              <w:bottom w:type="dxa" w:w="60"/>
              <w:right w:type="dxa" w:w="110"/>
            </w:tcMar>
          </w:tcPr>
          <w:p>
            <w:pPr>
              <w:spacing w:after="0" w:before="0"/>
              <w:jc w:val="left"/>
            </w:pPr>
            <w:r>
              <w:rPr>
                <w:rFonts w:ascii="Calibri" w:cs="Calibri" w:eastAsia="Calibri" w:hAnsi="Calibri"/>
                <w:color w:val="000000"/>
                <w:sz w:val="18"/>
                <w:szCs w:val="18"/>
              </w:rPr>
              <w:t xml:space="preserve"/>
            </w:r>
          </w:p>
        </w:tc>
      </w:tr>
      <w:tr>
        <w:tc>
          <w:tcPr>
            <w:tcW w:type="dxa" w:w="730"/>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C6</w:t>
            </w:r>
          </w:p>
        </w:tc>
        <w:tc>
          <w:tcPr>
            <w:tcW w:type="dxa" w:w="7309"/>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Courier / postagem de documentos físicos</w:t>
            </w:r>
          </w:p>
        </w:tc>
        <w:tc>
          <w:tcPr>
            <w:tcW w:type="dxa" w:w="1707"/>
            <w:shd w:fill="F2F5F8" w:color="auto" w:val="clear"/>
            <w:tcMar>
              <w:top w:type="dxa" w:w="60"/>
              <w:left w:type="dxa" w:w="110"/>
              <w:bottom w:type="dxa" w:w="60"/>
              <w:right w:type="dxa" w:w="110"/>
            </w:tcMar>
          </w:tcPr>
          <w:p>
            <w:pPr>
              <w:spacing w:after="0" w:before="0"/>
              <w:jc w:val="left"/>
            </w:pPr>
            <w:r>
              <w:rPr>
                <w:rFonts w:ascii="Calibri" w:cs="Calibri" w:eastAsia="Calibri" w:hAnsi="Calibri"/>
                <w:color w:val="000000"/>
                <w:sz w:val="18"/>
                <w:szCs w:val="18"/>
              </w:rPr>
              <w:t xml:space="preserve"/>
            </w:r>
          </w:p>
        </w:tc>
      </w:tr>
    </w:tbl>
    <w:p>
      <w:pPr>
        <w:spacing w:after="200"/>
      </w:pPr>
      <w:r>
        <w:t xml:space="preserve"/>
      </w:r>
    </w:p>
    <w:p>
      <w:pPr>
        <w:pBdr>
          <w:left w:val="single" w:color="B8C6D6" w:sz="14" w:space="10"/>
        </w:pBdr>
        <w:spacing w:after="0" w:before="120"/>
        <w:ind w:left="340"/>
      </w:pPr>
      <w:r>
        <w:rPr>
          <w:rFonts w:ascii="Calibri" w:cs="Calibri" w:eastAsia="Calibri" w:hAnsi="Calibri"/>
          <w:b/>
          <w:bCs/>
          <w:i/>
          <w:iCs/>
          <w:color w:val="595959"/>
          <w:sz w:val="19"/>
          <w:szCs w:val="19"/>
        </w:rPr>
        <w:t xml:space="preserve">Atenção:</w:t>
      </w:r>
      <w:r>
        <w:rPr>
          <w:rFonts w:ascii="Calibri" w:cs="Calibri" w:eastAsia="Calibri" w:hAnsi="Calibri"/>
          <w:i/>
          <w:iCs/>
          <w:color w:val="595959"/>
          <w:sz w:val="19"/>
          <w:szCs w:val="19"/>
        </w:rPr>
        <w:t xml:space="preserve"> C1 a C6 já estão listados hoje na cláusula "Não está incluído</w:t>
      </w:r>
    </w:p>
    <w:p>
      <w:pPr>
        <w:pBdr>
          <w:left w:val="single" w:color="B8C6D6" w:sz="14" w:space="10"/>
        </w:pBdr>
        <w:spacing w:after="0" w:before="0"/>
        <w:ind w:left="340"/>
      </w:pPr>
      <w:r>
        <w:rPr>
          <w:rFonts w:ascii="Calibri" w:cs="Calibri" w:eastAsia="Calibri" w:hAnsi="Calibri"/>
          <w:i/>
          <w:iCs/>
          <w:color w:val="595959"/>
          <w:sz w:val="19"/>
          <w:szCs w:val="19"/>
        </w:rPr>
        <w:t xml:space="preserve">nesta proposta". Ou seja, a FGC já declarou que não estão inclusos — mas não</w:t>
      </w:r>
    </w:p>
    <w:p>
      <w:pPr>
        <w:pBdr>
          <w:left w:val="single" w:color="B8C6D6" w:sz="14" w:space="10"/>
        </w:pBdr>
        <w:spacing w:after="160" w:before="0"/>
        <w:ind w:left="340"/>
      </w:pPr>
      <w:r>
        <w:rPr>
          <w:rFonts w:ascii="Calibri" w:cs="Calibri" w:eastAsia="Calibri" w:hAnsi="Calibri"/>
          <w:i/>
          <w:iCs/>
          <w:color w:val="595959"/>
          <w:sz w:val="19"/>
          <w:szCs w:val="19"/>
        </w:rPr>
        <w:t xml:space="preserve">tem preço para eles. Na prática são feitos e absorvidos.</w:t>
      </w:r>
    </w:p>
    <w:p>
      <w:pPr>
        <w:pStyle w:val="Heading3"/>
        <w:spacing w:after="110" w:before="260"/>
      </w:pPr>
      <w:r>
        <w:rPr>
          <w:rFonts w:ascii="Calibri" w:cs="Calibri" w:eastAsia="Calibri" w:hAnsi="Calibri"/>
          <w:b/>
          <w:bCs/>
          <w:color w:val="2E6DA4"/>
          <w:sz w:val="22"/>
          <w:szCs w:val="22"/>
        </w:rPr>
        <w:t xml:space="preserve">D. Compliance e regulatório contínuo</w:t>
      </w:r>
    </w:p>
    <w:tbl>
      <w:tblPr>
        <w:tblW w:type="dxa" w:w="9746"/>
        <w:tblBorders>
          <w:top w:val="single" w:color="C9D4E0" w:sz="2"/>
          <w:left w:val="single" w:color="C9D4E0" w:sz="2"/>
          <w:bottom w:val="single" w:color="C9D4E0" w:sz="2"/>
          <w:right w:val="single" w:color="C9D4E0" w:sz="2"/>
          <w:insideH w:val="single" w:color="C9D4E0" w:sz="2"/>
          <w:insideV w:val="single" w:color="C9D4E0" w:sz="2"/>
        </w:tblBorders>
      </w:tblPr>
      <w:tblGrid>
        <w:gridCol w:w="730"/>
        <w:gridCol w:w="7309"/>
        <w:gridCol w:w="1707"/>
      </w:tblGrid>
      <w:tr>
        <w:trPr>
          <w:tblHeader/>
        </w:trPr>
        <w:tc>
          <w:tcPr>
            <w:tcW w:type="dxa" w:w="730"/>
            <w:shd w:fill="1F3A5F" w:color="auto" w:val="clear"/>
            <w:tcMar>
              <w:top w:type="dxa" w:w="60"/>
              <w:left w:type="dxa" w:w="110"/>
              <w:bottom w:type="dxa" w:w="60"/>
              <w:right w:type="dxa" w:w="110"/>
            </w:tcMar>
          </w:tcPr>
          <w:p>
            <w:pPr>
              <w:spacing w:after="0" w:before="0"/>
              <w:jc w:val="left"/>
            </w:pPr>
            <w:r>
              <w:rPr>
                <w:rFonts w:ascii="Calibri" w:cs="Calibri" w:eastAsia="Calibri" w:hAnsi="Calibri"/>
                <w:b/>
                <w:bCs/>
                <w:color w:val="FFFFFF"/>
                <w:sz w:val="18"/>
                <w:szCs w:val="18"/>
              </w:rPr>
              <w:t xml:space="preserve">#</w:t>
            </w:r>
          </w:p>
        </w:tc>
        <w:tc>
          <w:tcPr>
            <w:tcW w:type="dxa" w:w="7309"/>
            <w:shd w:fill="1F3A5F" w:color="auto" w:val="clear"/>
            <w:tcMar>
              <w:top w:type="dxa" w:w="60"/>
              <w:left w:type="dxa" w:w="110"/>
              <w:bottom w:type="dxa" w:w="60"/>
              <w:right w:type="dxa" w:w="110"/>
            </w:tcMar>
          </w:tcPr>
          <w:p>
            <w:pPr>
              <w:spacing w:after="0" w:before="0"/>
              <w:jc w:val="left"/>
            </w:pPr>
            <w:r>
              <w:rPr>
                <w:rFonts w:ascii="Calibri" w:cs="Calibri" w:eastAsia="Calibri" w:hAnsi="Calibri"/>
                <w:b/>
                <w:bCs/>
                <w:color w:val="FFFFFF"/>
                <w:sz w:val="18"/>
                <w:szCs w:val="18"/>
              </w:rPr>
              <w:t xml:space="preserve">Serviço</w:t>
            </w:r>
          </w:p>
        </w:tc>
        <w:tc>
          <w:tcPr>
            <w:tcW w:type="dxa" w:w="1707"/>
            <w:shd w:fill="1F3A5F" w:color="auto" w:val="clear"/>
            <w:tcMar>
              <w:top w:type="dxa" w:w="60"/>
              <w:left w:type="dxa" w:w="110"/>
              <w:bottom w:type="dxa" w:w="60"/>
              <w:right w:type="dxa" w:w="110"/>
            </w:tcMar>
          </w:tcPr>
          <w:p>
            <w:pPr>
              <w:spacing w:after="0" w:before="0"/>
              <w:jc w:val="left"/>
            </w:pPr>
            <w:r>
              <w:rPr>
                <w:rFonts w:ascii="Calibri" w:cs="Calibri" w:eastAsia="Calibri" w:hAnsi="Calibri"/>
                <w:b/>
                <w:bCs/>
                <w:color w:val="FFFFFF"/>
                <w:sz w:val="18"/>
                <w:szCs w:val="18"/>
              </w:rPr>
              <w:t xml:space="preserve">Já fazem hoje?</w:t>
            </w:r>
          </w:p>
        </w:tc>
      </w:tr>
      <w:tr>
        <w:tc>
          <w:tcPr>
            <w:tcW w:type="dxa" w:w="730"/>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D1</w:t>
            </w:r>
          </w:p>
        </w:tc>
        <w:tc>
          <w:tcPr>
            <w:tcW w:type="dxa" w:w="7309"/>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Monitoramento de mudanças regulatórias na jurisdição</w:t>
            </w:r>
          </w:p>
        </w:tc>
        <w:tc>
          <w:tcPr>
            <w:tcW w:type="dxa" w:w="1707"/>
            <w:shd w:fill="FFFFFF" w:color="auto" w:val="clear"/>
            <w:tcMar>
              <w:top w:type="dxa" w:w="60"/>
              <w:left w:type="dxa" w:w="110"/>
              <w:bottom w:type="dxa" w:w="60"/>
              <w:right w:type="dxa" w:w="110"/>
            </w:tcMar>
          </w:tcPr>
          <w:p>
            <w:pPr>
              <w:spacing w:after="0" w:before="0"/>
              <w:jc w:val="left"/>
            </w:pPr>
            <w:r>
              <w:rPr>
                <w:rFonts w:ascii="Calibri" w:cs="Calibri" w:eastAsia="Calibri" w:hAnsi="Calibri"/>
                <w:color w:val="000000"/>
                <w:sz w:val="18"/>
                <w:szCs w:val="18"/>
              </w:rPr>
              <w:t xml:space="preserve"/>
            </w:r>
          </w:p>
        </w:tc>
      </w:tr>
      <w:tr>
        <w:tc>
          <w:tcPr>
            <w:tcW w:type="dxa" w:w="730"/>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D2</w:t>
            </w:r>
          </w:p>
        </w:tc>
        <w:tc>
          <w:tcPr>
            <w:tcW w:type="dxa" w:w="7309"/>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Alerta proativo ao cliente quando a lei muda</w:t>
            </w:r>
          </w:p>
        </w:tc>
        <w:tc>
          <w:tcPr>
            <w:tcW w:type="dxa" w:w="1707"/>
            <w:shd w:fill="F2F5F8" w:color="auto" w:val="clear"/>
            <w:tcMar>
              <w:top w:type="dxa" w:w="60"/>
              <w:left w:type="dxa" w:w="110"/>
              <w:bottom w:type="dxa" w:w="60"/>
              <w:right w:type="dxa" w:w="110"/>
            </w:tcMar>
          </w:tcPr>
          <w:p>
            <w:pPr>
              <w:spacing w:after="0" w:before="0"/>
              <w:jc w:val="left"/>
            </w:pPr>
            <w:r>
              <w:rPr>
                <w:rFonts w:ascii="Calibri" w:cs="Calibri" w:eastAsia="Calibri" w:hAnsi="Calibri"/>
                <w:color w:val="000000"/>
                <w:sz w:val="18"/>
                <w:szCs w:val="18"/>
              </w:rPr>
              <w:t xml:space="preserve"/>
            </w:r>
          </w:p>
        </w:tc>
      </w:tr>
      <w:tr>
        <w:tc>
          <w:tcPr>
            <w:tcW w:type="dxa" w:w="730"/>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D3</w:t>
            </w:r>
          </w:p>
        </w:tc>
        <w:tc>
          <w:tcPr>
            <w:tcW w:type="dxa" w:w="7309"/>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Reclassificação de Substância Econômica quando a atividade muda</w:t>
            </w:r>
          </w:p>
        </w:tc>
        <w:tc>
          <w:tcPr>
            <w:tcW w:type="dxa" w:w="1707"/>
            <w:shd w:fill="FFFFFF" w:color="auto" w:val="clear"/>
            <w:tcMar>
              <w:top w:type="dxa" w:w="60"/>
              <w:left w:type="dxa" w:w="110"/>
              <w:bottom w:type="dxa" w:w="60"/>
              <w:right w:type="dxa" w:w="110"/>
            </w:tcMar>
          </w:tcPr>
          <w:p>
            <w:pPr>
              <w:spacing w:after="0" w:before="0"/>
              <w:jc w:val="left"/>
            </w:pPr>
            <w:r>
              <w:rPr>
                <w:rFonts w:ascii="Calibri" w:cs="Calibri" w:eastAsia="Calibri" w:hAnsi="Calibri"/>
                <w:color w:val="000000"/>
                <w:sz w:val="18"/>
                <w:szCs w:val="18"/>
              </w:rPr>
              <w:t xml:space="preserve"/>
            </w:r>
          </w:p>
        </w:tc>
      </w:tr>
      <w:tr>
        <w:tc>
          <w:tcPr>
            <w:tcW w:type="dxa" w:w="730"/>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D4</w:t>
            </w:r>
          </w:p>
        </w:tc>
        <w:tc>
          <w:tcPr>
            <w:tcW w:type="dxa" w:w="7309"/>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Refresh periódico de due diligence / KYC</w:t>
            </w:r>
          </w:p>
        </w:tc>
        <w:tc>
          <w:tcPr>
            <w:tcW w:type="dxa" w:w="1707"/>
            <w:shd w:fill="F2F5F8" w:color="auto" w:val="clear"/>
            <w:tcMar>
              <w:top w:type="dxa" w:w="60"/>
              <w:left w:type="dxa" w:w="110"/>
              <w:bottom w:type="dxa" w:w="60"/>
              <w:right w:type="dxa" w:w="110"/>
            </w:tcMar>
          </w:tcPr>
          <w:p>
            <w:pPr>
              <w:spacing w:after="0" w:before="0"/>
              <w:jc w:val="left"/>
            </w:pPr>
            <w:r>
              <w:rPr>
                <w:rFonts w:ascii="Calibri" w:cs="Calibri" w:eastAsia="Calibri" w:hAnsi="Calibri"/>
                <w:color w:val="000000"/>
                <w:sz w:val="18"/>
                <w:szCs w:val="18"/>
              </w:rPr>
              <w:t xml:space="preserve"/>
            </w:r>
          </w:p>
        </w:tc>
      </w:tr>
      <w:tr>
        <w:tc>
          <w:tcPr>
            <w:tcW w:type="dxa" w:w="730"/>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D5</w:t>
            </w:r>
          </w:p>
        </w:tc>
        <w:tc>
          <w:tcPr>
            <w:tcW w:type="dxa" w:w="7309"/>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Atualização cadastral (endereço, telefone, beneficiários)</w:t>
            </w:r>
          </w:p>
        </w:tc>
        <w:tc>
          <w:tcPr>
            <w:tcW w:type="dxa" w:w="1707"/>
            <w:shd w:fill="FFFFFF" w:color="auto" w:val="clear"/>
            <w:tcMar>
              <w:top w:type="dxa" w:w="60"/>
              <w:left w:type="dxa" w:w="110"/>
              <w:bottom w:type="dxa" w:w="60"/>
              <w:right w:type="dxa" w:w="110"/>
            </w:tcMar>
          </w:tcPr>
          <w:p>
            <w:pPr>
              <w:spacing w:after="0" w:before="0"/>
              <w:jc w:val="left"/>
            </w:pPr>
            <w:r>
              <w:rPr>
                <w:rFonts w:ascii="Calibri" w:cs="Calibri" w:eastAsia="Calibri" w:hAnsi="Calibri"/>
                <w:color w:val="000000"/>
                <w:sz w:val="18"/>
                <w:szCs w:val="18"/>
              </w:rPr>
              <w:t xml:space="preserve"/>
            </w:r>
          </w:p>
        </w:tc>
      </w:tr>
      <w:tr>
        <w:tc>
          <w:tcPr>
            <w:tcW w:type="dxa" w:w="730"/>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D6</w:t>
            </w:r>
          </w:p>
        </w:tc>
        <w:tc>
          <w:tcPr>
            <w:tcW w:type="dxa" w:w="7309"/>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Resposta a exigências do agente registrado ou da autoridade local</w:t>
            </w:r>
          </w:p>
        </w:tc>
        <w:tc>
          <w:tcPr>
            <w:tcW w:type="dxa" w:w="1707"/>
            <w:shd w:fill="F2F5F8" w:color="auto" w:val="clear"/>
            <w:tcMar>
              <w:top w:type="dxa" w:w="60"/>
              <w:left w:type="dxa" w:w="110"/>
              <w:bottom w:type="dxa" w:w="60"/>
              <w:right w:type="dxa" w:w="110"/>
            </w:tcMar>
          </w:tcPr>
          <w:p>
            <w:pPr>
              <w:spacing w:after="0" w:before="0"/>
              <w:jc w:val="left"/>
            </w:pPr>
            <w:r>
              <w:rPr>
                <w:rFonts w:ascii="Calibri" w:cs="Calibri" w:eastAsia="Calibri" w:hAnsi="Calibri"/>
                <w:color w:val="000000"/>
                <w:sz w:val="18"/>
                <w:szCs w:val="18"/>
              </w:rPr>
              <w:t xml:space="preserve"/>
            </w:r>
          </w:p>
        </w:tc>
      </w:tr>
    </w:tbl>
    <w:p>
      <w:pPr>
        <w:spacing w:after="200"/>
      </w:pPr>
      <w:r>
        <w:t xml:space="preserve"/>
      </w:r>
    </w:p>
    <w:p>
      <w:pPr>
        <w:pStyle w:val="Heading3"/>
        <w:spacing w:after="110" w:before="260"/>
      </w:pPr>
      <w:r>
        <w:rPr>
          <w:rFonts w:ascii="Calibri" w:cs="Calibri" w:eastAsia="Calibri" w:hAnsi="Calibri"/>
          <w:b/>
          <w:bCs/>
          <w:color w:val="2E6DA4"/>
          <w:sz w:val="22"/>
          <w:szCs w:val="22"/>
        </w:rPr>
        <w:t xml:space="preserve">E. Eventos de vida do cliente</w:t>
      </w:r>
    </w:p>
    <w:tbl>
      <w:tblPr>
        <w:tblW w:type="dxa" w:w="9746"/>
        <w:tblBorders>
          <w:top w:val="single" w:color="C9D4E0" w:sz="2"/>
          <w:left w:val="single" w:color="C9D4E0" w:sz="2"/>
          <w:bottom w:val="single" w:color="C9D4E0" w:sz="2"/>
          <w:right w:val="single" w:color="C9D4E0" w:sz="2"/>
          <w:insideH w:val="single" w:color="C9D4E0" w:sz="2"/>
          <w:insideV w:val="single" w:color="C9D4E0" w:sz="2"/>
        </w:tblBorders>
      </w:tblPr>
      <w:tblGrid>
        <w:gridCol w:w="730"/>
        <w:gridCol w:w="7309"/>
        <w:gridCol w:w="1707"/>
      </w:tblGrid>
      <w:tr>
        <w:trPr>
          <w:tblHeader/>
        </w:trPr>
        <w:tc>
          <w:tcPr>
            <w:tcW w:type="dxa" w:w="730"/>
            <w:shd w:fill="1F3A5F" w:color="auto" w:val="clear"/>
            <w:tcMar>
              <w:top w:type="dxa" w:w="60"/>
              <w:left w:type="dxa" w:w="110"/>
              <w:bottom w:type="dxa" w:w="60"/>
              <w:right w:type="dxa" w:w="110"/>
            </w:tcMar>
          </w:tcPr>
          <w:p>
            <w:pPr>
              <w:spacing w:after="0" w:before="0"/>
              <w:jc w:val="left"/>
            </w:pPr>
            <w:r>
              <w:rPr>
                <w:rFonts w:ascii="Calibri" w:cs="Calibri" w:eastAsia="Calibri" w:hAnsi="Calibri"/>
                <w:b/>
                <w:bCs/>
                <w:color w:val="FFFFFF"/>
                <w:sz w:val="18"/>
                <w:szCs w:val="18"/>
              </w:rPr>
              <w:t xml:space="preserve">#</w:t>
            </w:r>
          </w:p>
        </w:tc>
        <w:tc>
          <w:tcPr>
            <w:tcW w:type="dxa" w:w="7309"/>
            <w:shd w:fill="1F3A5F" w:color="auto" w:val="clear"/>
            <w:tcMar>
              <w:top w:type="dxa" w:w="60"/>
              <w:left w:type="dxa" w:w="110"/>
              <w:bottom w:type="dxa" w:w="60"/>
              <w:right w:type="dxa" w:w="110"/>
            </w:tcMar>
          </w:tcPr>
          <w:p>
            <w:pPr>
              <w:spacing w:after="0" w:before="0"/>
              <w:jc w:val="left"/>
            </w:pPr>
            <w:r>
              <w:rPr>
                <w:rFonts w:ascii="Calibri" w:cs="Calibri" w:eastAsia="Calibri" w:hAnsi="Calibri"/>
                <w:b/>
                <w:bCs/>
                <w:color w:val="FFFFFF"/>
                <w:sz w:val="18"/>
                <w:szCs w:val="18"/>
              </w:rPr>
              <w:t xml:space="preserve">Serviço</w:t>
            </w:r>
          </w:p>
        </w:tc>
        <w:tc>
          <w:tcPr>
            <w:tcW w:type="dxa" w:w="1707"/>
            <w:shd w:fill="1F3A5F" w:color="auto" w:val="clear"/>
            <w:tcMar>
              <w:top w:type="dxa" w:w="60"/>
              <w:left w:type="dxa" w:w="110"/>
              <w:bottom w:type="dxa" w:w="60"/>
              <w:right w:type="dxa" w:w="110"/>
            </w:tcMar>
          </w:tcPr>
          <w:p>
            <w:pPr>
              <w:spacing w:after="0" w:before="0"/>
              <w:jc w:val="left"/>
            </w:pPr>
            <w:r>
              <w:rPr>
                <w:rFonts w:ascii="Calibri" w:cs="Calibri" w:eastAsia="Calibri" w:hAnsi="Calibri"/>
                <w:b/>
                <w:bCs/>
                <w:color w:val="FFFFFF"/>
                <w:sz w:val="18"/>
                <w:szCs w:val="18"/>
              </w:rPr>
              <w:t xml:space="preserve">Já fazem hoje?</w:t>
            </w:r>
          </w:p>
        </w:tc>
      </w:tr>
      <w:tr>
        <w:tc>
          <w:tcPr>
            <w:tcW w:type="dxa" w:w="730"/>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E1</w:t>
            </w:r>
          </w:p>
        </w:tc>
        <w:tc>
          <w:tcPr>
            <w:tcW w:type="dxa" w:w="7309"/>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Mudança de residência fiscal do titular</w:t>
            </w:r>
          </w:p>
        </w:tc>
        <w:tc>
          <w:tcPr>
            <w:tcW w:type="dxa" w:w="1707"/>
            <w:shd w:fill="FFFFFF" w:color="auto" w:val="clear"/>
            <w:tcMar>
              <w:top w:type="dxa" w:w="60"/>
              <w:left w:type="dxa" w:w="110"/>
              <w:bottom w:type="dxa" w:w="60"/>
              <w:right w:type="dxa" w:w="110"/>
            </w:tcMar>
          </w:tcPr>
          <w:p>
            <w:pPr>
              <w:spacing w:after="0" w:before="0"/>
              <w:jc w:val="left"/>
            </w:pPr>
            <w:r>
              <w:rPr>
                <w:rFonts w:ascii="Calibri" w:cs="Calibri" w:eastAsia="Calibri" w:hAnsi="Calibri"/>
                <w:color w:val="000000"/>
                <w:sz w:val="18"/>
                <w:szCs w:val="18"/>
              </w:rPr>
              <w:t xml:space="preserve"/>
            </w:r>
          </w:p>
        </w:tc>
      </w:tr>
      <w:tr>
        <w:tc>
          <w:tcPr>
            <w:tcW w:type="dxa" w:w="730"/>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E2</w:t>
            </w:r>
          </w:p>
        </w:tc>
        <w:tc>
          <w:tcPr>
            <w:tcW w:type="dxa" w:w="7309"/>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Casamento, divórcio, nascimento — impacto na estrutura</w:t>
            </w:r>
          </w:p>
        </w:tc>
        <w:tc>
          <w:tcPr>
            <w:tcW w:type="dxa" w:w="1707"/>
            <w:shd w:fill="F2F5F8" w:color="auto" w:val="clear"/>
            <w:tcMar>
              <w:top w:type="dxa" w:w="60"/>
              <w:left w:type="dxa" w:w="110"/>
              <w:bottom w:type="dxa" w:w="60"/>
              <w:right w:type="dxa" w:w="110"/>
            </w:tcMar>
          </w:tcPr>
          <w:p>
            <w:pPr>
              <w:spacing w:after="0" w:before="0"/>
              <w:jc w:val="left"/>
            </w:pPr>
            <w:r>
              <w:rPr>
                <w:rFonts w:ascii="Calibri" w:cs="Calibri" w:eastAsia="Calibri" w:hAnsi="Calibri"/>
                <w:color w:val="000000"/>
                <w:sz w:val="18"/>
                <w:szCs w:val="18"/>
              </w:rPr>
              <w:t xml:space="preserve"/>
            </w:r>
          </w:p>
        </w:tc>
      </w:tr>
      <w:tr>
        <w:tc>
          <w:tcPr>
            <w:tcW w:type="dxa" w:w="730"/>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E3</w:t>
            </w:r>
          </w:p>
        </w:tc>
        <w:tc>
          <w:tcPr>
            <w:tcW w:type="dxa" w:w="7309"/>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Falecimento — acionamento da sucessão e suporte aos herdeiros</w:t>
            </w:r>
          </w:p>
        </w:tc>
        <w:tc>
          <w:tcPr>
            <w:tcW w:type="dxa" w:w="1707"/>
            <w:shd w:fill="FFFFFF" w:color="auto" w:val="clear"/>
            <w:tcMar>
              <w:top w:type="dxa" w:w="60"/>
              <w:left w:type="dxa" w:w="110"/>
              <w:bottom w:type="dxa" w:w="60"/>
              <w:right w:type="dxa" w:w="110"/>
            </w:tcMar>
          </w:tcPr>
          <w:p>
            <w:pPr>
              <w:spacing w:after="0" w:before="0"/>
              <w:jc w:val="left"/>
            </w:pPr>
            <w:r>
              <w:rPr>
                <w:rFonts w:ascii="Calibri" w:cs="Calibri" w:eastAsia="Calibri" w:hAnsi="Calibri"/>
                <w:color w:val="000000"/>
                <w:sz w:val="18"/>
                <w:szCs w:val="18"/>
              </w:rPr>
              <w:t xml:space="preserve"/>
            </w:r>
          </w:p>
        </w:tc>
      </w:tr>
      <w:tr>
        <w:tc>
          <w:tcPr>
            <w:tcW w:type="dxa" w:w="730"/>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E4</w:t>
            </w:r>
          </w:p>
        </w:tc>
        <w:tc>
          <w:tcPr>
            <w:tcW w:type="dxa" w:w="7309"/>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Venda de ativo / evento de liquidez</w:t>
            </w:r>
          </w:p>
        </w:tc>
        <w:tc>
          <w:tcPr>
            <w:tcW w:type="dxa" w:w="1707"/>
            <w:shd w:fill="F2F5F8" w:color="auto" w:val="clear"/>
            <w:tcMar>
              <w:top w:type="dxa" w:w="60"/>
              <w:left w:type="dxa" w:w="110"/>
              <w:bottom w:type="dxa" w:w="60"/>
              <w:right w:type="dxa" w:w="110"/>
            </w:tcMar>
          </w:tcPr>
          <w:p>
            <w:pPr>
              <w:spacing w:after="0" w:before="0"/>
              <w:jc w:val="left"/>
            </w:pPr>
            <w:r>
              <w:rPr>
                <w:rFonts w:ascii="Calibri" w:cs="Calibri" w:eastAsia="Calibri" w:hAnsi="Calibri"/>
                <w:color w:val="000000"/>
                <w:sz w:val="18"/>
                <w:szCs w:val="18"/>
              </w:rPr>
              <w:t xml:space="preserve"/>
            </w:r>
          </w:p>
        </w:tc>
      </w:tr>
      <w:tr>
        <w:tc>
          <w:tcPr>
            <w:tcW w:type="dxa" w:w="730"/>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E5</w:t>
            </w:r>
          </w:p>
        </w:tc>
        <w:tc>
          <w:tcPr>
            <w:tcW w:type="dxa" w:w="7309"/>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Entrada de novo sócio ou investidor</w:t>
            </w:r>
          </w:p>
        </w:tc>
        <w:tc>
          <w:tcPr>
            <w:tcW w:type="dxa" w:w="1707"/>
            <w:shd w:fill="FFFFFF" w:color="auto" w:val="clear"/>
            <w:tcMar>
              <w:top w:type="dxa" w:w="60"/>
              <w:left w:type="dxa" w:w="110"/>
              <w:bottom w:type="dxa" w:w="60"/>
              <w:right w:type="dxa" w:w="110"/>
            </w:tcMar>
          </w:tcPr>
          <w:p>
            <w:pPr>
              <w:spacing w:after="0" w:before="0"/>
              <w:jc w:val="left"/>
            </w:pPr>
            <w:r>
              <w:rPr>
                <w:rFonts w:ascii="Calibri" w:cs="Calibri" w:eastAsia="Calibri" w:hAnsi="Calibri"/>
                <w:color w:val="000000"/>
                <w:sz w:val="18"/>
                <w:szCs w:val="18"/>
              </w:rPr>
              <w:t xml:space="preserve"/>
            </w:r>
          </w:p>
        </w:tc>
      </w:tr>
    </w:tbl>
    <w:p>
      <w:pPr>
        <w:spacing w:after="200"/>
      </w:pPr>
      <w:r>
        <w:t xml:space="preserve"/>
      </w:r>
    </w:p>
    <w:p>
      <w:pPr>
        <w:pStyle w:val="Heading3"/>
        <w:spacing w:after="110" w:before="260"/>
      </w:pPr>
      <w:r>
        <w:rPr>
          <w:rFonts w:ascii="Calibri" w:cs="Calibri" w:eastAsia="Calibri" w:hAnsi="Calibri"/>
          <w:b/>
          <w:bCs/>
          <w:color w:val="2E6DA4"/>
          <w:sz w:val="22"/>
          <w:szCs w:val="22"/>
        </w:rPr>
        <w:t xml:space="preserve">F. Educação e transferência de conhecimento</w:t>
      </w:r>
    </w:p>
    <w:tbl>
      <w:tblPr>
        <w:tblW w:type="dxa" w:w="9746"/>
        <w:tblBorders>
          <w:top w:val="single" w:color="C9D4E0" w:sz="2"/>
          <w:left w:val="single" w:color="C9D4E0" w:sz="2"/>
          <w:bottom w:val="single" w:color="C9D4E0" w:sz="2"/>
          <w:right w:val="single" w:color="C9D4E0" w:sz="2"/>
          <w:insideH w:val="single" w:color="C9D4E0" w:sz="2"/>
          <w:insideV w:val="single" w:color="C9D4E0" w:sz="2"/>
        </w:tblBorders>
      </w:tblPr>
      <w:tblGrid>
        <w:gridCol w:w="769"/>
        <w:gridCol w:w="7181"/>
        <w:gridCol w:w="1796"/>
      </w:tblGrid>
      <w:tr>
        <w:trPr>
          <w:tblHeader/>
        </w:trPr>
        <w:tc>
          <w:tcPr>
            <w:tcW w:type="dxa" w:w="769"/>
            <w:shd w:fill="1F3A5F" w:color="auto" w:val="clear"/>
            <w:tcMar>
              <w:top w:type="dxa" w:w="60"/>
              <w:left w:type="dxa" w:w="110"/>
              <w:bottom w:type="dxa" w:w="60"/>
              <w:right w:type="dxa" w:w="110"/>
            </w:tcMar>
          </w:tcPr>
          <w:p>
            <w:pPr>
              <w:spacing w:after="0" w:before="0"/>
              <w:jc w:val="left"/>
            </w:pPr>
            <w:r>
              <w:rPr>
                <w:rFonts w:ascii="Calibri" w:cs="Calibri" w:eastAsia="Calibri" w:hAnsi="Calibri"/>
                <w:b/>
                <w:bCs/>
                <w:color w:val="FFFFFF"/>
                <w:sz w:val="18"/>
                <w:szCs w:val="18"/>
              </w:rPr>
              <w:t xml:space="preserve">#</w:t>
            </w:r>
          </w:p>
        </w:tc>
        <w:tc>
          <w:tcPr>
            <w:tcW w:type="dxa" w:w="7181"/>
            <w:shd w:fill="1F3A5F" w:color="auto" w:val="clear"/>
            <w:tcMar>
              <w:top w:type="dxa" w:w="60"/>
              <w:left w:type="dxa" w:w="110"/>
              <w:bottom w:type="dxa" w:w="60"/>
              <w:right w:type="dxa" w:w="110"/>
            </w:tcMar>
          </w:tcPr>
          <w:p>
            <w:pPr>
              <w:spacing w:after="0" w:before="0"/>
              <w:jc w:val="left"/>
            </w:pPr>
            <w:r>
              <w:rPr>
                <w:rFonts w:ascii="Calibri" w:cs="Calibri" w:eastAsia="Calibri" w:hAnsi="Calibri"/>
                <w:b/>
                <w:bCs/>
                <w:color w:val="FFFFFF"/>
                <w:sz w:val="18"/>
                <w:szCs w:val="18"/>
              </w:rPr>
              <w:t xml:space="preserve">Serviço</w:t>
            </w:r>
          </w:p>
        </w:tc>
        <w:tc>
          <w:tcPr>
            <w:tcW w:type="dxa" w:w="1796"/>
            <w:shd w:fill="1F3A5F" w:color="auto" w:val="clear"/>
            <w:tcMar>
              <w:top w:type="dxa" w:w="60"/>
              <w:left w:type="dxa" w:w="110"/>
              <w:bottom w:type="dxa" w:w="60"/>
              <w:right w:type="dxa" w:w="110"/>
            </w:tcMar>
          </w:tcPr>
          <w:p>
            <w:pPr>
              <w:spacing w:after="0" w:before="0"/>
              <w:jc w:val="left"/>
            </w:pPr>
            <w:r>
              <w:rPr>
                <w:rFonts w:ascii="Calibri" w:cs="Calibri" w:eastAsia="Calibri" w:hAnsi="Calibri"/>
                <w:b/>
                <w:bCs/>
                <w:color w:val="FFFFFF"/>
                <w:sz w:val="18"/>
                <w:szCs w:val="18"/>
              </w:rPr>
              <w:t xml:space="preserve">Já fazem hoje?</w:t>
            </w:r>
          </w:p>
        </w:tc>
      </w:tr>
      <w:tr>
        <w:tc>
          <w:tcPr>
            <w:tcW w:type="dxa" w:w="769"/>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F1</w:t>
            </w:r>
          </w:p>
        </w:tc>
        <w:tc>
          <w:tcPr>
            <w:tcW w:type="dxa" w:w="7181"/>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Explicação da estrutura ao cliente e à família</w:t>
            </w:r>
          </w:p>
        </w:tc>
        <w:tc>
          <w:tcPr>
            <w:tcW w:type="dxa" w:w="1796"/>
            <w:shd w:fill="FFFFFF" w:color="auto" w:val="clear"/>
            <w:tcMar>
              <w:top w:type="dxa" w:w="60"/>
              <w:left w:type="dxa" w:w="110"/>
              <w:bottom w:type="dxa" w:w="60"/>
              <w:right w:type="dxa" w:w="110"/>
            </w:tcMar>
          </w:tcPr>
          <w:p>
            <w:pPr>
              <w:spacing w:after="0" w:before="0"/>
              <w:jc w:val="left"/>
            </w:pPr>
            <w:r>
              <w:rPr>
                <w:rFonts w:ascii="Calibri" w:cs="Calibri" w:eastAsia="Calibri" w:hAnsi="Calibri"/>
                <w:color w:val="000000"/>
                <w:sz w:val="18"/>
                <w:szCs w:val="18"/>
              </w:rPr>
              <w:t xml:space="preserve"/>
            </w:r>
          </w:p>
        </w:tc>
      </w:tr>
      <w:tr>
        <w:tc>
          <w:tcPr>
            <w:tcW w:type="dxa" w:w="769"/>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F2</w:t>
            </w:r>
          </w:p>
        </w:tc>
        <w:tc>
          <w:tcPr>
            <w:tcW w:type="dxa" w:w="7181"/>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Reunião com filhos / herdeiros (próxima geração)</w:t>
            </w:r>
          </w:p>
        </w:tc>
        <w:tc>
          <w:tcPr>
            <w:tcW w:type="dxa" w:w="1796"/>
            <w:shd w:fill="F2F5F8" w:color="auto" w:val="clear"/>
            <w:tcMar>
              <w:top w:type="dxa" w:w="60"/>
              <w:left w:type="dxa" w:w="110"/>
              <w:bottom w:type="dxa" w:w="60"/>
              <w:right w:type="dxa" w:w="110"/>
            </w:tcMar>
          </w:tcPr>
          <w:p>
            <w:pPr>
              <w:spacing w:after="0" w:before="0"/>
              <w:jc w:val="left"/>
            </w:pPr>
            <w:r>
              <w:rPr>
                <w:rFonts w:ascii="Calibri" w:cs="Calibri" w:eastAsia="Calibri" w:hAnsi="Calibri"/>
                <w:color w:val="000000"/>
                <w:sz w:val="18"/>
                <w:szCs w:val="18"/>
              </w:rPr>
              <w:t xml:space="preserve"/>
            </w:r>
          </w:p>
        </w:tc>
      </w:tr>
      <w:tr>
        <w:tc>
          <w:tcPr>
            <w:tcW w:type="dxa" w:w="769"/>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F3</w:t>
            </w:r>
          </w:p>
        </w:tc>
        <w:tc>
          <w:tcPr>
            <w:tcW w:type="dxa" w:w="7181"/>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Material explicativo, resumos, organogramas da estrutura</w:t>
            </w:r>
          </w:p>
        </w:tc>
        <w:tc>
          <w:tcPr>
            <w:tcW w:type="dxa" w:w="1796"/>
            <w:shd w:fill="FFFFFF" w:color="auto" w:val="clear"/>
            <w:tcMar>
              <w:top w:type="dxa" w:w="60"/>
              <w:left w:type="dxa" w:w="110"/>
              <w:bottom w:type="dxa" w:w="60"/>
              <w:right w:type="dxa" w:w="110"/>
            </w:tcMar>
          </w:tcPr>
          <w:p>
            <w:pPr>
              <w:spacing w:after="0" w:before="0"/>
              <w:jc w:val="left"/>
            </w:pPr>
            <w:r>
              <w:rPr>
                <w:rFonts w:ascii="Calibri" w:cs="Calibri" w:eastAsia="Calibri" w:hAnsi="Calibri"/>
                <w:color w:val="000000"/>
                <w:sz w:val="18"/>
                <w:szCs w:val="18"/>
              </w:rPr>
              <w:t xml:space="preserve"/>
            </w:r>
          </w:p>
        </w:tc>
      </w:tr>
      <w:tr>
        <w:tc>
          <w:tcPr>
            <w:tcW w:type="dxa" w:w="769"/>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F4</w:t>
            </w:r>
          </w:p>
        </w:tc>
        <w:tc>
          <w:tcPr>
            <w:tcW w:type="dxa" w:w="7181"/>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Treinamento do cliente sobre obrigações que são dele</w:t>
            </w:r>
          </w:p>
        </w:tc>
        <w:tc>
          <w:tcPr>
            <w:tcW w:type="dxa" w:w="1796"/>
            <w:shd w:fill="F2F5F8" w:color="auto" w:val="clear"/>
            <w:tcMar>
              <w:top w:type="dxa" w:w="60"/>
              <w:left w:type="dxa" w:w="110"/>
              <w:bottom w:type="dxa" w:w="60"/>
              <w:right w:type="dxa" w:w="110"/>
            </w:tcMar>
          </w:tcPr>
          <w:p>
            <w:pPr>
              <w:spacing w:after="0" w:before="0"/>
              <w:jc w:val="left"/>
            </w:pPr>
            <w:r>
              <w:rPr>
                <w:rFonts w:ascii="Calibri" w:cs="Calibri" w:eastAsia="Calibri" w:hAnsi="Calibri"/>
                <w:color w:val="000000"/>
                <w:sz w:val="18"/>
                <w:szCs w:val="18"/>
              </w:rPr>
              <w:t xml:space="preserve"/>
            </w:r>
          </w:p>
        </w:tc>
      </w:tr>
    </w:tbl>
    <w:p>
      <w:pPr>
        <w:spacing w:after="200"/>
      </w:pPr>
      <w:r>
        <w:t xml:space="preserve"/>
      </w:r>
    </w:p>
    <w:p>
      <w:pPr>
        <w:pBdr>
          <w:bottom w:val="single" w:color="C9D4E0" w:sz="6" w:space="1"/>
        </w:pBdr>
        <w:spacing w:after="200" w:before="160"/>
      </w:pPr>
      <w:r>
        <w:t xml:space="preserve"/>
      </w:r>
    </w:p>
    <w:p>
      <w:pPr>
        <w:pStyle w:val="Heading2"/>
        <w:spacing w:after="140" w:before="340"/>
      </w:pPr>
      <w:r>
        <w:rPr>
          <w:rFonts w:ascii="Calibri" w:cs="Calibri" w:eastAsia="Calibri" w:hAnsi="Calibri"/>
          <w:b/>
          <w:bCs/>
          <w:color w:val="1F3A5F"/>
          <w:sz w:val="26"/>
          <w:szCs w:val="26"/>
        </w:rPr>
        <w:t xml:space="preserve">2.2 Planilha de medição — o que preencher para cada linha</w:t>
      </w:r>
    </w:p>
    <w:p>
      <w:pPr>
        <w:spacing w:after="120" w:before="60"/>
      </w:pPr>
      <w:r>
        <w:rPr>
          <w:rFonts w:ascii="Calibri" w:cs="Calibri" w:eastAsia="Calibri" w:hAnsi="Calibri"/>
          <w:color w:val="000000"/>
          <w:sz w:val="20"/>
          <w:szCs w:val="20"/>
        </w:rPr>
        <w:t xml:space="preserve">Para cada serviço marcado como "sim" acima, preencher:</w:t>
      </w:r>
    </w:p>
    <w:tbl>
      <w:tblPr>
        <w:tblW w:type="dxa" w:w="9746"/>
        <w:tblBorders>
          <w:top w:val="single" w:color="C9D4E0" w:sz="2"/>
          <w:left w:val="single" w:color="C9D4E0" w:sz="2"/>
          <w:bottom w:val="single" w:color="C9D4E0" w:sz="2"/>
          <w:right w:val="single" w:color="C9D4E0" w:sz="2"/>
          <w:insideH w:val="single" w:color="C9D4E0" w:sz="2"/>
          <w:insideV w:val="single" w:color="C9D4E0" w:sz="2"/>
        </w:tblBorders>
      </w:tblPr>
      <w:tblGrid>
        <w:gridCol w:w="2302"/>
        <w:gridCol w:w="3376"/>
        <w:gridCol w:w="4068"/>
      </w:tblGrid>
      <w:tr>
        <w:trPr>
          <w:tblHeader/>
        </w:trPr>
        <w:tc>
          <w:tcPr>
            <w:tcW w:type="dxa" w:w="2302"/>
            <w:shd w:fill="1F3A5F" w:color="auto" w:val="clear"/>
            <w:tcMar>
              <w:top w:type="dxa" w:w="60"/>
              <w:left w:type="dxa" w:w="110"/>
              <w:bottom w:type="dxa" w:w="60"/>
              <w:right w:type="dxa" w:w="110"/>
            </w:tcMar>
          </w:tcPr>
          <w:p>
            <w:pPr>
              <w:spacing w:after="0" w:before="0"/>
              <w:jc w:val="left"/>
            </w:pPr>
            <w:r>
              <w:rPr>
                <w:rFonts w:ascii="Calibri" w:cs="Calibri" w:eastAsia="Calibri" w:hAnsi="Calibri"/>
                <w:b/>
                <w:bCs/>
                <w:color w:val="FFFFFF"/>
                <w:sz w:val="18"/>
                <w:szCs w:val="18"/>
              </w:rPr>
              <w:t xml:space="preserve">Campo</w:t>
            </w:r>
          </w:p>
        </w:tc>
        <w:tc>
          <w:tcPr>
            <w:tcW w:type="dxa" w:w="3376"/>
            <w:shd w:fill="1F3A5F" w:color="auto" w:val="clear"/>
            <w:tcMar>
              <w:top w:type="dxa" w:w="60"/>
              <w:left w:type="dxa" w:w="110"/>
              <w:bottom w:type="dxa" w:w="60"/>
              <w:right w:type="dxa" w:w="110"/>
            </w:tcMar>
          </w:tcPr>
          <w:p>
            <w:pPr>
              <w:spacing w:after="0" w:before="0"/>
              <w:jc w:val="left"/>
            </w:pPr>
            <w:r>
              <w:rPr>
                <w:rFonts w:ascii="Calibri" w:cs="Calibri" w:eastAsia="Calibri" w:hAnsi="Calibri"/>
                <w:b/>
                <w:bCs/>
                <w:color w:val="FFFFFF"/>
                <w:sz w:val="18"/>
                <w:szCs w:val="18"/>
              </w:rPr>
              <w:t xml:space="preserve">O que responder</w:t>
            </w:r>
          </w:p>
        </w:tc>
        <w:tc>
          <w:tcPr>
            <w:tcW w:type="dxa" w:w="4068"/>
            <w:shd w:fill="1F3A5F" w:color="auto" w:val="clear"/>
            <w:tcMar>
              <w:top w:type="dxa" w:w="60"/>
              <w:left w:type="dxa" w:w="110"/>
              <w:bottom w:type="dxa" w:w="60"/>
              <w:right w:type="dxa" w:w="110"/>
            </w:tcMar>
          </w:tcPr>
          <w:p>
            <w:pPr>
              <w:spacing w:after="0" w:before="0"/>
              <w:jc w:val="left"/>
            </w:pPr>
            <w:r>
              <w:rPr>
                <w:rFonts w:ascii="Calibri" w:cs="Calibri" w:eastAsia="Calibri" w:hAnsi="Calibri"/>
                <w:b/>
                <w:bCs/>
                <w:color w:val="FFFFFF"/>
                <w:sz w:val="18"/>
                <w:szCs w:val="18"/>
              </w:rPr>
              <w:t xml:space="preserve">Por que importa</w:t>
            </w:r>
          </w:p>
        </w:tc>
      </w:tr>
      <w:tr>
        <w:tc>
          <w:tcPr>
            <w:tcW w:type="dxa" w:w="2302"/>
            <w:shd w:fill="FFFFFF" w:color="auto" w:val="clear"/>
            <w:tcMar>
              <w:top w:type="dxa" w:w="60"/>
              <w:left w:type="dxa" w:w="110"/>
              <w:bottom w:type="dxa" w:w="60"/>
              <w:right w:type="dxa" w:w="110"/>
            </w:tcMar>
          </w:tcPr>
          <w:p>
            <w:pPr>
              <w:spacing w:after="0" w:before="0"/>
              <w:jc w:val="left"/>
            </w:pPr>
            <w:r>
              <w:rPr>
                <w:rFonts w:ascii="Calibri" w:cs="Calibri" w:eastAsia="Calibri" w:hAnsi="Calibri"/>
                <w:b/>
                <w:bCs/>
                <w:color w:val="000000"/>
                <w:sz w:val="18"/>
                <w:szCs w:val="18"/>
              </w:rPr>
              <w:t xml:space="preserve">Quem executa</w:t>
            </w:r>
          </w:p>
        </w:tc>
        <w:tc>
          <w:tcPr>
            <w:tcW w:type="dxa" w:w="3376"/>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Claudia / Fabiana / Meire / terceiro</w:t>
            </w:r>
          </w:p>
        </w:tc>
        <w:tc>
          <w:tcPr>
            <w:tcW w:type="dxa" w:w="4068"/>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Define o custo-hora</w:t>
            </w:r>
          </w:p>
        </w:tc>
      </w:tr>
      <w:tr>
        <w:tc>
          <w:tcPr>
            <w:tcW w:type="dxa" w:w="2302"/>
            <w:shd w:fill="F2F5F8" w:color="auto" w:val="clear"/>
            <w:tcMar>
              <w:top w:type="dxa" w:w="60"/>
              <w:left w:type="dxa" w:w="110"/>
              <w:bottom w:type="dxa" w:w="60"/>
              <w:right w:type="dxa" w:w="110"/>
            </w:tcMar>
          </w:tcPr>
          <w:p>
            <w:pPr>
              <w:spacing w:after="0" w:before="0"/>
              <w:jc w:val="left"/>
            </w:pPr>
            <w:r>
              <w:rPr>
                <w:rFonts w:ascii="Calibri" w:cs="Calibri" w:eastAsia="Calibri" w:hAnsi="Calibri"/>
                <w:b/>
                <w:bCs/>
                <w:color w:val="000000"/>
                <w:sz w:val="18"/>
                <w:szCs w:val="18"/>
              </w:rPr>
              <w:t xml:space="preserve">Tempo médio por ocorrência</w:t>
            </w:r>
          </w:p>
        </w:tc>
        <w:tc>
          <w:tcPr>
            <w:tcW w:type="dxa" w:w="3376"/>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Em minutos ou horas</w:t>
            </w:r>
          </w:p>
        </w:tc>
        <w:tc>
          <w:tcPr>
            <w:tcW w:type="dxa" w:w="4068"/>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Base do custo</w:t>
            </w:r>
          </w:p>
        </w:tc>
      </w:tr>
      <w:tr>
        <w:tc>
          <w:tcPr>
            <w:tcW w:type="dxa" w:w="2302"/>
            <w:shd w:fill="FFFFFF" w:color="auto" w:val="clear"/>
            <w:tcMar>
              <w:top w:type="dxa" w:w="60"/>
              <w:left w:type="dxa" w:w="110"/>
              <w:bottom w:type="dxa" w:w="60"/>
              <w:right w:type="dxa" w:w="110"/>
            </w:tcMar>
          </w:tcPr>
          <w:p>
            <w:pPr>
              <w:spacing w:after="0" w:before="0"/>
              <w:jc w:val="left"/>
            </w:pPr>
            <w:r>
              <w:rPr>
                <w:rFonts w:ascii="Calibri" w:cs="Calibri" w:eastAsia="Calibri" w:hAnsi="Calibri"/>
                <w:b/>
                <w:bCs/>
                <w:color w:val="000000"/>
                <w:sz w:val="18"/>
                <w:szCs w:val="18"/>
              </w:rPr>
              <w:t xml:space="preserve">Frequência por ano</w:t>
            </w:r>
          </w:p>
        </w:tc>
        <w:tc>
          <w:tcPr>
            <w:tcW w:type="dxa" w:w="3376"/>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Nº de vezes/ano por cliente</w:t>
            </w:r>
          </w:p>
        </w:tc>
        <w:tc>
          <w:tcPr>
            <w:tcW w:type="dxa" w:w="4068"/>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Transforma em custo anual</w:t>
            </w:r>
          </w:p>
        </w:tc>
      </w:tr>
      <w:tr>
        <w:tc>
          <w:tcPr>
            <w:tcW w:type="dxa" w:w="2302"/>
            <w:shd w:fill="F2F5F8" w:color="auto" w:val="clear"/>
            <w:tcMar>
              <w:top w:type="dxa" w:w="60"/>
              <w:left w:type="dxa" w:w="110"/>
              <w:bottom w:type="dxa" w:w="60"/>
              <w:right w:type="dxa" w:w="110"/>
            </w:tcMar>
          </w:tcPr>
          <w:p>
            <w:pPr>
              <w:spacing w:after="0" w:before="0"/>
              <w:jc w:val="left"/>
            </w:pPr>
            <w:r>
              <w:rPr>
                <w:rFonts w:ascii="Calibri" w:cs="Calibri" w:eastAsia="Calibri" w:hAnsi="Calibri"/>
                <w:b/>
                <w:bCs/>
                <w:color w:val="000000"/>
                <w:sz w:val="18"/>
                <w:szCs w:val="18"/>
              </w:rPr>
              <w:t xml:space="preserve">% de clientes que usam</w:t>
            </w:r>
          </w:p>
        </w:tc>
        <w:tc>
          <w:tcPr>
            <w:tcW w:type="dxa" w:w="3376"/>
            <w:shd w:fill="F2F5F8"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0–100%</w:t>
            </w:r>
          </w:p>
        </w:tc>
        <w:tc>
          <w:tcPr>
            <w:tcW w:type="dxa" w:w="4068"/>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Separa o que é universal do que é exceção</w:t>
            </w:r>
          </w:p>
        </w:tc>
      </w:tr>
      <w:tr>
        <w:tc>
          <w:tcPr>
            <w:tcW w:type="dxa" w:w="2302"/>
            <w:shd w:fill="FFFFFF" w:color="auto" w:val="clear"/>
            <w:tcMar>
              <w:top w:type="dxa" w:w="60"/>
              <w:left w:type="dxa" w:w="110"/>
              <w:bottom w:type="dxa" w:w="60"/>
              <w:right w:type="dxa" w:w="110"/>
            </w:tcMar>
          </w:tcPr>
          <w:p>
            <w:pPr>
              <w:spacing w:after="0" w:before="0"/>
              <w:jc w:val="left"/>
            </w:pPr>
            <w:r>
              <w:rPr>
                <w:rFonts w:ascii="Calibri" w:cs="Calibri" w:eastAsia="Calibri" w:hAnsi="Calibri"/>
                <w:b/>
                <w:bCs/>
                <w:color w:val="000000"/>
                <w:sz w:val="18"/>
                <w:szCs w:val="18"/>
              </w:rPr>
              <w:t xml:space="preserve">Gatilho</w:t>
            </w:r>
          </w:p>
        </w:tc>
        <w:tc>
          <w:tcPr>
            <w:tcW w:type="dxa" w:w="3376"/>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Cliente pede / FGC oferece / obrigação legal</w:t>
            </w:r>
          </w:p>
        </w:tc>
        <w:tc>
          <w:tcPr>
            <w:tcW w:type="dxa" w:w="4068"/>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Define se dá para controlar o volume</w:t>
            </w:r>
          </w:p>
        </w:tc>
      </w:tr>
      <w:tr>
        <w:tc>
          <w:tcPr>
            <w:tcW w:type="dxa" w:w="2302"/>
            <w:shd w:fill="F2F5F8" w:color="auto" w:val="clear"/>
            <w:tcMar>
              <w:top w:type="dxa" w:w="60"/>
              <w:left w:type="dxa" w:w="110"/>
              <w:bottom w:type="dxa" w:w="60"/>
              <w:right w:type="dxa" w:w="110"/>
            </w:tcMar>
          </w:tcPr>
          <w:p>
            <w:pPr>
              <w:spacing w:after="0" w:before="0"/>
              <w:jc w:val="left"/>
            </w:pPr>
            <w:r>
              <w:rPr>
                <w:rFonts w:ascii="Calibri" w:cs="Calibri" w:eastAsia="Calibri" w:hAnsi="Calibri"/>
                <w:b/>
                <w:bCs/>
                <w:color w:val="000000"/>
                <w:sz w:val="18"/>
                <w:szCs w:val="18"/>
              </w:rPr>
              <w:t xml:space="preserve">Previsível?</w:t>
            </w:r>
          </w:p>
        </w:tc>
        <w:tc>
          <w:tcPr>
            <w:tcW w:type="dxa" w:w="3376"/>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Sim / Não</w:t>
            </w:r>
          </w:p>
        </w:tc>
        <w:tc>
          <w:tcPr>
            <w:tcW w:type="dxa" w:w="4068"/>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Previsível vai pro plano; imprevisível vai pra avulso</w:t>
            </w:r>
          </w:p>
        </w:tc>
      </w:tr>
      <w:tr>
        <w:tc>
          <w:tcPr>
            <w:tcW w:type="dxa" w:w="2302"/>
            <w:shd w:fill="FFFFFF" w:color="auto" w:val="clear"/>
            <w:tcMar>
              <w:top w:type="dxa" w:w="60"/>
              <w:left w:type="dxa" w:w="110"/>
              <w:bottom w:type="dxa" w:w="60"/>
              <w:right w:type="dxa" w:w="110"/>
            </w:tcMar>
          </w:tcPr>
          <w:p>
            <w:pPr>
              <w:spacing w:after="0" w:before="0"/>
              <w:jc w:val="left"/>
            </w:pPr>
            <w:r>
              <w:rPr>
                <w:rFonts w:ascii="Calibri" w:cs="Calibri" w:eastAsia="Calibri" w:hAnsi="Calibri"/>
                <w:b/>
                <w:bCs/>
                <w:color w:val="000000"/>
                <w:sz w:val="18"/>
                <w:szCs w:val="18"/>
              </w:rPr>
              <w:t xml:space="preserve">Custo externo</w:t>
            </w:r>
          </w:p>
        </w:tc>
        <w:tc>
          <w:tcPr>
            <w:tcW w:type="dxa" w:w="3376"/>
            <w:shd w:fill="FFFFFF"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USD pagos a terceiros</w:t>
            </w:r>
          </w:p>
        </w:tc>
        <w:tc>
          <w:tcPr>
            <w:tcW w:type="dxa" w:w="4068"/>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Precisa ser repassado, não absorvido</w:t>
            </w:r>
          </w:p>
        </w:tc>
      </w:tr>
    </w:tbl>
    <w:p>
      <w:pPr>
        <w:spacing w:after="200"/>
      </w:pPr>
      <w:r>
        <w:t xml:space="preserve"/>
      </w:r>
    </w:p>
    <w:p>
      <w:pPr>
        <w:spacing w:after="120" w:before="60"/>
      </w:pPr>
      <w:r>
        <w:rPr>
          <w:rFonts w:ascii="Calibri" w:cs="Calibri" w:eastAsia="Calibri" w:hAnsi="Calibri"/>
          <w:b/>
          <w:bCs/>
          <w:color w:val="000000"/>
          <w:sz w:val="20"/>
          <w:szCs w:val="20"/>
        </w:rPr>
        <w:t xml:space="preserve">Custo anual oculto por cliente</w:t>
      </w:r>
      <w:r>
        <w:rPr>
          <w:rFonts w:ascii="Calibri" w:cs="Calibri" w:eastAsia="Calibri" w:hAnsi="Calibri"/>
          <w:color w:val="000000"/>
          <w:sz w:val="20"/>
          <w:szCs w:val="20"/>
        </w:rPr>
        <w:t xml:space="preserve"> = Σ (tempo × frequência × custo-hora) + custos externos</w:t>
      </w:r>
    </w:p>
    <w:p>
      <w:pPr>
        <w:spacing w:after="120" w:before="60"/>
      </w:pPr>
      <w:r>
        <w:rPr>
          <w:rFonts w:ascii="Calibri" w:cs="Calibri" w:eastAsia="Calibri" w:hAnsi="Calibri"/>
          <w:color w:val="000000"/>
          <w:sz w:val="20"/>
          <w:szCs w:val="20"/>
        </w:rPr>
        <w:t xml:space="preserve">Esse número é a resposta para "quanto estamos deixando na mesa". É provável que</w:t>
      </w:r>
    </w:p>
    <w:p>
      <w:pPr>
        <w:spacing w:after="120" w:before="60"/>
      </w:pPr>
      <w:r>
        <w:rPr>
          <w:rFonts w:ascii="Calibri" w:cs="Calibri" w:eastAsia="Calibri" w:hAnsi="Calibri"/>
          <w:color w:val="000000"/>
          <w:sz w:val="20"/>
          <w:szCs w:val="20"/>
        </w:rPr>
        <w:t xml:space="preserve">esteja entre 20% e 40% da receita recorrente por cliente — e é o argumento que</w:t>
      </w:r>
    </w:p>
    <w:p>
      <w:pPr>
        <w:spacing w:after="120" w:before="60"/>
      </w:pPr>
      <w:r>
        <w:rPr>
          <w:rFonts w:ascii="Calibri" w:cs="Calibri" w:eastAsia="Calibri" w:hAnsi="Calibri"/>
          <w:color w:val="000000"/>
          <w:sz w:val="20"/>
          <w:szCs w:val="20"/>
        </w:rPr>
        <w:t xml:space="preserve">sustenta o preço do plano.</w:t>
      </w:r>
    </w:p>
    <w:p>
      <w:pPr>
        <w:pBdr>
          <w:bottom w:val="single" w:color="C9D4E0" w:sz="6" w:space="1"/>
        </w:pBdr>
        <w:spacing w:after="200" w:before="160"/>
      </w:pPr>
      <w:r>
        <w:t xml:space="preserve"/>
      </w:r>
    </w:p>
    <w:p>
      <w:pPr>
        <w:pStyle w:val="Heading2"/>
        <w:spacing w:after="140" w:before="340"/>
      </w:pPr>
      <w:r>
        <w:rPr>
          <w:rFonts w:ascii="Calibri" w:cs="Calibri" w:eastAsia="Calibri" w:hAnsi="Calibri"/>
          <w:b/>
          <w:bCs/>
          <w:color w:val="1F3A5F"/>
          <w:sz w:val="26"/>
          <w:szCs w:val="26"/>
        </w:rPr>
        <w:t xml:space="preserve">2.3 Regra de decisão — onde cada serviço vai parar</w:t>
      </w:r>
    </w:p>
    <w:p>
      <w:pPr>
        <w:spacing w:after="120" w:before="60"/>
      </w:pPr>
      <w:r>
        <w:rPr>
          <w:rFonts w:ascii="Calibri" w:cs="Calibri" w:eastAsia="Calibri" w:hAnsi="Calibri"/>
          <w:color w:val="000000"/>
          <w:sz w:val="20"/>
          <w:szCs w:val="20"/>
        </w:rPr>
        <w:t xml:space="preserve">Depois de medir, cada serviço cai em um de três destinos. A regra:</w:t>
      </w:r>
    </w:p>
    <w:tbl>
      <w:tblPr>
        <w:tblW w:type="dxa" w:w="9746"/>
        <w:tblBorders>
          <w:top w:val="single" w:color="C9D4E0" w:sz="2"/>
          <w:left w:val="single" w:color="C9D4E0" w:sz="2"/>
          <w:bottom w:val="single" w:color="C9D4E0" w:sz="2"/>
          <w:right w:val="single" w:color="C9D4E0" w:sz="2"/>
          <w:insideH w:val="single" w:color="C9D4E0" w:sz="2"/>
          <w:insideV w:val="single" w:color="C9D4E0" w:sz="2"/>
        </w:tblBorders>
      </w:tblPr>
      <w:tblGrid>
        <w:gridCol w:w="2002"/>
        <w:gridCol w:w="3738"/>
        <w:gridCol w:w="4006"/>
      </w:tblGrid>
      <w:tr>
        <w:trPr>
          <w:tblHeader/>
        </w:trPr>
        <w:tc>
          <w:tcPr>
            <w:tcW w:type="dxa" w:w="2002"/>
            <w:shd w:fill="1F3A5F" w:color="auto" w:val="clear"/>
            <w:tcMar>
              <w:top w:type="dxa" w:w="60"/>
              <w:left w:type="dxa" w:w="110"/>
              <w:bottom w:type="dxa" w:w="60"/>
              <w:right w:type="dxa" w:w="110"/>
            </w:tcMar>
          </w:tcPr>
          <w:p>
            <w:pPr>
              <w:spacing w:after="0" w:before="0"/>
              <w:jc w:val="left"/>
            </w:pPr>
            <w:r>
              <w:rPr>
                <w:rFonts w:ascii="Calibri" w:cs="Calibri" w:eastAsia="Calibri" w:hAnsi="Calibri"/>
                <w:b/>
                <w:bCs/>
                <w:color w:val="FFFFFF"/>
                <w:sz w:val="18"/>
                <w:szCs w:val="18"/>
              </w:rPr>
              <w:t xml:space="preserve">Destino</w:t>
            </w:r>
          </w:p>
        </w:tc>
        <w:tc>
          <w:tcPr>
            <w:tcW w:type="dxa" w:w="3738"/>
            <w:shd w:fill="1F3A5F" w:color="auto" w:val="clear"/>
            <w:tcMar>
              <w:top w:type="dxa" w:w="60"/>
              <w:left w:type="dxa" w:w="110"/>
              <w:bottom w:type="dxa" w:w="60"/>
              <w:right w:type="dxa" w:w="110"/>
            </w:tcMar>
          </w:tcPr>
          <w:p>
            <w:pPr>
              <w:spacing w:after="0" w:before="0"/>
              <w:jc w:val="left"/>
            </w:pPr>
            <w:r>
              <w:rPr>
                <w:rFonts w:ascii="Calibri" w:cs="Calibri" w:eastAsia="Calibri" w:hAnsi="Calibri"/>
                <w:b/>
                <w:bCs/>
                <w:color w:val="FFFFFF"/>
                <w:sz w:val="18"/>
                <w:szCs w:val="18"/>
              </w:rPr>
              <w:t xml:space="preserve">Critério</w:t>
            </w:r>
          </w:p>
        </w:tc>
        <w:tc>
          <w:tcPr>
            <w:tcW w:type="dxa" w:w="4006"/>
            <w:shd w:fill="1F3A5F" w:color="auto" w:val="clear"/>
            <w:tcMar>
              <w:top w:type="dxa" w:w="60"/>
              <w:left w:type="dxa" w:w="110"/>
              <w:bottom w:type="dxa" w:w="60"/>
              <w:right w:type="dxa" w:w="110"/>
            </w:tcMar>
          </w:tcPr>
          <w:p>
            <w:pPr>
              <w:spacing w:after="0" w:before="0"/>
              <w:jc w:val="left"/>
            </w:pPr>
            <w:r>
              <w:rPr>
                <w:rFonts w:ascii="Calibri" w:cs="Calibri" w:eastAsia="Calibri" w:hAnsi="Calibri"/>
                <w:b/>
                <w:bCs/>
                <w:color w:val="FFFFFF"/>
                <w:sz w:val="18"/>
                <w:szCs w:val="18"/>
              </w:rPr>
              <w:t xml:space="preserve">Exemplos prováveis</w:t>
            </w:r>
          </w:p>
        </w:tc>
      </w:tr>
      <w:tr>
        <w:tc>
          <w:tcPr>
            <w:tcW w:type="dxa" w:w="2002"/>
            <w:shd w:fill="FFFFFF" w:color="auto" w:val="clear"/>
            <w:tcMar>
              <w:top w:type="dxa" w:w="60"/>
              <w:left w:type="dxa" w:w="110"/>
              <w:bottom w:type="dxa" w:w="60"/>
              <w:right w:type="dxa" w:w="110"/>
            </w:tcMar>
          </w:tcPr>
          <w:p>
            <w:pPr>
              <w:spacing w:after="0" w:before="0"/>
              <w:jc w:val="left"/>
            </w:pPr>
            <w:r>
              <w:rPr>
                <w:rFonts w:ascii="Calibri" w:cs="Calibri" w:eastAsia="Calibri" w:hAnsi="Calibri"/>
                <w:b/>
                <w:bCs/>
                <w:color w:val="000000"/>
                <w:sz w:val="18"/>
                <w:szCs w:val="18"/>
              </w:rPr>
              <w:t xml:space="preserve">Incluído no plano base</w:t>
            </w:r>
          </w:p>
        </w:tc>
        <w:tc>
          <w:tcPr>
            <w:tcW w:type="dxa" w:w="3738"/>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Alta frequência + baixo custo + todo cliente espera</w:t>
            </w:r>
          </w:p>
        </w:tc>
        <w:tc>
          <w:tcPr>
            <w:tcW w:type="dxa" w:w="4006"/>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Lembretes de prazo (A6, A7), atualização cadastral (D5), e-mails de dúvida simples (A5)</w:t>
            </w:r>
          </w:p>
        </w:tc>
      </w:tr>
      <w:tr>
        <w:tc>
          <w:tcPr>
            <w:tcW w:type="dxa" w:w="2002"/>
            <w:shd w:fill="F2F5F8" w:color="auto" w:val="clear"/>
            <w:tcMar>
              <w:top w:type="dxa" w:w="60"/>
              <w:left w:type="dxa" w:w="110"/>
              <w:bottom w:type="dxa" w:w="60"/>
              <w:right w:type="dxa" w:w="110"/>
            </w:tcMar>
          </w:tcPr>
          <w:p>
            <w:pPr>
              <w:spacing w:after="0" w:before="0"/>
              <w:jc w:val="left"/>
            </w:pPr>
            <w:r>
              <w:rPr>
                <w:rFonts w:ascii="Calibri" w:cs="Calibri" w:eastAsia="Calibri" w:hAnsi="Calibri"/>
                <w:b/>
                <w:bCs/>
                <w:color w:val="000000"/>
                <w:sz w:val="18"/>
                <w:szCs w:val="18"/>
              </w:rPr>
              <w:t xml:space="preserve">Incluído em plano superior</w:t>
            </w:r>
          </w:p>
        </w:tc>
        <w:tc>
          <w:tcPr>
            <w:tcW w:type="dxa" w:w="3738"/>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Custo médio + é diferenciador + nem todo cliente precisa</w:t>
            </w:r>
          </w:p>
        </w:tc>
        <w:tc>
          <w:tcPr>
            <w:tcW w:type="dxa" w:w="4006"/>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Reunião anual de revisão (A2), coordenação com contador (B1, B2), alerta regulatório proativo (D2), reunião com herdeiros (F2)</w:t>
            </w:r>
          </w:p>
        </w:tc>
      </w:tr>
      <w:tr>
        <w:tc>
          <w:tcPr>
            <w:tcW w:type="dxa" w:w="2002"/>
            <w:shd w:fill="FFFFFF" w:color="auto" w:val="clear"/>
            <w:tcMar>
              <w:top w:type="dxa" w:w="60"/>
              <w:left w:type="dxa" w:w="110"/>
              <w:bottom w:type="dxa" w:w="60"/>
              <w:right w:type="dxa" w:w="110"/>
            </w:tcMar>
          </w:tcPr>
          <w:p>
            <w:pPr>
              <w:spacing w:after="0" w:before="0"/>
              <w:jc w:val="left"/>
            </w:pPr>
            <w:r>
              <w:rPr>
                <w:rFonts w:ascii="Calibri" w:cs="Calibri" w:eastAsia="Calibri" w:hAnsi="Calibri"/>
                <w:b/>
                <w:bCs/>
                <w:color w:val="000000"/>
                <w:sz w:val="18"/>
                <w:szCs w:val="18"/>
              </w:rPr>
              <w:t xml:space="preserve">Cobrado sempre à parte</w:t>
            </w:r>
          </w:p>
        </w:tc>
        <w:tc>
          <w:tcPr>
            <w:tcW w:type="dxa" w:w="3738"/>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Custo alto + esporádico + gatilho externo</w:t>
            </w:r>
          </w:p>
        </w:tc>
        <w:tc>
          <w:tcPr>
            <w:tcW w:type="dxa" w:w="4006"/>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Reestruturações, mudança de residência fiscal (E1), sucessão (E3), certidões (C1, C2), atas (C3)</w:t>
            </w:r>
          </w:p>
        </w:tc>
      </w:tr>
    </w:tbl>
    <w:p>
      <w:pPr>
        <w:spacing w:after="200"/>
      </w:pPr>
      <w:r>
        <w:t xml:space="preserve"/>
      </w:r>
    </w:p>
    <w:p>
      <w:pPr>
        <w:spacing w:after="120" w:before="60"/>
      </w:pPr>
      <w:r>
        <w:rPr>
          <w:rFonts w:ascii="Calibri" w:cs="Calibri" w:eastAsia="Calibri" w:hAnsi="Calibri"/>
          <w:b/>
          <w:bCs/>
          <w:color w:val="000000"/>
          <w:sz w:val="20"/>
          <w:szCs w:val="20"/>
        </w:rPr>
        <w:t xml:space="preserve">A regra da academia (analogia da Claudia):</w:t>
      </w:r>
    </w:p>
    <w:p>
      <w:pPr>
        <w:pStyle w:val="ListParagraph"/>
        <w:numPr>
          <w:ilvl w:val="0"/>
          <w:numId w:val="2"/>
        </w:numPr>
        <w:spacing w:after="20" w:before="20"/>
      </w:pPr>
      <w:r>
        <w:rPr>
          <w:rFonts w:ascii="Calibri" w:cs="Calibri" w:eastAsia="Calibri" w:hAnsi="Calibri"/>
          <w:color w:val="000000"/>
          <w:sz w:val="20"/>
          <w:szCs w:val="20"/>
        </w:rPr>
        <w:t xml:space="preserve">Plano base = as aulas. Todo mundo tem, está no preço, ninguém questiona.</w:t>
      </w:r>
    </w:p>
    <w:p>
      <w:pPr>
        <w:pStyle w:val="ListParagraph"/>
        <w:numPr>
          <w:ilvl w:val="0"/>
          <w:numId w:val="2"/>
        </w:numPr>
        <w:spacing w:after="20" w:before="20"/>
      </w:pPr>
      <w:r>
        <w:rPr>
          <w:rFonts w:ascii="Calibri" w:cs="Calibri" w:eastAsia="Calibri" w:hAnsi="Calibri"/>
          <w:color w:val="000000"/>
          <w:sz w:val="20"/>
          <w:szCs w:val="20"/>
        </w:rPr>
        <w:t xml:space="preserve">Plano superior = a sauna incluída. Quem quer, sobe de plano.</w:t>
      </w:r>
    </w:p>
    <w:p>
      <w:pPr>
        <w:pStyle w:val="ListParagraph"/>
        <w:numPr>
          <w:ilvl w:val="0"/>
          <w:numId w:val="2"/>
        </w:numPr>
        <w:spacing w:after="20" w:before="20"/>
      </w:pPr>
      <w:r>
        <w:rPr>
          <w:rFonts w:ascii="Calibri" w:cs="Calibri" w:eastAsia="Calibri" w:hAnsi="Calibri"/>
          <w:color w:val="000000"/>
          <w:sz w:val="20"/>
          <w:szCs w:val="20"/>
        </w:rPr>
        <w:t xml:space="preserve">Avulso = a sauna comprada por dia. Quem usa pouco, paga por uso.</w:t>
      </w:r>
    </w:p>
    <w:p>
      <w:pPr>
        <w:spacing w:after="120" w:before="60"/>
      </w:pPr>
      <w:r>
        <w:rPr>
          <w:rFonts w:ascii="Calibri" w:cs="Calibri" w:eastAsia="Calibri" w:hAnsi="Calibri"/>
          <w:color w:val="000000"/>
          <w:sz w:val="20"/>
          <w:szCs w:val="20"/>
        </w:rPr>
        <w:t xml:space="preserve">O ponto não é cobrar mais de todo mundo. É </w:t>
      </w:r>
      <w:r>
        <w:rPr>
          <w:rFonts w:ascii="Calibri" w:cs="Calibri" w:eastAsia="Calibri" w:hAnsi="Calibri"/>
          <w:b/>
          <w:bCs/>
          <w:color w:val="000000"/>
          <w:sz w:val="20"/>
          <w:szCs w:val="20"/>
        </w:rPr>
        <w:t xml:space="preserve">tornar visível</w:t>
      </w:r>
      <w:r>
        <w:rPr>
          <w:rFonts w:ascii="Calibri" w:cs="Calibri" w:eastAsia="Calibri" w:hAnsi="Calibri"/>
          <w:color w:val="000000"/>
          <w:sz w:val="20"/>
          <w:szCs w:val="20"/>
        </w:rPr>
        <w:t xml:space="preserve"> para que quem usa</w:t>
      </w:r>
    </w:p>
    <w:p>
      <w:pPr>
        <w:spacing w:after="120" w:before="60"/>
      </w:pPr>
      <w:r>
        <w:rPr>
          <w:rFonts w:ascii="Calibri" w:cs="Calibri" w:eastAsia="Calibri" w:hAnsi="Calibri"/>
          <w:color w:val="000000"/>
          <w:sz w:val="20"/>
          <w:szCs w:val="20"/>
        </w:rPr>
        <w:t xml:space="preserve">mais, pague mais — e quem usa pouco, perceba que está economizando.</w:t>
      </w:r>
    </w:p>
    <w:p>
      <w:pPr>
        <w:pBdr>
          <w:bottom w:val="single" w:color="C9D4E0" w:sz="6" w:space="1"/>
        </w:pBdr>
        <w:spacing w:after="200" w:before="160"/>
      </w:pPr>
      <w:r>
        <w:t xml:space="preserve"/>
      </w:r>
    </w:p>
    <w:p>
      <w:pPr>
        <w:pStyle w:val="Heading2"/>
        <w:spacing w:after="140" w:before="340"/>
      </w:pPr>
      <w:r>
        <w:rPr>
          <w:rFonts w:ascii="Calibri" w:cs="Calibri" w:eastAsia="Calibri" w:hAnsi="Calibri"/>
          <w:b/>
          <w:bCs/>
          <w:color w:val="1F3A5F"/>
          <w:sz w:val="26"/>
          <w:szCs w:val="26"/>
        </w:rPr>
        <w:t xml:space="preserve">2.4 Estrutura de planos sugerida — esqueleto para reagir</w:t>
      </w:r>
    </w:p>
    <w:p>
      <w:pPr>
        <w:spacing w:after="120" w:before="60"/>
      </w:pPr>
      <w:r>
        <w:rPr>
          <w:rFonts w:ascii="Calibri" w:cs="Calibri" w:eastAsia="Calibri" w:hAnsi="Calibri"/>
          <w:color w:val="000000"/>
          <w:sz w:val="20"/>
          <w:szCs w:val="20"/>
        </w:rPr>
        <w:t xml:space="preserve">Os valores abaixo são </w:t>
      </w:r>
      <w:r>
        <w:rPr>
          <w:rFonts w:ascii="Calibri" w:cs="Calibri" w:eastAsia="Calibri" w:hAnsi="Calibri"/>
          <w:b/>
          <w:bCs/>
          <w:color w:val="000000"/>
          <w:sz w:val="20"/>
          <w:szCs w:val="20"/>
        </w:rPr>
        <w:t xml:space="preserve">placeholders</w:t>
      </w:r>
      <w:r>
        <w:rPr>
          <w:rFonts w:ascii="Calibri" w:cs="Calibri" w:eastAsia="Calibri" w:hAnsi="Calibri"/>
          <w:color w:val="000000"/>
          <w:sz w:val="20"/>
          <w:szCs w:val="20"/>
        </w:rPr>
        <w:t xml:space="preserve">. Não são recomendação. Servem só para a</w:t>
      </w:r>
    </w:p>
    <w:p>
      <w:pPr>
        <w:spacing w:after="120" w:before="60"/>
      </w:pPr>
      <w:r>
        <w:rPr>
          <w:rFonts w:ascii="Calibri" w:cs="Calibri" w:eastAsia="Calibri" w:hAnsi="Calibri"/>
          <w:color w:val="000000"/>
          <w:sz w:val="20"/>
          <w:szCs w:val="20"/>
        </w:rPr>
        <w:t xml:space="preserve">Claudia ter algo concreto para discordar e ajustar depois que os dados de horas</w:t>
      </w:r>
    </w:p>
    <w:p>
      <w:pPr>
        <w:spacing w:after="120" w:before="60"/>
      </w:pPr>
      <w:r>
        <w:rPr>
          <w:rFonts w:ascii="Calibri" w:cs="Calibri" w:eastAsia="Calibri" w:hAnsi="Calibri"/>
          <w:color w:val="000000"/>
          <w:sz w:val="20"/>
          <w:szCs w:val="20"/>
        </w:rPr>
        <w:t xml:space="preserve">e base de clientes chegarem.</w:t>
      </w:r>
    </w:p>
    <w:tbl>
      <w:tblPr>
        <w:tblW w:type="dxa" w:w="9746"/>
        <w:tblBorders>
          <w:top w:val="single" w:color="C9D4E0" w:sz="2"/>
          <w:left w:val="single" w:color="C9D4E0" w:sz="2"/>
          <w:bottom w:val="single" w:color="C9D4E0" w:sz="2"/>
          <w:right w:val="single" w:color="C9D4E0" w:sz="2"/>
          <w:insideH w:val="single" w:color="C9D4E0" w:sz="2"/>
          <w:insideV w:val="single" w:color="C9D4E0" w:sz="2"/>
        </w:tblBorders>
      </w:tblPr>
      <w:tblGrid>
        <w:gridCol w:w="2895"/>
        <w:gridCol w:w="2048"/>
        <w:gridCol w:w="1977"/>
        <w:gridCol w:w="2826"/>
      </w:tblGrid>
      <w:tr>
        <w:trPr>
          <w:tblHeader/>
        </w:trPr>
        <w:tc>
          <w:tcPr>
            <w:tcW w:type="dxa" w:w="2895"/>
            <w:shd w:fill="1F3A5F" w:color="auto" w:val="clear"/>
            <w:tcMar>
              <w:top w:type="dxa" w:w="60"/>
              <w:left w:type="dxa" w:w="110"/>
              <w:bottom w:type="dxa" w:w="60"/>
              <w:right w:type="dxa" w:w="110"/>
            </w:tcMar>
          </w:tcPr>
          <w:p>
            <w:pPr>
              <w:spacing w:after="0" w:before="0"/>
              <w:jc w:val="left"/>
            </w:pPr>
            <w:r>
              <w:rPr>
                <w:rFonts w:ascii="Calibri" w:cs="Calibri" w:eastAsia="Calibri" w:hAnsi="Calibri"/>
                <w:color w:val="FFFFFF"/>
                <w:sz w:val="18"/>
                <w:szCs w:val="18"/>
              </w:rPr>
              <w:t xml:space="preserve"/>
            </w:r>
          </w:p>
        </w:tc>
        <w:tc>
          <w:tcPr>
            <w:tcW w:type="dxa" w:w="2048"/>
            <w:shd w:fill="1F3A5F" w:color="auto" w:val="clear"/>
            <w:tcMar>
              <w:top w:type="dxa" w:w="60"/>
              <w:left w:type="dxa" w:w="110"/>
              <w:bottom w:type="dxa" w:w="60"/>
              <w:right w:type="dxa" w:w="110"/>
            </w:tcMar>
          </w:tcPr>
          <w:p>
            <w:pPr>
              <w:spacing w:after="0" w:before="0"/>
              <w:jc w:val="left"/>
            </w:pPr>
            <w:r>
              <w:rPr>
                <w:rFonts w:ascii="Calibri" w:cs="Calibri" w:eastAsia="Calibri" w:hAnsi="Calibri"/>
                <w:b/>
                <w:bCs/>
                <w:color w:val="FFFFFF"/>
                <w:sz w:val="18"/>
                <w:szCs w:val="18"/>
              </w:rPr>
              <w:t xml:space="preserve">Essencial</w:t>
            </w:r>
          </w:p>
        </w:tc>
        <w:tc>
          <w:tcPr>
            <w:tcW w:type="dxa" w:w="1977"/>
            <w:shd w:fill="1F3A5F" w:color="auto" w:val="clear"/>
            <w:tcMar>
              <w:top w:type="dxa" w:w="60"/>
              <w:left w:type="dxa" w:w="110"/>
              <w:bottom w:type="dxa" w:w="60"/>
              <w:right w:type="dxa" w:w="110"/>
            </w:tcMar>
          </w:tcPr>
          <w:p>
            <w:pPr>
              <w:spacing w:after="0" w:before="0"/>
              <w:jc w:val="left"/>
            </w:pPr>
            <w:r>
              <w:rPr>
                <w:rFonts w:ascii="Calibri" w:cs="Calibri" w:eastAsia="Calibri" w:hAnsi="Calibri"/>
                <w:b/>
                <w:bCs/>
                <w:color w:val="FFFFFF"/>
                <w:sz w:val="18"/>
                <w:szCs w:val="18"/>
              </w:rPr>
              <w:t xml:space="preserve">Avançado</w:t>
            </w:r>
          </w:p>
        </w:tc>
        <w:tc>
          <w:tcPr>
            <w:tcW w:type="dxa" w:w="2826"/>
            <w:shd w:fill="1F3A5F" w:color="auto" w:val="clear"/>
            <w:tcMar>
              <w:top w:type="dxa" w:w="60"/>
              <w:left w:type="dxa" w:w="110"/>
              <w:bottom w:type="dxa" w:w="60"/>
              <w:right w:type="dxa" w:w="110"/>
            </w:tcMar>
          </w:tcPr>
          <w:p>
            <w:pPr>
              <w:spacing w:after="0" w:before="0"/>
              <w:jc w:val="left"/>
            </w:pPr>
            <w:r>
              <w:rPr>
                <w:rFonts w:ascii="Calibri" w:cs="Calibri" w:eastAsia="Calibri" w:hAnsi="Calibri"/>
                <w:b/>
                <w:bCs/>
                <w:color w:val="FFFFFF"/>
                <w:sz w:val="18"/>
                <w:szCs w:val="18"/>
              </w:rPr>
              <w:t xml:space="preserve">Private</w:t>
            </w:r>
          </w:p>
        </w:tc>
      </w:tr>
      <w:tr>
        <w:tc>
          <w:tcPr>
            <w:tcW w:type="dxa" w:w="2895"/>
            <w:shd w:fill="FFFFFF" w:color="auto" w:val="clear"/>
            <w:tcMar>
              <w:top w:type="dxa" w:w="60"/>
              <w:left w:type="dxa" w:w="110"/>
              <w:bottom w:type="dxa" w:w="60"/>
              <w:right w:type="dxa" w:w="110"/>
            </w:tcMar>
          </w:tcPr>
          <w:p>
            <w:pPr>
              <w:spacing w:after="0" w:before="0"/>
              <w:jc w:val="left"/>
            </w:pPr>
            <w:r>
              <w:rPr>
                <w:rFonts w:ascii="Calibri" w:cs="Calibri" w:eastAsia="Calibri" w:hAnsi="Calibri"/>
                <w:b/>
                <w:bCs/>
                <w:color w:val="000000"/>
                <w:sz w:val="18"/>
                <w:szCs w:val="18"/>
              </w:rPr>
              <w:t xml:space="preserve">Perfil</w:t>
            </w:r>
          </w:p>
        </w:tc>
        <w:tc>
          <w:tcPr>
            <w:tcW w:type="dxa" w:w="2048"/>
            <w:shd w:fill="FFFFFF"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1 entidade, estrutura simples</w:t>
            </w:r>
          </w:p>
        </w:tc>
        <w:tc>
          <w:tcPr>
            <w:tcW w:type="dxa" w:w="1977"/>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Multi-entidade ou PIC + LLC</w:t>
            </w:r>
          </w:p>
        </w:tc>
        <w:tc>
          <w:tcPr>
            <w:tcW w:type="dxa" w:w="2826"/>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Estrutura familiar completa com sucessão</w:t>
            </w:r>
          </w:p>
        </w:tc>
      </w:tr>
      <w:tr>
        <w:tc>
          <w:tcPr>
            <w:tcW w:type="dxa" w:w="2895"/>
            <w:shd w:fill="F2F5F8" w:color="auto" w:val="clear"/>
            <w:tcMar>
              <w:top w:type="dxa" w:w="60"/>
              <w:left w:type="dxa" w:w="110"/>
              <w:bottom w:type="dxa" w:w="60"/>
              <w:right w:type="dxa" w:w="110"/>
            </w:tcMar>
          </w:tcPr>
          <w:p>
            <w:pPr>
              <w:spacing w:after="0" w:before="0"/>
              <w:jc w:val="left"/>
            </w:pPr>
            <w:r>
              <w:rPr>
                <w:rFonts w:ascii="Calibri" w:cs="Calibri" w:eastAsia="Calibri" w:hAnsi="Calibri"/>
                <w:b/>
                <w:bCs/>
                <w:color w:val="000000"/>
                <w:sz w:val="18"/>
                <w:szCs w:val="18"/>
              </w:rPr>
              <w:t xml:space="preserve">Base do preço</w:t>
            </w:r>
          </w:p>
        </w:tc>
        <w:tc>
          <w:tcPr>
            <w:tcW w:type="dxa" w:w="2048"/>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Manutenção atual</w:t>
            </w:r>
          </w:p>
        </w:tc>
        <w:tc>
          <w:tcPr>
            <w:tcW w:type="dxa" w:w="1977"/>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Manutenção + concierge médio</w:t>
            </w:r>
          </w:p>
        </w:tc>
        <w:tc>
          <w:tcPr>
            <w:tcW w:type="dxa" w:w="2826"/>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Manutenção + concierge alto + acesso</w:t>
            </w:r>
          </w:p>
        </w:tc>
      </w:tr>
      <w:tr>
        <w:tc>
          <w:tcPr>
            <w:tcW w:type="dxa" w:w="2895"/>
            <w:shd w:fill="FFFFFF" w:color="auto" w:val="clear"/>
            <w:tcMar>
              <w:top w:type="dxa" w:w="60"/>
              <w:left w:type="dxa" w:w="110"/>
              <w:bottom w:type="dxa" w:w="60"/>
              <w:right w:type="dxa" w:w="110"/>
            </w:tcMar>
          </w:tcPr>
          <w:p>
            <w:pPr>
              <w:spacing w:after="0" w:before="0"/>
              <w:jc w:val="left"/>
            </w:pPr>
            <w:r>
              <w:rPr>
                <w:rFonts w:ascii="Calibri" w:cs="Calibri" w:eastAsia="Calibri" w:hAnsi="Calibri"/>
                <w:b/>
                <w:bCs/>
                <w:color w:val="000000"/>
                <w:sz w:val="18"/>
                <w:szCs w:val="18"/>
              </w:rPr>
              <w:t xml:space="preserve">Manutenção anual</w:t>
            </w:r>
          </w:p>
        </w:tc>
        <w:tc>
          <w:tcPr>
            <w:tcW w:type="dxa" w:w="2048"/>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Incluída</w:t>
            </w:r>
          </w:p>
        </w:tc>
        <w:tc>
          <w:tcPr>
            <w:tcW w:type="dxa" w:w="1977"/>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Incluída</w:t>
            </w:r>
          </w:p>
        </w:tc>
        <w:tc>
          <w:tcPr>
            <w:tcW w:type="dxa" w:w="2826"/>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Incluída</w:t>
            </w:r>
          </w:p>
        </w:tc>
      </w:tr>
      <w:tr>
        <w:tc>
          <w:tcPr>
            <w:tcW w:type="dxa" w:w="2895"/>
            <w:shd w:fill="F2F5F8" w:color="auto" w:val="clear"/>
            <w:tcMar>
              <w:top w:type="dxa" w:w="60"/>
              <w:left w:type="dxa" w:w="110"/>
              <w:bottom w:type="dxa" w:w="60"/>
              <w:right w:type="dxa" w:w="110"/>
            </w:tcMar>
          </w:tcPr>
          <w:p>
            <w:pPr>
              <w:spacing w:after="0" w:before="0"/>
              <w:jc w:val="left"/>
            </w:pPr>
            <w:r>
              <w:rPr>
                <w:rFonts w:ascii="Calibri" w:cs="Calibri" w:eastAsia="Calibri" w:hAnsi="Calibri"/>
                <w:b/>
                <w:bCs/>
                <w:color w:val="000000"/>
                <w:sz w:val="18"/>
                <w:szCs w:val="18"/>
              </w:rPr>
              <w:t xml:space="preserve">Contabilidade (FS/TR/AFR)</w:t>
            </w:r>
          </w:p>
        </w:tc>
        <w:tc>
          <w:tcPr>
            <w:tcW w:type="dxa" w:w="2048"/>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Avulso</w:t>
            </w:r>
          </w:p>
        </w:tc>
        <w:tc>
          <w:tcPr>
            <w:tcW w:type="dxa" w:w="1977"/>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Incluída</w:t>
            </w:r>
          </w:p>
        </w:tc>
        <w:tc>
          <w:tcPr>
            <w:tcW w:type="dxa" w:w="2826"/>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Incluída</w:t>
            </w:r>
          </w:p>
        </w:tc>
      </w:tr>
      <w:tr>
        <w:tc>
          <w:tcPr>
            <w:tcW w:type="dxa" w:w="2895"/>
            <w:shd w:fill="FFFFFF" w:color="auto" w:val="clear"/>
            <w:tcMar>
              <w:top w:type="dxa" w:w="60"/>
              <w:left w:type="dxa" w:w="110"/>
              <w:bottom w:type="dxa" w:w="60"/>
              <w:right w:type="dxa" w:w="110"/>
            </w:tcMar>
          </w:tcPr>
          <w:p>
            <w:pPr>
              <w:spacing w:after="0" w:before="0"/>
              <w:jc w:val="left"/>
            </w:pPr>
            <w:r>
              <w:rPr>
                <w:rFonts w:ascii="Calibri" w:cs="Calibri" w:eastAsia="Calibri" w:hAnsi="Calibri"/>
                <w:b/>
                <w:bCs/>
                <w:color w:val="000000"/>
                <w:sz w:val="18"/>
                <w:szCs w:val="18"/>
              </w:rPr>
              <w:t xml:space="preserve">Reuniões/ano</w:t>
            </w:r>
          </w:p>
        </w:tc>
        <w:tc>
          <w:tcPr>
            <w:tcW w:type="dxa" w:w="2048"/>
            <w:shd w:fill="FFFFFF"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0 (só e-mail)</w:t>
            </w:r>
          </w:p>
        </w:tc>
        <w:tc>
          <w:tcPr>
            <w:tcW w:type="dxa" w:w="1977"/>
            <w:shd w:fill="FFFFFF"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1 revisão anual</w:t>
            </w:r>
          </w:p>
        </w:tc>
        <w:tc>
          <w:tcPr>
            <w:tcW w:type="dxa" w:w="2826"/>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Ilimitadas + reunião com herdeiros</w:t>
            </w:r>
          </w:p>
        </w:tc>
      </w:tr>
      <w:tr>
        <w:tc>
          <w:tcPr>
            <w:tcW w:type="dxa" w:w="2895"/>
            <w:shd w:fill="F2F5F8" w:color="auto" w:val="clear"/>
            <w:tcMar>
              <w:top w:type="dxa" w:w="60"/>
              <w:left w:type="dxa" w:w="110"/>
              <w:bottom w:type="dxa" w:w="60"/>
              <w:right w:type="dxa" w:w="110"/>
            </w:tcMar>
          </w:tcPr>
          <w:p>
            <w:pPr>
              <w:spacing w:after="0" w:before="0"/>
              <w:jc w:val="left"/>
            </w:pPr>
            <w:r>
              <w:rPr>
                <w:rFonts w:ascii="Calibri" w:cs="Calibri" w:eastAsia="Calibri" w:hAnsi="Calibri"/>
                <w:b/>
                <w:bCs/>
                <w:color w:val="000000"/>
                <w:sz w:val="18"/>
                <w:szCs w:val="18"/>
              </w:rPr>
              <w:t xml:space="preserve">Tempo de resposta</w:t>
            </w:r>
          </w:p>
        </w:tc>
        <w:tc>
          <w:tcPr>
            <w:tcW w:type="dxa" w:w="2048"/>
            <w:shd w:fill="F2F5F8"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5 dias úteis</w:t>
            </w:r>
          </w:p>
        </w:tc>
        <w:tc>
          <w:tcPr>
            <w:tcW w:type="dxa" w:w="1977"/>
            <w:shd w:fill="F2F5F8"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2 dias úteis</w:t>
            </w:r>
          </w:p>
        </w:tc>
        <w:tc>
          <w:tcPr>
            <w:tcW w:type="dxa" w:w="2826"/>
            <w:shd w:fill="F2F5F8"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24 horas</w:t>
            </w:r>
          </w:p>
        </w:tc>
      </w:tr>
      <w:tr>
        <w:tc>
          <w:tcPr>
            <w:tcW w:type="dxa" w:w="2895"/>
            <w:shd w:fill="FFFFFF" w:color="auto" w:val="clear"/>
            <w:tcMar>
              <w:top w:type="dxa" w:w="60"/>
              <w:left w:type="dxa" w:w="110"/>
              <w:bottom w:type="dxa" w:w="60"/>
              <w:right w:type="dxa" w:w="110"/>
            </w:tcMar>
          </w:tcPr>
          <w:p>
            <w:pPr>
              <w:spacing w:after="0" w:before="0"/>
              <w:jc w:val="left"/>
            </w:pPr>
            <w:r>
              <w:rPr>
                <w:rFonts w:ascii="Calibri" w:cs="Calibri" w:eastAsia="Calibri" w:hAnsi="Calibri"/>
                <w:b/>
                <w:bCs/>
                <w:color w:val="000000"/>
                <w:sz w:val="18"/>
                <w:szCs w:val="18"/>
              </w:rPr>
              <w:t xml:space="preserve">Coordenação com contador</w:t>
            </w:r>
          </w:p>
        </w:tc>
        <w:tc>
          <w:tcPr>
            <w:tcW w:type="dxa" w:w="2048"/>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Não incluída</w:t>
            </w:r>
          </w:p>
        </w:tc>
        <w:tc>
          <w:tcPr>
            <w:tcW w:type="dxa" w:w="1977"/>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Incluída (até X h/ano)</w:t>
            </w:r>
          </w:p>
        </w:tc>
        <w:tc>
          <w:tcPr>
            <w:tcW w:type="dxa" w:w="2826"/>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Ilimitada</w:t>
            </w:r>
          </w:p>
        </w:tc>
      </w:tr>
      <w:tr>
        <w:tc>
          <w:tcPr>
            <w:tcW w:type="dxa" w:w="2895"/>
            <w:shd w:fill="F2F5F8" w:color="auto" w:val="clear"/>
            <w:tcMar>
              <w:top w:type="dxa" w:w="60"/>
              <w:left w:type="dxa" w:w="110"/>
              <w:bottom w:type="dxa" w:w="60"/>
              <w:right w:type="dxa" w:w="110"/>
            </w:tcMar>
          </w:tcPr>
          <w:p>
            <w:pPr>
              <w:spacing w:after="0" w:before="0"/>
              <w:jc w:val="left"/>
            </w:pPr>
            <w:r>
              <w:rPr>
                <w:rFonts w:ascii="Calibri" w:cs="Calibri" w:eastAsia="Calibri" w:hAnsi="Calibri"/>
                <w:b/>
                <w:bCs/>
                <w:color w:val="000000"/>
                <w:sz w:val="18"/>
                <w:szCs w:val="18"/>
              </w:rPr>
              <w:t xml:space="preserve">Coordenação com advogado/banco</w:t>
            </w:r>
          </w:p>
        </w:tc>
        <w:tc>
          <w:tcPr>
            <w:tcW w:type="dxa" w:w="2048"/>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Não incluída</w:t>
            </w:r>
          </w:p>
        </w:tc>
        <w:tc>
          <w:tcPr>
            <w:tcW w:type="dxa" w:w="1977"/>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Avulso</w:t>
            </w:r>
          </w:p>
        </w:tc>
        <w:tc>
          <w:tcPr>
            <w:tcW w:type="dxa" w:w="2826"/>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Incluída</w:t>
            </w:r>
          </w:p>
        </w:tc>
      </w:tr>
      <w:tr>
        <w:tc>
          <w:tcPr>
            <w:tcW w:type="dxa" w:w="2895"/>
            <w:shd w:fill="FFFFFF" w:color="auto" w:val="clear"/>
            <w:tcMar>
              <w:top w:type="dxa" w:w="60"/>
              <w:left w:type="dxa" w:w="110"/>
              <w:bottom w:type="dxa" w:w="60"/>
              <w:right w:type="dxa" w:w="110"/>
            </w:tcMar>
          </w:tcPr>
          <w:p>
            <w:pPr>
              <w:spacing w:after="0" w:before="0"/>
              <w:jc w:val="left"/>
            </w:pPr>
            <w:r>
              <w:rPr>
                <w:rFonts w:ascii="Calibri" w:cs="Calibri" w:eastAsia="Calibri" w:hAnsi="Calibri"/>
                <w:b/>
                <w:bCs/>
                <w:color w:val="000000"/>
                <w:sz w:val="18"/>
                <w:szCs w:val="18"/>
              </w:rPr>
              <w:t xml:space="preserve">Certidões (Good Standing, Incumbency)</w:t>
            </w:r>
          </w:p>
        </w:tc>
        <w:tc>
          <w:tcPr>
            <w:tcW w:type="dxa" w:w="2048"/>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Avulso</w:t>
            </w:r>
          </w:p>
        </w:tc>
        <w:tc>
          <w:tcPr>
            <w:tcW w:type="dxa" w:w="1977"/>
            <w:shd w:fill="FFFFFF"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2/ano inclusas</w:t>
            </w:r>
          </w:p>
        </w:tc>
        <w:tc>
          <w:tcPr>
            <w:tcW w:type="dxa" w:w="2826"/>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Ilimitadas</w:t>
            </w:r>
          </w:p>
        </w:tc>
      </w:tr>
      <w:tr>
        <w:tc>
          <w:tcPr>
            <w:tcW w:type="dxa" w:w="2895"/>
            <w:shd w:fill="F2F5F8" w:color="auto" w:val="clear"/>
            <w:tcMar>
              <w:top w:type="dxa" w:w="60"/>
              <w:left w:type="dxa" w:w="110"/>
              <w:bottom w:type="dxa" w:w="60"/>
              <w:right w:type="dxa" w:w="110"/>
            </w:tcMar>
          </w:tcPr>
          <w:p>
            <w:pPr>
              <w:spacing w:after="0" w:before="0"/>
              <w:jc w:val="left"/>
            </w:pPr>
            <w:r>
              <w:rPr>
                <w:rFonts w:ascii="Calibri" w:cs="Calibri" w:eastAsia="Calibri" w:hAnsi="Calibri"/>
                <w:b/>
                <w:bCs/>
                <w:color w:val="000000"/>
                <w:sz w:val="18"/>
                <w:szCs w:val="18"/>
              </w:rPr>
              <w:t xml:space="preserve">Atas e reestruturação</w:t>
            </w:r>
          </w:p>
        </w:tc>
        <w:tc>
          <w:tcPr>
            <w:tcW w:type="dxa" w:w="2048"/>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Avulso</w:t>
            </w:r>
          </w:p>
        </w:tc>
        <w:tc>
          <w:tcPr>
            <w:tcW w:type="dxa" w:w="1977"/>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Desconto de X%</w:t>
            </w:r>
          </w:p>
        </w:tc>
        <w:tc>
          <w:tcPr>
            <w:tcW w:type="dxa" w:w="2826"/>
            <w:shd w:fill="F2F5F8"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1 reestruturação simples/ano inclusa</w:t>
            </w:r>
          </w:p>
        </w:tc>
      </w:tr>
      <w:tr>
        <w:tc>
          <w:tcPr>
            <w:tcW w:type="dxa" w:w="2895"/>
            <w:shd w:fill="FFFFFF" w:color="auto" w:val="clear"/>
            <w:tcMar>
              <w:top w:type="dxa" w:w="60"/>
              <w:left w:type="dxa" w:w="110"/>
              <w:bottom w:type="dxa" w:w="60"/>
              <w:right w:type="dxa" w:w="110"/>
            </w:tcMar>
          </w:tcPr>
          <w:p>
            <w:pPr>
              <w:spacing w:after="0" w:before="0"/>
              <w:jc w:val="left"/>
            </w:pPr>
            <w:r>
              <w:rPr>
                <w:rFonts w:ascii="Calibri" w:cs="Calibri" w:eastAsia="Calibri" w:hAnsi="Calibri"/>
                <w:b/>
                <w:bCs/>
                <w:color w:val="000000"/>
                <w:sz w:val="18"/>
                <w:szCs w:val="18"/>
              </w:rPr>
              <w:t xml:space="preserve">Alerta regulatório proativo</w:t>
            </w:r>
          </w:p>
        </w:tc>
        <w:tc>
          <w:tcPr>
            <w:tcW w:type="dxa" w:w="2048"/>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Não</w:t>
            </w:r>
          </w:p>
        </w:tc>
        <w:tc>
          <w:tcPr>
            <w:tcW w:type="dxa" w:w="1977"/>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Sim</w:t>
            </w:r>
          </w:p>
        </w:tc>
        <w:tc>
          <w:tcPr>
            <w:tcW w:type="dxa" w:w="2826"/>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Sim + análise de impacto na estrutura</w:t>
            </w:r>
          </w:p>
        </w:tc>
      </w:tr>
      <w:tr>
        <w:tc>
          <w:tcPr>
            <w:tcW w:type="dxa" w:w="2895"/>
            <w:shd w:fill="F2F5F8" w:color="auto" w:val="clear"/>
            <w:tcMar>
              <w:top w:type="dxa" w:w="60"/>
              <w:left w:type="dxa" w:w="110"/>
              <w:bottom w:type="dxa" w:w="60"/>
              <w:right w:type="dxa" w:w="110"/>
            </w:tcMar>
          </w:tcPr>
          <w:p>
            <w:pPr>
              <w:spacing w:after="0" w:before="0"/>
              <w:jc w:val="left"/>
            </w:pPr>
            <w:r>
              <w:rPr>
                <w:rFonts w:ascii="Calibri" w:cs="Calibri" w:eastAsia="Calibri" w:hAnsi="Calibri"/>
                <w:b/>
                <w:bCs/>
                <w:color w:val="000000"/>
                <w:sz w:val="18"/>
                <w:szCs w:val="18"/>
              </w:rPr>
              <w:t xml:space="preserve">Gestor de conta dedicado</w:t>
            </w:r>
          </w:p>
        </w:tc>
        <w:tc>
          <w:tcPr>
            <w:tcW w:type="dxa" w:w="2048"/>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Não</w:t>
            </w:r>
          </w:p>
        </w:tc>
        <w:tc>
          <w:tcPr>
            <w:tcW w:type="dxa" w:w="1977"/>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Não</w:t>
            </w:r>
          </w:p>
        </w:tc>
        <w:tc>
          <w:tcPr>
            <w:tcW w:type="dxa" w:w="2826"/>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Sim</w:t>
            </w:r>
          </w:p>
        </w:tc>
      </w:tr>
    </w:tbl>
    <w:p>
      <w:pPr>
        <w:spacing w:after="200"/>
      </w:pPr>
      <w:r>
        <w:t xml:space="preserve"/>
      </w:r>
    </w:p>
    <w:p>
      <w:pPr>
        <w:spacing w:after="120" w:before="60"/>
      </w:pPr>
      <w:r>
        <w:rPr>
          <w:rFonts w:ascii="Calibri" w:cs="Calibri" w:eastAsia="Calibri" w:hAnsi="Calibri"/>
          <w:b/>
          <w:bCs/>
          <w:color w:val="000000"/>
          <w:sz w:val="20"/>
          <w:szCs w:val="20"/>
        </w:rPr>
        <w:t xml:space="preserve">Como ancorar o preço:</w:t>
      </w:r>
      <w:r>
        <w:rPr>
          <w:rFonts w:ascii="Calibri" w:cs="Calibri" w:eastAsia="Calibri" w:hAnsi="Calibri"/>
          <w:color w:val="000000"/>
          <w:sz w:val="20"/>
          <w:szCs w:val="20"/>
        </w:rPr>
        <w:t xml:space="preserve"> o plano Essencial deve custar aproximadamente o que o</w:t>
      </w:r>
    </w:p>
    <w:p>
      <w:pPr>
        <w:spacing w:after="120" w:before="60"/>
      </w:pPr>
      <w:r>
        <w:rPr>
          <w:rFonts w:ascii="Calibri" w:cs="Calibri" w:eastAsia="Calibri" w:hAnsi="Calibri"/>
          <w:color w:val="000000"/>
          <w:sz w:val="20"/>
          <w:szCs w:val="20"/>
        </w:rPr>
        <w:t xml:space="preserve">cliente já paga hoje em manutenção. O ganho não vem de aumentar o base — vem de</w:t>
      </w:r>
    </w:p>
    <w:p>
      <w:pPr>
        <w:spacing w:after="120" w:before="60"/>
      </w:pPr>
      <w:r>
        <w:rPr>
          <w:rFonts w:ascii="Calibri" w:cs="Calibri" w:eastAsia="Calibri" w:hAnsi="Calibri"/>
          <w:color w:val="000000"/>
          <w:sz w:val="20"/>
          <w:szCs w:val="20"/>
        </w:rPr>
        <w:t xml:space="preserve">(a) parar de absorver o concierge e (b) fazer parte da base migrar para os</w:t>
      </w:r>
    </w:p>
    <w:p>
      <w:pPr>
        <w:spacing w:after="120" w:before="60"/>
      </w:pPr>
      <w:r>
        <w:rPr>
          <w:rFonts w:ascii="Calibri" w:cs="Calibri" w:eastAsia="Calibri" w:hAnsi="Calibri"/>
          <w:color w:val="000000"/>
          <w:sz w:val="20"/>
          <w:szCs w:val="20"/>
        </w:rPr>
        <w:t xml:space="preserve">níveis superiores ao ver o que está perdendo.</w:t>
      </w:r>
    </w:p>
    <w:p>
      <w:pPr>
        <w:pBdr>
          <w:bottom w:val="single" w:color="C9D4E0" w:sz="6" w:space="1"/>
        </w:pBdr>
        <w:spacing w:after="200" w:before="160"/>
      </w:pPr>
      <w:r>
        <w:t xml:space="preserve"/>
      </w:r>
    </w:p>
    <w:p>
      <w:pPr>
        <w:pStyle w:val="Heading2"/>
        <w:spacing w:after="140" w:before="340"/>
      </w:pPr>
      <w:r>
        <w:rPr>
          <w:rFonts w:ascii="Calibri" w:cs="Calibri" w:eastAsia="Calibri" w:hAnsi="Calibri"/>
          <w:b/>
          <w:bCs/>
          <w:color w:val="1F3A5F"/>
          <w:sz w:val="26"/>
          <w:szCs w:val="26"/>
        </w:rPr>
        <w:t xml:space="preserve">2.5 Como isso muda a proposta</w:t>
      </w:r>
    </w:p>
    <w:p>
      <w:pPr>
        <w:spacing w:after="120" w:before="60"/>
      </w:pPr>
      <w:r>
        <w:rPr>
          <w:rFonts w:ascii="Calibri" w:cs="Calibri" w:eastAsia="Calibri" w:hAnsi="Calibri"/>
          <w:color w:val="000000"/>
          <w:sz w:val="20"/>
          <w:szCs w:val="20"/>
        </w:rPr>
        <w:t xml:space="preserve">Hoje a proposta tem, no fim, uma cláusula genérica de 6 linhas:</w:t>
      </w:r>
    </w:p>
    <w:p>
      <w:pPr>
        <w:pBdr>
          <w:left w:val="single" w:color="B8C6D6" w:sz="14" w:space="10"/>
        </w:pBdr>
        <w:spacing w:after="0" w:before="120"/>
        <w:ind w:left="340"/>
      </w:pPr>
      <w:r>
        <w:rPr>
          <w:rFonts w:ascii="Calibri" w:cs="Calibri" w:eastAsia="Calibri" w:hAnsi="Calibri"/>
          <w:i/>
          <w:iCs/>
          <w:color w:val="595959"/>
          <w:sz w:val="19"/>
          <w:szCs w:val="19"/>
        </w:rPr>
        <w:t xml:space="preserve">- Elaboração de atas (aportes, redução de capital, entre outros)</w:t>
      </w:r>
    </w:p>
    <w:p>
      <w:pPr>
        <w:pBdr>
          <w:left w:val="single" w:color="B8C6D6" w:sz="14" w:space="10"/>
        </w:pBdr>
        <w:spacing w:after="0" w:before="0"/>
        <w:ind w:left="340"/>
      </w:pPr>
      <w:r>
        <w:rPr>
          <w:rFonts w:ascii="Calibri" w:cs="Calibri" w:eastAsia="Calibri" w:hAnsi="Calibri"/>
          <w:i/>
          <w:iCs/>
          <w:color w:val="595959"/>
          <w:sz w:val="19"/>
          <w:szCs w:val="19"/>
        </w:rPr>
        <w:t xml:space="preserve">- Certificados (Good Standing, Incumbency)</w:t>
      </w:r>
    </w:p>
    <w:p>
      <w:pPr>
        <w:pBdr>
          <w:left w:val="single" w:color="B8C6D6" w:sz="14" w:space="10"/>
        </w:pBdr>
        <w:spacing w:after="0" w:before="0"/>
        <w:ind w:left="340"/>
      </w:pPr>
      <w:r>
        <w:rPr>
          <w:rFonts w:ascii="Calibri" w:cs="Calibri" w:eastAsia="Calibri" w:hAnsi="Calibri"/>
          <w:i/>
          <w:iCs/>
          <w:color w:val="595959"/>
          <w:sz w:val="19"/>
          <w:szCs w:val="19"/>
        </w:rPr>
        <w:t xml:space="preserve">- Reestruturações</w:t>
      </w:r>
    </w:p>
    <w:p>
      <w:pPr>
        <w:pBdr>
          <w:left w:val="single" w:color="B8C6D6" w:sz="14" w:space="10"/>
        </w:pBdr>
        <w:spacing w:after="0" w:before="0"/>
        <w:ind w:left="340"/>
      </w:pPr>
      <w:r>
        <w:rPr>
          <w:rFonts w:ascii="Calibri" w:cs="Calibri" w:eastAsia="Calibri" w:hAnsi="Calibri"/>
          <w:i/>
          <w:iCs/>
          <w:color w:val="595959"/>
          <w:sz w:val="19"/>
          <w:szCs w:val="19"/>
        </w:rPr>
        <w:t xml:space="preserve">- Notarizações e apostilamentos</w:t>
      </w:r>
    </w:p>
    <w:p>
      <w:pPr>
        <w:pBdr>
          <w:left w:val="single" w:color="B8C6D6" w:sz="14" w:space="10"/>
        </w:pBdr>
        <w:spacing w:after="0" w:before="0"/>
        <w:ind w:left="340"/>
      </w:pPr>
      <w:r>
        <w:rPr>
          <w:rFonts w:ascii="Calibri" w:cs="Calibri" w:eastAsia="Calibri" w:hAnsi="Calibri"/>
          <w:i/>
          <w:iCs/>
          <w:color w:val="595959"/>
          <w:sz w:val="19"/>
          <w:szCs w:val="19"/>
        </w:rPr>
        <w:t xml:space="preserve">- Serviços de courier/postagem</w:t>
      </w:r>
    </w:p>
    <w:p>
      <w:pPr>
        <w:pBdr>
          <w:left w:val="single" w:color="B8C6D6" w:sz="14" w:space="10"/>
        </w:pBdr>
        <w:spacing w:after="160" w:before="0"/>
        <w:ind w:left="340"/>
      </w:pPr>
      <w:r>
        <w:rPr>
          <w:rFonts w:ascii="Calibri" w:cs="Calibri" w:eastAsia="Calibri" w:hAnsi="Calibri"/>
          <w:i/>
          <w:iCs/>
          <w:color w:val="595959"/>
          <w:sz w:val="19"/>
          <w:szCs w:val="19"/>
        </w:rPr>
        <w:t xml:space="preserve">- Qualquer outra necessidade não especificada será tratada caso a caso</w:t>
      </w:r>
    </w:p>
    <w:p>
      <w:pPr>
        <w:spacing w:after="120" w:before="60"/>
      </w:pPr>
      <w:r>
        <w:rPr>
          <w:rFonts w:ascii="Calibri" w:cs="Calibri" w:eastAsia="Calibri" w:hAnsi="Calibri"/>
          <w:color w:val="000000"/>
          <w:sz w:val="20"/>
          <w:szCs w:val="20"/>
        </w:rPr>
        <w:t xml:space="preserve">Isso é um aviso legal. Não gera valor percebido.</w:t>
      </w:r>
    </w:p>
    <w:p>
      <w:pPr>
        <w:spacing w:after="120" w:before="60"/>
      </w:pPr>
      <w:r>
        <w:rPr>
          <w:rFonts w:ascii="Calibri" w:cs="Calibri" w:eastAsia="Calibri" w:hAnsi="Calibri"/>
          <w:b/>
          <w:bCs/>
          <w:color w:val="000000"/>
          <w:sz w:val="20"/>
          <w:szCs w:val="20"/>
        </w:rPr>
        <w:t xml:space="preserve">O que deveria ser:</w:t>
      </w:r>
      <w:r>
        <w:rPr>
          <w:rFonts w:ascii="Calibri" w:cs="Calibri" w:eastAsia="Calibri" w:hAnsi="Calibri"/>
          <w:color w:val="000000"/>
          <w:sz w:val="20"/>
          <w:szCs w:val="20"/>
        </w:rPr>
        <w:t xml:space="preserve"> uma tabela lado a lado, por nível, mostrando o que está</w:t>
      </w:r>
    </w:p>
    <w:p>
      <w:pPr>
        <w:spacing w:after="120" w:before="60"/>
      </w:pPr>
      <w:r>
        <w:rPr>
          <w:rFonts w:ascii="Calibri" w:cs="Calibri" w:eastAsia="Calibri" w:hAnsi="Calibri"/>
          <w:color w:val="000000"/>
          <w:sz w:val="20"/>
          <w:szCs w:val="20"/>
        </w:rPr>
        <w:t xml:space="preserve">incluso no plano contratado, o que está disponível no nível acima, e o que é</w:t>
      </w:r>
    </w:p>
    <w:p>
      <w:pPr>
        <w:spacing w:after="120" w:before="60"/>
      </w:pPr>
      <w:r>
        <w:rPr>
          <w:rFonts w:ascii="Calibri" w:cs="Calibri" w:eastAsia="Calibri" w:hAnsi="Calibri"/>
          <w:color w:val="000000"/>
          <w:sz w:val="20"/>
          <w:szCs w:val="20"/>
        </w:rPr>
        <w:t xml:space="preserve">sempre avulso. O cliente precisa </w:t>
      </w:r>
      <w:r>
        <w:rPr>
          <w:rFonts w:ascii="Calibri" w:cs="Calibri" w:eastAsia="Calibri" w:hAnsi="Calibri"/>
          <w:b/>
          <w:bCs/>
          <w:color w:val="000000"/>
          <w:sz w:val="20"/>
          <w:szCs w:val="20"/>
        </w:rPr>
        <w:t xml:space="preserve">ver a sauna</w:t>
      </w:r>
      <w:r>
        <w:rPr>
          <w:rFonts w:ascii="Calibri" w:cs="Calibri" w:eastAsia="Calibri" w:hAnsi="Calibri"/>
          <w:color w:val="000000"/>
          <w:sz w:val="20"/>
          <w:szCs w:val="20"/>
        </w:rPr>
        <w:t xml:space="preserve"> que não comprou.</w:t>
      </w:r>
    </w:p>
    <w:p>
      <w:pPr>
        <w:pBdr>
          <w:bottom w:val="single" w:color="C9D4E0" w:sz="6" w:space="1"/>
        </w:pBdr>
        <w:spacing w:after="200" w:before="160"/>
      </w:pPr>
      <w:r>
        <w:t xml:space="preserve"/>
      </w:r>
    </w:p>
    <w:p>
      <w:pPr>
        <w:pStyle w:val="Heading2"/>
        <w:spacing w:after="140" w:before="340"/>
      </w:pPr>
      <w:r>
        <w:rPr>
          <w:rFonts w:ascii="Calibri" w:cs="Calibri" w:eastAsia="Calibri" w:hAnsi="Calibri"/>
          <w:b/>
          <w:bCs/>
          <w:color w:val="1F3A5F"/>
          <w:sz w:val="26"/>
          <w:szCs w:val="26"/>
        </w:rPr>
        <w:t xml:space="preserve">2.6 Sequência de trabalho recomendada</w:t>
      </w:r>
    </w:p>
    <w:tbl>
      <w:tblPr>
        <w:tblW w:type="dxa" w:w="9746"/>
        <w:tblBorders>
          <w:top w:val="single" w:color="C9D4E0" w:sz="2"/>
          <w:left w:val="single" w:color="C9D4E0" w:sz="2"/>
          <w:bottom w:val="single" w:color="C9D4E0" w:sz="2"/>
          <w:right w:val="single" w:color="C9D4E0" w:sz="2"/>
          <w:insideH w:val="single" w:color="C9D4E0" w:sz="2"/>
          <w:insideV w:val="single" w:color="C9D4E0" w:sz="2"/>
        </w:tblBorders>
      </w:tblPr>
      <w:tblGrid>
        <w:gridCol w:w="426"/>
        <w:gridCol w:w="4268"/>
        <w:gridCol w:w="2845"/>
        <w:gridCol w:w="2207"/>
      </w:tblGrid>
      <w:tr>
        <w:trPr>
          <w:tblHeader/>
        </w:trPr>
        <w:tc>
          <w:tcPr>
            <w:tcW w:type="dxa" w:w="426"/>
            <w:shd w:fill="1F3A5F" w:color="auto" w:val="clear"/>
            <w:tcMar>
              <w:top w:type="dxa" w:w="60"/>
              <w:left w:type="dxa" w:w="110"/>
              <w:bottom w:type="dxa" w:w="60"/>
              <w:right w:type="dxa" w:w="110"/>
            </w:tcMar>
          </w:tcPr>
          <w:p>
            <w:pPr>
              <w:spacing w:after="0" w:before="0"/>
              <w:jc w:val="left"/>
            </w:pPr>
            <w:r>
              <w:rPr>
                <w:rFonts w:ascii="Calibri" w:cs="Calibri" w:eastAsia="Calibri" w:hAnsi="Calibri"/>
                <w:b/>
                <w:bCs/>
                <w:color w:val="FFFFFF"/>
                <w:sz w:val="18"/>
                <w:szCs w:val="18"/>
              </w:rPr>
              <w:t xml:space="preserve">Etapa</w:t>
            </w:r>
          </w:p>
        </w:tc>
        <w:tc>
          <w:tcPr>
            <w:tcW w:type="dxa" w:w="4268"/>
            <w:shd w:fill="1F3A5F" w:color="auto" w:val="clear"/>
            <w:tcMar>
              <w:top w:type="dxa" w:w="60"/>
              <w:left w:type="dxa" w:w="110"/>
              <w:bottom w:type="dxa" w:w="60"/>
              <w:right w:type="dxa" w:w="110"/>
            </w:tcMar>
          </w:tcPr>
          <w:p>
            <w:pPr>
              <w:spacing w:after="0" w:before="0"/>
              <w:jc w:val="left"/>
            </w:pPr>
            <w:r>
              <w:rPr>
                <w:rFonts w:ascii="Calibri" w:cs="Calibri" w:eastAsia="Calibri" w:hAnsi="Calibri"/>
                <w:b/>
                <w:bCs/>
                <w:color w:val="FFFFFF"/>
                <w:sz w:val="18"/>
                <w:szCs w:val="18"/>
              </w:rPr>
              <w:t xml:space="preserve">O que fazer</w:t>
            </w:r>
          </w:p>
        </w:tc>
        <w:tc>
          <w:tcPr>
            <w:tcW w:type="dxa" w:w="2845"/>
            <w:shd w:fill="1F3A5F" w:color="auto" w:val="clear"/>
            <w:tcMar>
              <w:top w:type="dxa" w:w="60"/>
              <w:left w:type="dxa" w:w="110"/>
              <w:bottom w:type="dxa" w:w="60"/>
              <w:right w:type="dxa" w:w="110"/>
            </w:tcMar>
          </w:tcPr>
          <w:p>
            <w:pPr>
              <w:spacing w:after="0" w:before="0"/>
              <w:jc w:val="left"/>
            </w:pPr>
            <w:r>
              <w:rPr>
                <w:rFonts w:ascii="Calibri" w:cs="Calibri" w:eastAsia="Calibri" w:hAnsi="Calibri"/>
                <w:b/>
                <w:bCs/>
                <w:color w:val="FFFFFF"/>
                <w:sz w:val="18"/>
                <w:szCs w:val="18"/>
              </w:rPr>
              <w:t xml:space="preserve">Quem</w:t>
            </w:r>
          </w:p>
        </w:tc>
        <w:tc>
          <w:tcPr>
            <w:tcW w:type="dxa" w:w="2207"/>
            <w:shd w:fill="1F3A5F" w:color="auto" w:val="clear"/>
            <w:tcMar>
              <w:top w:type="dxa" w:w="60"/>
              <w:left w:type="dxa" w:w="110"/>
              <w:bottom w:type="dxa" w:w="60"/>
              <w:right w:type="dxa" w:w="110"/>
            </w:tcMar>
          </w:tcPr>
          <w:p>
            <w:pPr>
              <w:spacing w:after="0" w:before="0"/>
              <w:jc w:val="left"/>
            </w:pPr>
            <w:r>
              <w:rPr>
                <w:rFonts w:ascii="Calibri" w:cs="Calibri" w:eastAsia="Calibri" w:hAnsi="Calibri"/>
                <w:b/>
                <w:bCs/>
                <w:color w:val="FFFFFF"/>
                <w:sz w:val="18"/>
                <w:szCs w:val="18"/>
              </w:rPr>
              <w:t xml:space="preserve">Entregável</w:t>
            </w:r>
          </w:p>
        </w:tc>
      </w:tr>
      <w:tr>
        <w:tc>
          <w:tcPr>
            <w:tcW w:type="dxa" w:w="426"/>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1</w:t>
            </w:r>
          </w:p>
        </w:tc>
        <w:tc>
          <w:tcPr>
            <w:tcW w:type="dxa" w:w="4268"/>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Preencher a taxonomia (2.1) — marcar o que já é feito</w:t>
            </w:r>
          </w:p>
        </w:tc>
        <w:tc>
          <w:tcPr>
            <w:tcW w:type="dxa" w:w="2845"/>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Claudia + Fabiana + Meire, separadamente</w:t>
            </w:r>
          </w:p>
        </w:tc>
        <w:tc>
          <w:tcPr>
            <w:tcW w:type="dxa" w:w="2207"/>
            <w:shd w:fill="FFFFFF"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3 listas para cruzar</w:t>
            </w:r>
          </w:p>
        </w:tc>
      </w:tr>
      <w:tr>
        <w:tc>
          <w:tcPr>
            <w:tcW w:type="dxa" w:w="426"/>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2</w:t>
            </w:r>
          </w:p>
        </w:tc>
        <w:tc>
          <w:tcPr>
            <w:tcW w:type="dxa" w:w="4268"/>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Preencher a planilha de medição (2.2) para tudo marcado</w:t>
            </w:r>
          </w:p>
        </w:tc>
        <w:tc>
          <w:tcPr>
            <w:tcW w:type="dxa" w:w="2845"/>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As três juntas</w:t>
            </w:r>
          </w:p>
        </w:tc>
        <w:tc>
          <w:tcPr>
            <w:tcW w:type="dxa" w:w="2207"/>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Custo anual oculto por cliente</w:t>
            </w:r>
          </w:p>
        </w:tc>
      </w:tr>
      <w:tr>
        <w:tc>
          <w:tcPr>
            <w:tcW w:type="dxa" w:w="426"/>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3</w:t>
            </w:r>
          </w:p>
        </w:tc>
        <w:tc>
          <w:tcPr>
            <w:tcW w:type="dxa" w:w="4268"/>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Levantar a base: nº de clientes, ticket anual, quem consome mais</w:t>
            </w:r>
          </w:p>
        </w:tc>
        <w:tc>
          <w:tcPr>
            <w:tcW w:type="dxa" w:w="2845"/>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Claudia</w:t>
            </w:r>
          </w:p>
        </w:tc>
        <w:tc>
          <w:tcPr>
            <w:tcW w:type="dxa" w:w="2207"/>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Segmentação da base</w:t>
            </w:r>
          </w:p>
        </w:tc>
      </w:tr>
      <w:tr>
        <w:tc>
          <w:tcPr>
            <w:tcW w:type="dxa" w:w="426"/>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4</w:t>
            </w:r>
          </w:p>
        </w:tc>
        <w:tc>
          <w:tcPr>
            <w:tcW w:type="dxa" w:w="4268"/>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Levantar o custo direto de cada serviço do catálogo</w:t>
            </w:r>
          </w:p>
        </w:tc>
        <w:tc>
          <w:tcPr>
            <w:tcW w:type="dxa" w:w="2845"/>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Claudia</w:t>
            </w:r>
          </w:p>
        </w:tc>
        <w:tc>
          <w:tcPr>
            <w:tcW w:type="dxa" w:w="2207"/>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Margem real por serviço</w:t>
            </w:r>
          </w:p>
        </w:tc>
      </w:tr>
      <w:tr>
        <w:tc>
          <w:tcPr>
            <w:tcW w:type="dxa" w:w="426"/>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5</w:t>
            </w:r>
          </w:p>
        </w:tc>
        <w:tc>
          <w:tcPr>
            <w:tcW w:type="dxa" w:w="4268"/>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Aplicar a regra de decisão (2.3)</w:t>
            </w:r>
          </w:p>
        </w:tc>
        <w:tc>
          <w:tcPr>
            <w:tcW w:type="dxa" w:w="2845"/>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Sessão com Claude</w:t>
            </w:r>
          </w:p>
        </w:tc>
        <w:tc>
          <w:tcPr>
            <w:tcW w:type="dxa" w:w="2207"/>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Alocação dos serviços por nível</w:t>
            </w:r>
          </w:p>
        </w:tc>
      </w:tr>
      <w:tr>
        <w:tc>
          <w:tcPr>
            <w:tcW w:type="dxa" w:w="426"/>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6</w:t>
            </w:r>
          </w:p>
        </w:tc>
        <w:tc>
          <w:tcPr>
            <w:tcW w:type="dxa" w:w="4268"/>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Definir preços e testar cenários</w:t>
            </w:r>
          </w:p>
        </w:tc>
        <w:tc>
          <w:tcPr>
            <w:tcW w:type="dxa" w:w="2845"/>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Sessão com Claude</w:t>
            </w:r>
          </w:p>
        </w:tc>
        <w:tc>
          <w:tcPr>
            <w:tcW w:type="dxa" w:w="2207"/>
            <w:shd w:fill="F2F5F8" w:color="auto" w:val="clear"/>
            <w:tcMar>
              <w:top w:type="dxa" w:w="60"/>
              <w:left w:type="dxa" w:w="110"/>
              <w:bottom w:type="dxa" w:w="60"/>
              <w:right w:type="dxa" w:w="110"/>
            </w:tcMar>
          </w:tcPr>
          <w:p>
            <w:pPr>
              <w:spacing w:after="0" w:before="0"/>
              <w:jc w:val="right"/>
            </w:pPr>
            <w:r>
              <w:rPr>
                <w:rFonts w:ascii="Calibri" w:cs="Calibri" w:eastAsia="Calibri" w:hAnsi="Calibri"/>
                <w:b w:val="false"/>
                <w:bCs w:val="false"/>
                <w:color w:val="000000"/>
                <w:sz w:val="18"/>
                <w:szCs w:val="18"/>
              </w:rPr>
              <w:t xml:space="preserve">3 planos com preço</w:t>
            </w:r>
          </w:p>
        </w:tc>
      </w:tr>
      <w:tr>
        <w:tc>
          <w:tcPr>
            <w:tcW w:type="dxa" w:w="426"/>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7</w:t>
            </w:r>
          </w:p>
        </w:tc>
        <w:tc>
          <w:tcPr>
            <w:tcW w:type="dxa" w:w="4268"/>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Reescrever a seção "Não incluído" por nível</w:t>
            </w:r>
          </w:p>
        </w:tc>
        <w:tc>
          <w:tcPr>
            <w:tcW w:type="dxa" w:w="2845"/>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Sessão com Claude</w:t>
            </w:r>
          </w:p>
        </w:tc>
        <w:tc>
          <w:tcPr>
            <w:tcW w:type="dxa" w:w="2207"/>
            <w:shd w:fill="FFFFFF"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Texto novo da proposta</w:t>
            </w:r>
          </w:p>
        </w:tc>
      </w:tr>
      <w:tr>
        <w:tc>
          <w:tcPr>
            <w:tcW w:type="dxa" w:w="426"/>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8</w:t>
            </w:r>
          </w:p>
        </w:tc>
        <w:tc>
          <w:tcPr>
            <w:tcW w:type="dxa" w:w="4268"/>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Plano de transição da base atual</w:t>
            </w:r>
          </w:p>
        </w:tc>
        <w:tc>
          <w:tcPr>
            <w:tcW w:type="dxa" w:w="2845"/>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Claudia + Claude</w:t>
            </w:r>
          </w:p>
        </w:tc>
        <w:tc>
          <w:tcPr>
            <w:tcW w:type="dxa" w:w="2207"/>
            <w:shd w:fill="F2F5F8" w:color="auto" w:val="clear"/>
            <w:tcMar>
              <w:top w:type="dxa" w:w="60"/>
              <w:left w:type="dxa" w:w="110"/>
              <w:bottom w:type="dxa" w:w="60"/>
              <w:right w:type="dxa" w:w="110"/>
            </w:tcMar>
          </w:tcPr>
          <w:p>
            <w:pPr>
              <w:spacing w:after="0" w:before="0"/>
              <w:jc w:val="left"/>
            </w:pPr>
            <w:r>
              <w:rPr>
                <w:rFonts w:ascii="Calibri" w:cs="Calibri" w:eastAsia="Calibri" w:hAnsi="Calibri"/>
                <w:b w:val="false"/>
                <w:bCs w:val="false"/>
                <w:color w:val="000000"/>
                <w:sz w:val="18"/>
                <w:szCs w:val="18"/>
              </w:rPr>
              <w:t xml:space="preserve">Roteiro de migração</w:t>
            </w:r>
          </w:p>
        </w:tc>
      </w:tr>
    </w:tbl>
    <w:p>
      <w:pPr>
        <w:spacing w:after="200"/>
      </w:pPr>
      <w:r>
        <w:t xml:space="preserve"/>
      </w:r>
    </w:p>
    <w:p>
      <w:pPr>
        <w:pBdr>
          <w:left w:val="single" w:color="B8C6D6" w:sz="14" w:space="10"/>
        </w:pBdr>
        <w:spacing w:after="0" w:before="120"/>
        <w:ind w:left="340"/>
      </w:pPr>
      <w:r>
        <w:rPr>
          <w:rFonts w:ascii="Calibri" w:cs="Calibri" w:eastAsia="Calibri" w:hAnsi="Calibri"/>
          <w:i/>
          <w:iCs/>
          <w:color w:val="595959"/>
          <w:sz w:val="19"/>
          <w:szCs w:val="19"/>
        </w:rPr>
        <w:t xml:space="preserve">Etapas 1 a 4 são levantamento e dependem só da FGC. Nada de útil sai da</w:t>
      </w:r>
    </w:p>
    <w:p>
      <w:pPr>
        <w:pBdr>
          <w:left w:val="single" w:color="B8C6D6" w:sz="14" w:space="10"/>
        </w:pBdr>
        <w:spacing w:after="160" w:before="0"/>
        <w:ind w:left="340"/>
      </w:pPr>
      <w:r>
        <w:rPr>
          <w:rFonts w:ascii="Calibri" w:cs="Calibri" w:eastAsia="Calibri" w:hAnsi="Calibri"/>
          <w:i/>
          <w:iCs/>
          <w:color w:val="595959"/>
          <w:sz w:val="19"/>
          <w:szCs w:val="19"/>
        </w:rPr>
        <w:t xml:space="preserve">etapa 5 em diante sem esses dados. </w:t>
      </w:r>
      <w:r>
        <w:rPr>
          <w:rFonts w:ascii="Calibri" w:cs="Calibri" w:eastAsia="Calibri" w:hAnsi="Calibri"/>
          <w:b/>
          <w:bCs/>
          <w:i/>
          <w:iCs/>
          <w:color w:val="595959"/>
          <w:sz w:val="19"/>
          <w:szCs w:val="19"/>
        </w:rPr>
        <w:t xml:space="preserve">Não vale pular.</w:t>
      </w:r>
    </w:p>
    <w:p>
      <w:pPr>
        <w:pBdr>
          <w:bottom w:val="single" w:color="C9D4E0" w:sz="6" w:space="1"/>
        </w:pBdr>
        <w:spacing w:after="200" w:before="160"/>
      </w:pPr>
      <w:r>
        <w:t xml:space="preserve"/>
      </w:r>
    </w:p>
    <w:p>
      <w:r>
        <w:br w:type="page"/>
      </w:r>
    </w:p>
    <w:p>
      <w:pPr>
        <w:pStyle w:val="Heading1"/>
        <w:spacing w:after="200" w:before="240"/>
      </w:pPr>
      <w:r>
        <w:rPr>
          <w:rFonts w:ascii="Calibri" w:cs="Calibri" w:eastAsia="Calibri" w:hAnsi="Calibri"/>
          <w:b/>
          <w:bCs/>
          <w:color w:val="1F3A5F"/>
          <w:sz w:val="34"/>
          <w:szCs w:val="34"/>
        </w:rPr>
        <w:t xml:space="preserve">PARTE 3 — Prompts prontos</w:t>
      </w:r>
    </w:p>
    <w:p>
      <w:pPr>
        <w:pBdr>
          <w:bottom w:val="single" w:color="2E6DA4" w:sz="12" w:space="2"/>
        </w:pBdr>
        <w:spacing w:after="200"/>
      </w:pPr>
      <w:r>
        <w:t xml:space="preserve"/>
      </w:r>
    </w:p>
    <w:p>
      <w:pPr>
        <w:pStyle w:val="Heading2"/>
        <w:spacing w:after="140" w:before="340"/>
      </w:pPr>
      <w:r>
        <w:rPr>
          <w:rFonts w:ascii="Calibri" w:cs="Calibri" w:eastAsia="Calibri" w:hAnsi="Calibri"/>
          <w:b/>
          <w:bCs/>
          <w:color w:val="1F3A5F"/>
          <w:sz w:val="26"/>
          <w:szCs w:val="26"/>
        </w:rPr>
        <w:t xml:space="preserve">Prompt 1 — Levantamento dos serviços ocultos</w:t>
      </w:r>
    </w:p>
    <w:p>
      <w:pPr>
        <w:spacing w:after="120" w:before="60"/>
      </w:pPr>
      <w:r>
        <w:rPr>
          <w:rFonts w:ascii="Calibri" w:cs="Calibri" w:eastAsia="Calibri" w:hAnsi="Calibri"/>
          <w:color w:val="000000"/>
          <w:sz w:val="20"/>
          <w:szCs w:val="20"/>
        </w:rPr>
        <w:t xml:space="preserve">Usar primeiro, junto com este documento. Serve para a Claudia fazer o</w:t>
      </w:r>
    </w:p>
    <w:p>
      <w:pPr>
        <w:spacing w:after="120" w:before="60"/>
      </w:pPr>
      <w:r>
        <w:rPr>
          <w:rFonts w:ascii="Calibri" w:cs="Calibri" w:eastAsia="Calibri" w:hAnsi="Calibri"/>
          <w:color w:val="000000"/>
          <w:sz w:val="20"/>
          <w:szCs w:val="20"/>
        </w:rPr>
        <w:t xml:space="preserve">levantamento conversando, em vez de encarar uma planilha em branco.</w:t>
      </w:r>
    </w:p>
    <w:p>
      <w:pPr>
        <w:pBdr>
          <w:left w:val="single" w:color="2E6DA4" w:sz="12" w:space="6"/>
        </w:pBdr>
        <w:shd w:fill="F6F8FA" w:color="auto" w:val="clear"/>
        <w:spacing w:after="0" w:before="120"/>
        <w:ind w:left="240" w:right="240"/>
      </w:pPr>
      <w:r>
        <w:rPr>
          <w:rFonts w:ascii="Consolas" w:cs="Consolas" w:eastAsia="Consolas" w:hAnsi="Consolas"/>
          <w:color w:val="24292E"/>
          <w:sz w:val="16"/>
          <w:szCs w:val="16"/>
        </w:rPr>
        <w:t xml:space="preserve">Você é consultor de pricing da FGC Advisors, empresa de estruturação societária</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internacional (BVI, Bahamas, Cayman, Nevis e LLCs americanas) que atende</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famílias e empresários brasileiros.</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Anexo o catálogo completo dos serviços que a FGC vende hoje, exportado do</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gerador de propostas.</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PROBLEMA</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Existe um conjunto grande de serviços que a FGC entrega e não cobra:</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acompanhamento, reuniões, coordenação com contador e advogado, respostas</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contínuas, certidões, atas. Nada disso está no catálogo. O cliente recebe,</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não sabe que recebe, e por isso não atribui valor.</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SUA TAREFA NESTA CONVERSA</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Me entrevistar para mapear esses serviços. Use a taxonomia da Parte 2.1 do</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documento anexo (6 famílias: relacionamento, coordenação com terceiros,</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documentos avulsos, compliance contínuo, eventos de vida, educação).</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COMO CONDUZIR</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Uma família por vez. Não pule para a próxima sem fechar a anterior.</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Para cada serviço que eu confirmar, me pergunte: quem executa, quanto tempo</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leva, quantas vezes por ano, qual % dos clientes usa, e qual o gatilho.</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Se eu der uma resposta vaga ("depende", "às vezes"), insista com uma</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pergunta mais específica. Não aceite estimativa genérica.</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Me lembre dos serviços que empresas parecidas costumam entregar de graça e</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que eu posso não ter lembrado.</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Ao fim de cada família, me devolva a tabela preenchida para eu revisar.</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NÃO FAÇA AINDA</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Não proponha planos, não sugira preços, não desenhe pacotes. Esta conversa é</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só levantamento. A precificação vem depois, em outra sessão.</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REGRA</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Não invente números. Se eu não souber um dado, marque como "a levantar" e</w:t>
      </w:r>
    </w:p>
    <w:p>
      <w:pPr>
        <w:pBdr>
          <w:left w:val="single" w:color="2E6DA4" w:sz="12" w:space="6"/>
        </w:pBdr>
        <w:shd w:fill="F6F8FA" w:color="auto" w:val="clear"/>
        <w:spacing w:after="160" w:before="0"/>
        <w:ind w:left="240" w:right="240"/>
      </w:pPr>
      <w:r>
        <w:rPr>
          <w:rFonts w:ascii="Consolas" w:cs="Consolas" w:eastAsia="Consolas" w:hAnsi="Consolas"/>
          <w:color w:val="24292E"/>
          <w:sz w:val="16"/>
          <w:szCs w:val="16"/>
        </w:rPr>
        <w:t xml:space="preserve">siga em frente.</w:t>
      </w:r>
    </w:p>
    <w:p>
      <w:pPr>
        <w:pStyle w:val="Heading2"/>
        <w:spacing w:after="140" w:before="340"/>
      </w:pPr>
      <w:r>
        <w:rPr>
          <w:rFonts w:ascii="Calibri" w:cs="Calibri" w:eastAsia="Calibri" w:hAnsi="Calibri"/>
          <w:b/>
          <w:bCs/>
          <w:color w:val="1F3A5F"/>
          <w:sz w:val="26"/>
          <w:szCs w:val="26"/>
        </w:rPr>
        <w:t xml:space="preserve">Prompt 2 — Desenho dos planos e precificação</w:t>
      </w:r>
    </w:p>
    <w:p>
      <w:pPr>
        <w:spacing w:after="120" w:before="60"/>
      </w:pPr>
      <w:r>
        <w:rPr>
          <w:rFonts w:ascii="Calibri" w:cs="Calibri" w:eastAsia="Calibri" w:hAnsi="Calibri"/>
          <w:color w:val="000000"/>
          <w:sz w:val="20"/>
          <w:szCs w:val="20"/>
        </w:rPr>
        <w:t xml:space="preserve">Usar só depois que o levantamento do Prompt 1 estiver pronto. Anexar os dois:</w:t>
      </w:r>
    </w:p>
    <w:p>
      <w:pPr>
        <w:spacing w:after="120" w:before="60"/>
      </w:pPr>
      <w:r>
        <w:rPr>
          <w:rFonts w:ascii="Calibri" w:cs="Calibri" w:eastAsia="Calibri" w:hAnsi="Calibri"/>
          <w:color w:val="000000"/>
          <w:sz w:val="20"/>
          <w:szCs w:val="20"/>
        </w:rPr>
        <w:t xml:space="preserve">este catálogo + o resultado do levantamento.</w:t>
      </w:r>
    </w:p>
    <w:p>
      <w:pPr>
        <w:pBdr>
          <w:left w:val="single" w:color="2E6DA4" w:sz="12" w:space="6"/>
        </w:pBdr>
        <w:shd w:fill="F6F8FA" w:color="auto" w:val="clear"/>
        <w:spacing w:after="0" w:before="120"/>
        <w:ind w:left="240" w:right="240"/>
      </w:pPr>
      <w:r>
        <w:rPr>
          <w:rFonts w:ascii="Consolas" w:cs="Consolas" w:eastAsia="Consolas" w:hAnsi="Consolas"/>
          <w:color w:val="24292E"/>
          <w:sz w:val="16"/>
          <w:szCs w:val="16"/>
        </w:rPr>
        <w:t xml:space="preserve">Você é consultor de pricing e packaging para a FGC Advisors, empresa de</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estruturação societária internacional (BVI, Bahamas, Cayman, Nevis e LLCs</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americanas) que atende famílias e empresários brasileiros.</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ANEXOS</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1. Catálogo completo de serviços e valores atuais (exportado do gerador)</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2. Levantamento dos serviços ocultos, com horas, frequência e custo</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OBJETIVO</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Desenhar planos em níveis onde fique explícito o que está incluído E o que não</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está. A analogia que a cliente usa: academia. O plano básico dá acesso às</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aulas; a sauna é do plano superior ou se paga à parte. O ponto é criar valor</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percebido através de acesso diferenciado.</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ENTREGÁVEIS</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1. ALOCAÇÃO</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Distribuir todos os serviços — os 73 do catálogo e os ocultos do</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levantamento — entre: incluso no plano base, incluso em nível superior, ou</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sempre avulso. Justificar cada decisão com o dado de custo e frequência.</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2. TRÊS PLANOS</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Sugestão de nomes: Essencial / Avançado / Private. Para cada um:</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 Serviços inclusos (lista fechada)</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 Concierge incluso: nº de reuniões, tempo de resposta, horas de</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coordenação com terceiros</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 O que explicitamente NÃO está incluso</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 Preço anual em USD e a conta que chega nele</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 Qual perfil de cliente da base atual se encaixa</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3. PRECIFICAÇÃO DO CONCIERGE</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Metodologia, não chute. Custo em horas, valor percebido, e qual o modelo de</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cobrança: embutido no plano, taxa de acesso, ou pacote de horas. Mostre a</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conta.</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4. RESOLVER OS SERVIÇOS SEM PREÇO</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O catálogo tem 8 serviços de reestruturação sem preço fixo (inclusão de</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diretor, inclusão de sócio, share certificate, joint tenancy, governança</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corporativa, classe de ações, múltiplas jurisdições, novo sócio) e mais os</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itens de FS/TR por terceiros e DCBE. Propor faixa de preço para cada um ou</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transformar em benefício de nível superior.</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5. NOVA SEÇÃO "NÃO INCLUÍDO"</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Reescrever como tabela comparativa por nível. Hoje é uma cláusula genérica</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de 6 linhas que só protege a FGC juridicamente e não gera valor percebido.</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6. ANÁLISE DE MARGEM</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Com o custo direto e o custo oculto, mostrar a margem real de cada plano.</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Apontar onde a FGC está no vermelho hoje sem saber.</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7. RISCOS E TRANSIÇÃO</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Onde a mudança gera atrito com a base atual. Como migrar quem já é cliente.</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O que fazer com quem vai reclamar de estar pagando por algo que era de</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graça.</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REGRAS</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Não invente números que não estejam nos anexos. Se faltar dado, pergunte.</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Seja específico: USD, nº de reuniões, prazos em dias úteis.</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A base é brasileira, sensível a preço, mas compra estruturas de USD 3.000</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a USD 15.000+.</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As propostas são formais e técnicas, em português, espanhol e inglês.</w:t>
      </w:r>
    </w:p>
    <w:p>
      <w:pPr>
        <w:pBdr>
          <w:left w:val="single" w:color="2E6DA4" w:sz="12" w:space="6"/>
        </w:pBdr>
        <w:shd w:fill="F6F8FA" w:color="auto" w:val="clear"/>
        <w:spacing w:after="0" w:before="0"/>
        <w:ind w:left="240" w:right="240"/>
      </w:pPr>
      <w:r>
        <w:rPr>
          <w:rFonts w:ascii="Consolas" w:cs="Consolas" w:eastAsia="Consolas" w:hAnsi="Consolas"/>
          <w:color w:val="24292E"/>
          <w:sz w:val="16"/>
          <w:szCs w:val="16"/>
        </w:rPr>
        <w:t xml:space="preserve">- Pense em receita recorrente, não em venda única. O valor está na</w:t>
      </w:r>
    </w:p>
    <w:p>
      <w:pPr>
        <w:pBdr>
          <w:left w:val="single" w:color="2E6DA4" w:sz="12" w:space="6"/>
        </w:pBdr>
        <w:shd w:fill="F6F8FA" w:color="auto" w:val="clear"/>
        <w:spacing w:after="160" w:before="0"/>
        <w:ind w:left="240" w:right="240"/>
      </w:pPr>
      <w:r>
        <w:rPr>
          <w:rFonts w:ascii="Consolas" w:cs="Consolas" w:eastAsia="Consolas" w:hAnsi="Consolas"/>
          <w:color w:val="24292E"/>
          <w:sz w:val="16"/>
          <w:szCs w:val="16"/>
        </w:rPr>
        <w:t xml:space="preserve">  manutenção e na contabilidade, não na constituição.</w:t>
      </w:r>
    </w:p>
    <w:p>
      <w:pPr>
        <w:pBdr>
          <w:bottom w:val="single" w:color="C9D4E0" w:sz="6" w:space="1"/>
        </w:pBdr>
        <w:spacing w:after="200" w:before="160"/>
      </w:pPr>
      <w:r>
        <w:t xml:space="preserve"/>
      </w:r>
    </w:p>
    <w:p>
      <w:pPr>
        <w:pStyle w:val="Heading2"/>
        <w:spacing w:after="140" w:before="340"/>
      </w:pPr>
      <w:r>
        <w:rPr>
          <w:rFonts w:ascii="Calibri" w:cs="Calibri" w:eastAsia="Calibri" w:hAnsi="Calibri"/>
          <w:b/>
          <w:bCs/>
          <w:color w:val="1F3A5F"/>
          <w:sz w:val="26"/>
          <w:szCs w:val="26"/>
        </w:rPr>
        <w:t xml:space="preserve">Nota técnica — correção aplicada</w:t>
      </w:r>
    </w:p>
    <w:p>
      <w:pPr>
        <w:spacing w:after="120" w:before="60"/>
      </w:pPr>
      <w:r>
        <w:rPr>
          <w:rFonts w:ascii="Calibri" w:cs="Calibri" w:eastAsia="Calibri" w:hAnsi="Calibri"/>
          <w:color w:val="000000"/>
          <w:sz w:val="20"/>
          <w:szCs w:val="20"/>
        </w:rPr>
        <w:t xml:space="preserve">A chave </w:t>
      </w:r>
      <w:r>
        <w:rPr>
          <w:rFonts w:ascii="Consolas" w:cs="Consolas" w:eastAsia="Consolas" w:hAnsi="Consolas"/>
          <w:color w:val="2E6DA4"/>
          <w:sz w:val="18"/>
          <w:szCs w:val="18"/>
        </w:rPr>
        <w:t xml:space="preserve">wi</w:t>
      </w:r>
      <w:r>
        <w:rPr>
          <w:rFonts w:ascii="Calibri" w:cs="Calibri" w:eastAsia="Calibri" w:hAnsi="Calibri"/>
          <w:color w:val="000000"/>
          <w:sz w:val="20"/>
          <w:szCs w:val="20"/>
        </w:rPr>
        <w:t xml:space="preserve"> aparecia como "Wisconsin LLC" em constituição, manutenção e</w:t>
      </w:r>
    </w:p>
    <w:p>
      <w:pPr>
        <w:spacing w:after="120" w:before="60"/>
      </w:pPr>
      <w:r>
        <w:rPr>
          <w:rFonts w:ascii="Calibri" w:cs="Calibri" w:eastAsia="Calibri" w:hAnsi="Calibri"/>
          <w:color w:val="000000"/>
          <w:sz w:val="20"/>
          <w:szCs w:val="20"/>
        </w:rPr>
        <w:t xml:space="preserve">transferência, mas como "Wyoming LLC" em dissolução, nos três idiomas.</w:t>
      </w:r>
    </w:p>
    <w:p>
      <w:pPr>
        <w:spacing w:after="120" w:before="60"/>
      </w:pPr>
      <w:r>
        <w:rPr>
          <w:rFonts w:ascii="Calibri" w:cs="Calibri" w:eastAsia="Calibri" w:hAnsi="Calibri"/>
          <w:b/>
          <w:bCs/>
          <w:color w:val="000000"/>
          <w:sz w:val="20"/>
          <w:szCs w:val="20"/>
        </w:rPr>
        <w:t xml:space="preserve">Corrigido para Wisconsin em todos os lugares</w:t>
      </w:r>
      <w:r>
        <w:rPr>
          <w:rFonts w:ascii="Calibri" w:cs="Calibri" w:eastAsia="Calibri" w:hAnsi="Calibri"/>
          <w:color w:val="000000"/>
          <w:sz w:val="20"/>
          <w:szCs w:val="20"/>
        </w:rPr>
        <w:t xml:space="preserve"> (commit </w:t>
      </w:r>
      <w:r>
        <w:rPr>
          <w:rFonts w:ascii="Consolas" w:cs="Consolas" w:eastAsia="Consolas" w:hAnsi="Consolas"/>
          <w:color w:val="2E6DA4"/>
          <w:sz w:val="18"/>
          <w:szCs w:val="18"/>
        </w:rPr>
        <w:t xml:space="preserve">17ccf06</w:t>
      </w:r>
      <w:r>
        <w:rPr>
          <w:rFonts w:ascii="Calibri" w:cs="Calibri" w:eastAsia="Calibri" w:hAnsi="Calibri"/>
          <w:color w:val="000000"/>
          <w:sz w:val="20"/>
          <w:szCs w:val="20"/>
        </w:rPr>
        <w:t xml:space="preserve">, já no ar).</w:t>
      </w:r>
    </w:p>
    <w:p>
      <w:pPr>
        <w:spacing w:after="120" w:before="60"/>
      </w:pPr>
      <w:r>
        <w:rPr>
          <w:rFonts w:ascii="Calibri" w:cs="Calibri" w:eastAsia="Calibri" w:hAnsi="Calibri"/>
          <w:color w:val="000000"/>
          <w:sz w:val="20"/>
          <w:szCs w:val="20"/>
        </w:rPr>
        <w:t xml:space="preserve">Os valores deste catálogo já refletem a correção.</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95959"/>
        <w:sz w:val="15"/>
        <w:szCs w:val="15"/>
      </w:rPr>
      <w:t xml:space="preserve">Página </w:t>
    </w:r>
    <w:r>
      <w:rPr>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4E0" w:sz="4" w:space="4"/>
      </w:pBdr>
      <w:spacing w:after="120"/>
    </w:pPr>
    <w:r>
      <w:rPr>
        <w:color w:val="595959"/>
        <w:sz w:val="15"/>
        <w:szCs w:val="15"/>
      </w:rPr>
      <w:t xml:space="preserve">FGC Advisors  ·  Catálogo de Serviços e Projeto de Pacotes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color w:val="2E6DA4"/>
      </w:rPr>
    </w:lvl>
  </w:abstractNum>
  <w:abstractNum w:abstractNumId="3" w15:restartNumberingAfterBreak="0">
    <w:multiLevelType w:val="hybridMultilevel"/>
    <w:lvl w:ilvl="0" w15:tentative="1">
      <w:start w:val="1"/>
      <w:numFmt w:val="decimal"/>
      <w:lvlText w:val="%1."/>
      <w:lvlJc w:val="left"/>
      <w:pPr>
        <w:ind w:left="380" w:hanging="240"/>
      </w:pPr>
      <w:rPr>
        <w:b/>
        <w:bCs/>
        <w:color w:val="2E6DA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FGC — Catálogo de Serviços e Valores</dc:title>
  <dc:creator>FGC Advisors</dc:creator>
  <dc:description>Export do Gerador de Propostas v2 + framework de pacotes</dc:description>
  <cp:lastModifiedBy>Un-named</cp:lastModifiedBy>
  <cp:revision>1</cp:revision>
  <dcterms:created xsi:type="dcterms:W3CDTF">2026-09-11T00:14:59.220Z</dcterms:created>
  <dcterms:modified xsi:type="dcterms:W3CDTF">2026-09-11T00:14:59.225Z</dcterms:modified>
</cp:coreProperties>
</file>

<file path=docProps/custom.xml><?xml version="1.0" encoding="utf-8"?>
<Properties xmlns="http://schemas.openxmlformats.org/officeDocument/2006/custom-properties" xmlns:vt="http://schemas.openxmlformats.org/officeDocument/2006/docPropsVTypes"/>
</file>