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3C31F" w14:textId="77777777" w:rsidR="00B613B5" w:rsidRPr="0048735E" w:rsidRDefault="00516DD4">
      <w:pPr>
        <w:pStyle w:val="Title"/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Pigeon Guillemot Data Exploration - Whidbey</w:t>
      </w:r>
    </w:p>
    <w:p w14:paraId="07C163E4" w14:textId="77777777" w:rsidR="00B613B5" w:rsidRPr="0048735E" w:rsidRDefault="00516DD4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data-availability-and-status"/>
      <w:bookmarkEnd w:id="0"/>
      <w:r w:rsidRPr="0048735E">
        <w:rPr>
          <w:rFonts w:ascii="Times New Roman" w:hAnsi="Times New Roman" w:cs="Times New Roman"/>
          <w:color w:val="000000" w:themeColor="text1"/>
        </w:rPr>
        <w:t>Data Availability and Status</w:t>
      </w:r>
    </w:p>
    <w:p w14:paraId="2121DD53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" w:name="adult-counts"/>
      <w:bookmarkEnd w:id="1"/>
      <w:r w:rsidRPr="0048735E">
        <w:rPr>
          <w:rFonts w:ascii="Times New Roman" w:hAnsi="Times New Roman" w:cs="Times New Roman"/>
          <w:color w:val="000000" w:themeColor="text1"/>
        </w:rPr>
        <w:t>Adult counts</w:t>
      </w:r>
    </w:p>
    <w:p w14:paraId="2B34752C" w14:textId="77777777" w:rsidR="00B613B5" w:rsidRPr="0048735E" w:rsidRDefault="0048735E">
      <w:pPr>
        <w:pStyle w:val="Compact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2008-2017 Whidbey</w:t>
      </w:r>
    </w:p>
    <w:p w14:paraId="167FDF6B" w14:textId="77777777" w:rsidR="00B613B5" w:rsidRPr="0048735E" w:rsidRDefault="00516DD4">
      <w:pPr>
        <w:pStyle w:val="Compact"/>
        <w:numPr>
          <w:ilvl w:val="0"/>
          <w:numId w:val="4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Have added intern counts for 2010, 2011, 2012 at Rolling Hills (multiple counts/day, once/week);</w:t>
      </w:r>
    </w:p>
    <w:p w14:paraId="42AADBD2" w14:textId="77777777" w:rsidR="00B613B5" w:rsidRPr="0048735E" w:rsidRDefault="00516DD4">
      <w:pPr>
        <w:pStyle w:val="Compact"/>
        <w:numPr>
          <w:ilvl w:val="0"/>
          <w:numId w:val="4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Still need to compile same years at Mutiny Sands and Harrington N/S and Shore Meadows</w:t>
      </w:r>
    </w:p>
    <w:p w14:paraId="2FBFD9DD" w14:textId="4F13A7E8" w:rsidR="00B613B5" w:rsidRPr="0048735E" w:rsidRDefault="00516DD4" w:rsidP="0048735E">
      <w:pPr>
        <w:numPr>
          <w:ilvl w:val="0"/>
          <w:numId w:val="4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Intern data are different depending on the intern</w:t>
      </w:r>
      <w:r w:rsidRPr="0048735E">
        <w:rPr>
          <w:rFonts w:cs="Times New Roman"/>
          <w:color w:val="000000" w:themeColor="text1"/>
        </w:rPr>
        <w:t xml:space="preserve">/year. </w:t>
      </w:r>
      <w:r w:rsidRPr="0048735E">
        <w:rPr>
          <w:rFonts w:cs="Times New Roman"/>
          <w:color w:val="000000" w:themeColor="text1"/>
        </w:rPr>
        <w:t xml:space="preserve">2010-2012 is timed counts for 4-5 hours, more recent years are one count per day but multiple survey days per week. </w:t>
      </w:r>
    </w:p>
    <w:p w14:paraId="6E15AD34" w14:textId="77777777" w:rsidR="00B613B5" w:rsidRPr="0048735E" w:rsidRDefault="00516DD4">
      <w:pPr>
        <w:pStyle w:val="Compact"/>
        <w:numPr>
          <w:ilvl w:val="0"/>
          <w:numId w:val="4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South Sound: Terence's intern is working on it.</w:t>
      </w:r>
    </w:p>
    <w:p w14:paraId="50A28D64" w14:textId="77777777" w:rsidR="00B613B5" w:rsidRPr="0048735E" w:rsidRDefault="00516DD4">
      <w:pPr>
        <w:numPr>
          <w:ilvl w:val="0"/>
          <w:numId w:val="4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 xml:space="preserve">Sequim: spoke with Ed and Jeff - </w:t>
      </w:r>
      <w:r w:rsidRPr="0048735E">
        <w:rPr>
          <w:rFonts w:cs="Times New Roman"/>
          <w:color w:val="000000" w:themeColor="text1"/>
        </w:rPr>
        <w:t>must be pulled from website (Ryan)</w:t>
      </w:r>
    </w:p>
    <w:p w14:paraId="07170595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" w:name="prey-deliveriesnest-survival"/>
      <w:bookmarkEnd w:id="2"/>
      <w:r w:rsidRPr="0048735E">
        <w:rPr>
          <w:rFonts w:ascii="Times New Roman" w:hAnsi="Times New Roman" w:cs="Times New Roman"/>
          <w:color w:val="000000" w:themeColor="text1"/>
        </w:rPr>
        <w:t>Prey deliveries/nest survival</w:t>
      </w:r>
    </w:p>
    <w:p w14:paraId="193DC6D9" w14:textId="77777777" w:rsidR="00B613B5" w:rsidRPr="0048735E" w:rsidRDefault="00516DD4">
      <w:pPr>
        <w:pStyle w:val="Compact"/>
        <w:numPr>
          <w:ilvl w:val="0"/>
          <w:numId w:val="5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200</w:t>
      </w:r>
      <w:r w:rsidR="0048735E">
        <w:rPr>
          <w:rFonts w:cs="Times New Roman"/>
          <w:color w:val="000000" w:themeColor="text1"/>
        </w:rPr>
        <w:t>8-2014: needs a lot of checking</w:t>
      </w:r>
    </w:p>
    <w:p w14:paraId="720242A1" w14:textId="77777777" w:rsidR="00B613B5" w:rsidRPr="0048735E" w:rsidRDefault="00516DD4">
      <w:pPr>
        <w:pStyle w:val="Compact"/>
        <w:numPr>
          <w:ilvl w:val="0"/>
          <w:numId w:val="5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2015-2017: must be compiled by hand (Ryan)</w:t>
      </w:r>
    </w:p>
    <w:p w14:paraId="5BC3057C" w14:textId="06199A1A" w:rsidR="00B613B5" w:rsidRPr="0048735E" w:rsidRDefault="00516DD4">
      <w:pPr>
        <w:pStyle w:val="Compact"/>
        <w:numPr>
          <w:ilvl w:val="0"/>
          <w:numId w:val="5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Intern data 2010-2012 does not contain non-prey visits (VB), which means it is hard to confirm the survey starte</w:t>
      </w:r>
      <w:r w:rsidRPr="0048735E">
        <w:rPr>
          <w:rFonts w:cs="Times New Roman"/>
          <w:color w:val="000000" w:themeColor="text1"/>
        </w:rPr>
        <w:t>d before prey we</w:t>
      </w:r>
      <w:r w:rsidR="0048735E">
        <w:rPr>
          <w:rFonts w:cs="Times New Roman"/>
          <w:color w:val="000000" w:themeColor="text1"/>
        </w:rPr>
        <w:t>re being delivered. When they calculated % fledgling success for 2008-2013, they used a</w:t>
      </w:r>
      <w:r w:rsidRPr="0048735E">
        <w:rPr>
          <w:rFonts w:cs="Times New Roman"/>
          <w:color w:val="000000" w:themeColor="text1"/>
        </w:rPr>
        <w:t xml:space="preserve"> 3-week delivery criteria for a successful fledge. I'm thinking we can improve on that, because </w:t>
      </w:r>
      <w:r w:rsidR="008C4911">
        <w:rPr>
          <w:rFonts w:cs="Times New Roman"/>
          <w:color w:val="000000" w:themeColor="text1"/>
        </w:rPr>
        <w:t>they probably don't exclude site</w:t>
      </w:r>
      <w:r w:rsidR="00DC42FC">
        <w:rPr>
          <w:rFonts w:cs="Times New Roman"/>
          <w:color w:val="000000" w:themeColor="text1"/>
        </w:rPr>
        <w:t>-year combinations</w:t>
      </w:r>
      <w:r w:rsidRPr="0048735E">
        <w:rPr>
          <w:rFonts w:cs="Times New Roman"/>
          <w:color w:val="000000" w:themeColor="text1"/>
        </w:rPr>
        <w:t xml:space="preserve"> where deliveries have already started</w:t>
      </w:r>
      <w:r w:rsidR="00DC42FC">
        <w:rPr>
          <w:rFonts w:cs="Times New Roman"/>
          <w:color w:val="000000" w:themeColor="text1"/>
        </w:rPr>
        <w:t xml:space="preserve"> at beginning of survey</w:t>
      </w:r>
      <w:r w:rsidRPr="0048735E">
        <w:rPr>
          <w:rFonts w:cs="Times New Roman"/>
          <w:color w:val="000000" w:themeColor="text1"/>
        </w:rPr>
        <w:t>.</w:t>
      </w:r>
    </w:p>
    <w:p w14:paraId="63B64E92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3" w:name="quality-control"/>
      <w:bookmarkEnd w:id="3"/>
      <w:r w:rsidRPr="0048735E">
        <w:rPr>
          <w:rFonts w:ascii="Times New Roman" w:hAnsi="Times New Roman" w:cs="Times New Roman"/>
          <w:color w:val="000000" w:themeColor="text1"/>
        </w:rPr>
        <w:t>Quality control</w:t>
      </w:r>
    </w:p>
    <w:p w14:paraId="63F11FC9" w14:textId="77777777" w:rsidR="00B613B5" w:rsidRPr="0048735E" w:rsidRDefault="00516DD4">
      <w:pPr>
        <w:pStyle w:val="Compact"/>
        <w:numPr>
          <w:ilvl w:val="0"/>
          <w:numId w:val="6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(mis)</w:t>
      </w:r>
      <w:r w:rsidR="0048735E">
        <w:rPr>
          <w:rFonts w:cs="Times New Roman"/>
          <w:color w:val="000000" w:themeColor="text1"/>
        </w:rPr>
        <w:t>matching site-date combinations</w:t>
      </w:r>
    </w:p>
    <w:p w14:paraId="345D5FAD" w14:textId="77777777" w:rsidR="00B613B5" w:rsidRPr="0048735E" w:rsidRDefault="00516DD4">
      <w:pPr>
        <w:pStyle w:val="Compact"/>
        <w:numPr>
          <w:ilvl w:val="0"/>
          <w:numId w:val="6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Prey deliveries when PG_count = 0</w:t>
      </w:r>
    </w:p>
    <w:p w14:paraId="7D2C3AC6" w14:textId="77777777" w:rsidR="00B613B5" w:rsidRPr="0048735E" w:rsidRDefault="0048735E">
      <w:pPr>
        <w:pStyle w:val="Compact"/>
        <w:numPr>
          <w:ilvl w:val="0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~ 10% of cases don’t match between</w:t>
      </w:r>
      <w:r w:rsidR="00516DD4" w:rsidRPr="0048735E">
        <w:rPr>
          <w:rFonts w:cs="Times New Roman"/>
          <w:color w:val="000000" w:themeColor="text1"/>
        </w:rPr>
        <w:t xml:space="preserve"> day-</w:t>
      </w:r>
      <w:r>
        <w:rPr>
          <w:rFonts w:cs="Times New Roman"/>
          <w:color w:val="000000" w:themeColor="text1"/>
        </w:rPr>
        <w:t>level total visits and</w:t>
      </w:r>
      <w:r w:rsidR="00516DD4" w:rsidRPr="0048735E">
        <w:rPr>
          <w:rFonts w:cs="Times New Roman"/>
          <w:color w:val="000000" w:themeColor="text1"/>
        </w:rPr>
        <w:t xml:space="preserve"> summed burrow-level visits</w:t>
      </w:r>
    </w:p>
    <w:p w14:paraId="24D7B059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" w:name="questions-for-frances"/>
      <w:bookmarkEnd w:id="4"/>
      <w:r w:rsidRPr="0048735E">
        <w:rPr>
          <w:rFonts w:ascii="Times New Roman" w:hAnsi="Times New Roman" w:cs="Times New Roman"/>
          <w:color w:val="000000" w:themeColor="text1"/>
        </w:rPr>
        <w:t>Questions for Frances</w:t>
      </w:r>
    </w:p>
    <w:p w14:paraId="019507E6" w14:textId="77777777" w:rsidR="00B613B5" w:rsidRPr="0048735E" w:rsidRDefault="00516DD4">
      <w:pPr>
        <w:pStyle w:val="Compact"/>
        <w:numPr>
          <w:ilvl w:val="0"/>
          <w:numId w:val="7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Why do some colonies have so few observation days (Coupeville Wharf)</w:t>
      </w:r>
    </w:p>
    <w:p w14:paraId="4D5CB38F" w14:textId="77777777" w:rsidR="00B613B5" w:rsidRDefault="00516DD4">
      <w:pPr>
        <w:pStyle w:val="Compact"/>
        <w:numPr>
          <w:ilvl w:val="0"/>
          <w:numId w:val="7"/>
        </w:numPr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Why wouldn</w:t>
      </w:r>
      <w:r w:rsidRPr="0048735E">
        <w:rPr>
          <w:rFonts w:cs="Times New Roman"/>
          <w:color w:val="000000" w:themeColor="text1"/>
        </w:rPr>
        <w:t>'t a colony have data for a given year (Hancock South, 2016)</w:t>
      </w:r>
    </w:p>
    <w:p w14:paraId="786146D8" w14:textId="77777777" w:rsidR="0048735E" w:rsidRPr="0048735E" w:rsidRDefault="0048735E" w:rsidP="0048735E">
      <w:pPr>
        <w:pStyle w:val="Compact"/>
        <w:numPr>
          <w:ilvl w:val="1"/>
          <w:numId w:val="7"/>
        </w:numPr>
        <w:rPr>
          <w:rFonts w:cs="Times New Roman"/>
          <w:color w:val="000000" w:themeColor="text1"/>
        </w:rPr>
      </w:pPr>
      <w:r>
        <w:rPr>
          <w:rFonts w:cs="Times New Roman"/>
          <w:i/>
          <w:color w:val="000000" w:themeColor="text1"/>
        </w:rPr>
        <w:t>Frances says it’s mostly about beach access and how the sites have changed over time (erosion, accessibility), and they they’ll stop a survey if there is no activity.</w:t>
      </w:r>
    </w:p>
    <w:p w14:paraId="46E7C63A" w14:textId="77777777" w:rsidR="0048735E" w:rsidRDefault="0048735E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burrow-counts-and-study-length"/>
      <w:bookmarkEnd w:id="5"/>
    </w:p>
    <w:p w14:paraId="44AC7F5A" w14:textId="77777777" w:rsidR="0048735E" w:rsidRDefault="0048735E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289E8932" w14:textId="77777777" w:rsidR="0048735E" w:rsidRDefault="0048735E">
      <w:pPr>
        <w:pStyle w:val="Heading3"/>
        <w:rPr>
          <w:rFonts w:ascii="Times New Roman" w:hAnsi="Times New Roman" w:cs="Times New Roman"/>
          <w:color w:val="000000" w:themeColor="text1"/>
        </w:rPr>
        <w:sectPr w:rsidR="0048735E" w:rsidSect="00A31449">
          <w:headerReference w:type="default" r:id="rId7"/>
          <w:footerReference w:type="even" r:id="rId8"/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65021369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35E">
        <w:rPr>
          <w:rFonts w:ascii="Times New Roman" w:hAnsi="Times New Roman" w:cs="Times New Roman"/>
          <w:color w:val="000000" w:themeColor="text1"/>
        </w:rPr>
        <w:lastRenderedPageBreak/>
        <w:t>Burrow counts and study length</w:t>
      </w:r>
    </w:p>
    <w:p w14:paraId="1BAF9197" w14:textId="77777777" w:rsidR="0048735E" w:rsidRDefault="00516DD4">
      <w:pPr>
        <w:pStyle w:val="FirstParagraph"/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Number of burrows identified per site per year seems reasonably consistent (ignore year &gt; 2014). Some sites range more than others in terms of how long the study wa</w:t>
      </w:r>
      <w:r w:rsidRPr="0048735E">
        <w:rPr>
          <w:rFonts w:cs="Times New Roman"/>
          <w:color w:val="000000" w:themeColor="text1"/>
        </w:rPr>
        <w:t xml:space="preserve">s conducted each year. Not all sites can be used for looking at nest fate. </w:t>
      </w:r>
    </w:p>
    <w:p w14:paraId="39711DA8" w14:textId="0ADF7D1B" w:rsidR="00B613B5" w:rsidRPr="0048735E" w:rsidRDefault="000F066E">
      <w:pPr>
        <w:pStyle w:val="FirstParagraph"/>
        <w:rPr>
          <w:rFonts w:cs="Times New Roman"/>
          <w:color w:val="000000" w:themeColor="text1"/>
        </w:rPr>
      </w:pPr>
      <w:r>
        <w:rPr>
          <w:rFonts w:ascii="Helvetica" w:hAnsi="Helvetica" w:cs="Helvetica"/>
          <w:noProof/>
          <w:sz w:val="24"/>
        </w:rPr>
        <w:drawing>
          <wp:inline distT="0" distB="0" distL="0" distR="0" wp14:anchorId="575A077F" wp14:editId="0AB59359">
            <wp:extent cx="7610925" cy="55448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9991" cy="55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B448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" w:name="adult-counts-1"/>
      <w:bookmarkEnd w:id="6"/>
      <w:r w:rsidRPr="0048735E">
        <w:rPr>
          <w:rFonts w:ascii="Times New Roman" w:hAnsi="Times New Roman" w:cs="Times New Roman"/>
          <w:color w:val="000000" w:themeColor="text1"/>
        </w:rPr>
        <w:lastRenderedPageBreak/>
        <w:t>Adult counts</w:t>
      </w:r>
    </w:p>
    <w:p w14:paraId="322A16E8" w14:textId="7A94815E" w:rsidR="0048735E" w:rsidRDefault="00516DD4">
      <w:pPr>
        <w:pStyle w:val="FirstParagraph"/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 xml:space="preserve">Many sites show relative consistency in the average number of adults counted per week across years. This consistency is also reflected at the </w:t>
      </w:r>
      <w:r w:rsidR="0048735E" w:rsidRPr="0048735E">
        <w:rPr>
          <w:rFonts w:cs="Times New Roman"/>
          <w:color w:val="000000" w:themeColor="text1"/>
        </w:rPr>
        <w:t>island-level. Counts dr</w:t>
      </w:r>
      <w:r w:rsidR="00211E80">
        <w:rPr>
          <w:rFonts w:cs="Times New Roman"/>
          <w:color w:val="000000" w:themeColor="text1"/>
        </w:rPr>
        <w:t>opped in 2015 – check, think about more.</w:t>
      </w:r>
    </w:p>
    <w:p w14:paraId="13BD9993" w14:textId="77777777" w:rsidR="0048735E" w:rsidRDefault="00516DD4" w:rsidP="0048735E">
      <w:pPr>
        <w:pStyle w:val="FirstParagraph"/>
        <w:jc w:val="center"/>
        <w:rPr>
          <w:rFonts w:cs="Times New Roman"/>
          <w:color w:val="000000" w:themeColor="text1"/>
        </w:rPr>
      </w:pPr>
      <w:r w:rsidRPr="0048735E">
        <w:rPr>
          <w:rFonts w:cs="Times New Roman"/>
          <w:noProof/>
          <w:color w:val="000000" w:themeColor="text1"/>
        </w:rPr>
        <w:drawing>
          <wp:inline distT="0" distB="0" distL="0" distR="0" wp14:anchorId="37C74110" wp14:editId="7217DEE6">
            <wp:extent cx="7773670" cy="520446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geonGuillemot_whidbey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456" cy="5204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96754" w14:textId="77777777" w:rsidR="0048735E" w:rsidRDefault="0048735E" w:rsidP="0048735E">
      <w:pPr>
        <w:pStyle w:val="BodyText"/>
      </w:pPr>
    </w:p>
    <w:p w14:paraId="42BDF3EE" w14:textId="77777777" w:rsidR="0048735E" w:rsidRDefault="0048735E" w:rsidP="0048735E">
      <w:pPr>
        <w:pStyle w:val="BodyText"/>
        <w:sectPr w:rsidR="0048735E" w:rsidSect="0048735E">
          <w:pgSz w:w="15840" w:h="12240" w:orient="landscape"/>
          <w:pgMar w:top="738" w:right="1440" w:bottom="747" w:left="1440" w:header="720" w:footer="720" w:gutter="0"/>
          <w:cols w:space="720"/>
          <w:titlePg/>
          <w:docGrid w:linePitch="299"/>
        </w:sectPr>
      </w:pPr>
    </w:p>
    <w:p w14:paraId="0C43D964" w14:textId="00266BF6" w:rsidR="0048735E" w:rsidRDefault="00E00BE9" w:rsidP="0048735E">
      <w:pPr>
        <w:pStyle w:val="FirstParagraph"/>
        <w:jc w:val="center"/>
        <w:rPr>
          <w:rFonts w:cs="Times New Roman"/>
          <w:color w:val="000000" w:themeColor="text1"/>
        </w:rPr>
      </w:pPr>
      <w:r>
        <w:rPr>
          <w:rFonts w:ascii="Helvetica" w:hAnsi="Helvetica" w:cs="Helvetica"/>
          <w:noProof/>
          <w:sz w:val="24"/>
        </w:rPr>
        <w:lastRenderedPageBreak/>
        <w:drawing>
          <wp:inline distT="0" distB="0" distL="0" distR="0" wp14:anchorId="1E3DCEB5" wp14:editId="30BBF2B9">
            <wp:extent cx="5071745" cy="38041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349" cy="38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8255" w14:textId="18202E74" w:rsidR="00B613B5" w:rsidRPr="0048735E" w:rsidRDefault="00AD5713" w:rsidP="0048735E">
      <w:pPr>
        <w:pStyle w:val="FirstParagraph"/>
        <w:jc w:val="center"/>
        <w:rPr>
          <w:rFonts w:cs="Times New Roman"/>
          <w:color w:val="000000" w:themeColor="text1"/>
        </w:rPr>
      </w:pPr>
      <w:r>
        <w:rPr>
          <w:rFonts w:ascii="Helvetica" w:hAnsi="Helvetica" w:cs="Helvetica"/>
          <w:noProof/>
          <w:sz w:val="24"/>
        </w:rPr>
        <w:drawing>
          <wp:inline distT="0" distB="0" distL="0" distR="0" wp14:anchorId="0B370D2C" wp14:editId="5DCCE662">
            <wp:extent cx="5069210" cy="3763010"/>
            <wp:effectExtent l="0" t="0" r="1079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0" cy="378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C8C7" w14:textId="77777777" w:rsidR="0048735E" w:rsidRDefault="0048735E">
      <w:pPr>
        <w:pStyle w:val="Heading4"/>
        <w:rPr>
          <w:rFonts w:ascii="Times New Roman" w:hAnsi="Times New Roman" w:cs="Times New Roman"/>
          <w:color w:val="000000" w:themeColor="text1"/>
        </w:rPr>
        <w:sectPr w:rsidR="0048735E" w:rsidSect="0048735E">
          <w:pgSz w:w="12240" w:h="15840"/>
          <w:pgMar w:top="1440" w:right="747" w:bottom="1440" w:left="738" w:header="720" w:footer="720" w:gutter="0"/>
          <w:cols w:space="720"/>
          <w:titlePg/>
          <w:docGrid w:linePitch="299"/>
        </w:sectPr>
      </w:pPr>
      <w:bookmarkStart w:id="7" w:name="multiple-counts---intern-data"/>
      <w:bookmarkEnd w:id="7"/>
    </w:p>
    <w:p w14:paraId="22D6423A" w14:textId="77777777" w:rsidR="00B613B5" w:rsidRPr="0048735E" w:rsidRDefault="00516DD4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48735E">
        <w:rPr>
          <w:rFonts w:ascii="Times New Roman" w:hAnsi="Times New Roman" w:cs="Times New Roman"/>
          <w:color w:val="000000" w:themeColor="text1"/>
        </w:rPr>
        <w:lastRenderedPageBreak/>
        <w:t>Multiple counts - intern data</w:t>
      </w:r>
    </w:p>
    <w:p w14:paraId="10B76CEF" w14:textId="77777777" w:rsidR="00B613B5" w:rsidRDefault="00516DD4" w:rsidP="00211E80">
      <w:pPr>
        <w:pStyle w:val="FirstParagraph"/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>We have multiple counts for ~5 colonies. For 2010-2012, we have 10-11 counts per week. For 2015-2017, we have 2-3 counts per week. Variation is less in earlier years because there are 10 counts on the same d</w:t>
      </w:r>
      <w:r w:rsidRPr="0048735E">
        <w:rPr>
          <w:rFonts w:cs="Times New Roman"/>
          <w:color w:val="000000" w:themeColor="text1"/>
        </w:rPr>
        <w:t>ay, and so are less affected by anything that could be different throughout the week - some days may just be quieter than others (weather/ocean conditions, feeding opportunities, beach disturbance), so probably best not to combine the two types?</w:t>
      </w:r>
      <w:r w:rsidRPr="0048735E">
        <w:rPr>
          <w:rFonts w:cs="Times New Roman"/>
          <w:color w:val="000000" w:themeColor="text1"/>
        </w:rPr>
        <w:br/>
      </w:r>
      <w:r w:rsidRPr="0048735E">
        <w:rPr>
          <w:rFonts w:cs="Times New Roman"/>
          <w:noProof/>
          <w:color w:val="000000" w:themeColor="text1"/>
        </w:rPr>
        <w:drawing>
          <wp:inline distT="0" distB="0" distL="0" distR="0" wp14:anchorId="1FA77B69" wp14:editId="7736389E">
            <wp:extent cx="7825105" cy="50482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geonGuillemot_whidbe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902" cy="5048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AD9B3" w14:textId="77777777" w:rsidR="0048735E" w:rsidRDefault="0048735E" w:rsidP="0048735E">
      <w:pPr>
        <w:pStyle w:val="BodyText"/>
      </w:pPr>
    </w:p>
    <w:p w14:paraId="51DE8FCD" w14:textId="77777777" w:rsidR="0048735E" w:rsidRPr="0048735E" w:rsidRDefault="0048735E" w:rsidP="0048735E">
      <w:pPr>
        <w:pStyle w:val="BodyText"/>
      </w:pPr>
    </w:p>
    <w:p w14:paraId="4CE9D420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prey-deliveries"/>
      <w:bookmarkEnd w:id="8"/>
      <w:r w:rsidRPr="0048735E">
        <w:rPr>
          <w:rFonts w:ascii="Times New Roman" w:hAnsi="Times New Roman" w:cs="Times New Roman"/>
          <w:color w:val="000000" w:themeColor="text1"/>
        </w:rPr>
        <w:lastRenderedPageBreak/>
        <w:t>Prey deliveries</w:t>
      </w:r>
    </w:p>
    <w:p w14:paraId="417BB3A8" w14:textId="77777777" w:rsidR="0048735E" w:rsidRDefault="00516DD4">
      <w:pPr>
        <w:pStyle w:val="FirstParagraph"/>
        <w:rPr>
          <w:rFonts w:cs="Times New Roman"/>
          <w:color w:val="000000" w:themeColor="text1"/>
        </w:rPr>
      </w:pPr>
      <w:r w:rsidRPr="0048735E">
        <w:rPr>
          <w:rFonts w:cs="Times New Roman"/>
          <w:color w:val="000000" w:themeColor="text1"/>
        </w:rPr>
        <w:t xml:space="preserve">My suspicion is that the seasonal deliveries pattern/peak is smoothed out across years, which is why it is more evident </w:t>
      </w:r>
      <w:r w:rsidRPr="0048735E">
        <w:rPr>
          <w:rFonts w:cs="Times New Roman"/>
          <w:color w:val="000000" w:themeColor="text1"/>
        </w:rPr>
        <w:t>in the island-level figure than at each site.</w:t>
      </w:r>
      <w:r w:rsidRPr="0048735E">
        <w:rPr>
          <w:rFonts w:cs="Times New Roman"/>
          <w:color w:val="000000" w:themeColor="text1"/>
        </w:rPr>
        <w:br/>
      </w:r>
      <w:r w:rsidRPr="0048735E">
        <w:rPr>
          <w:rFonts w:cs="Times New Roman"/>
          <w:noProof/>
          <w:color w:val="000000" w:themeColor="text1"/>
        </w:rPr>
        <w:drawing>
          <wp:inline distT="0" distB="0" distL="0" distR="0" wp14:anchorId="39BF29B3" wp14:editId="75AF93E4">
            <wp:extent cx="7360285" cy="512635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geonGuillemot_whidbey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032" cy="512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A7FA50" w14:textId="014C3D86" w:rsidR="00B613B5" w:rsidRPr="0048735E" w:rsidRDefault="00160F64" w:rsidP="00DC75E7">
      <w:pPr>
        <w:pStyle w:val="FirstParagraph"/>
        <w:jc w:val="center"/>
        <w:rPr>
          <w:rFonts w:cs="Times New Roman"/>
          <w:color w:val="000000" w:themeColor="text1"/>
        </w:rPr>
      </w:pPr>
      <w:r>
        <w:rPr>
          <w:rFonts w:ascii="Helvetica" w:hAnsi="Helvetica" w:cs="Helvetica"/>
          <w:noProof/>
          <w:sz w:val="24"/>
        </w:rPr>
        <w:lastRenderedPageBreak/>
        <w:drawing>
          <wp:inline distT="0" distB="0" distL="0" distR="0" wp14:anchorId="2B3F0C15" wp14:editId="01FF6E67">
            <wp:extent cx="7015414" cy="5110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790" cy="51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B770" w14:textId="5D04D9B8" w:rsidR="00B613B5" w:rsidRPr="0048735E" w:rsidRDefault="00B613B5">
      <w:pPr>
        <w:pStyle w:val="BodyText"/>
        <w:rPr>
          <w:rFonts w:cs="Times New Roman"/>
          <w:color w:val="000000" w:themeColor="text1"/>
        </w:rPr>
      </w:pPr>
    </w:p>
    <w:p w14:paraId="46749B31" w14:textId="77777777" w:rsidR="00160F64" w:rsidRDefault="00160F64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prey-composition"/>
      <w:bookmarkEnd w:id="9"/>
    </w:p>
    <w:p w14:paraId="30A0BC76" w14:textId="77777777" w:rsidR="00160F64" w:rsidRDefault="00160F64">
      <w:pPr>
        <w:pStyle w:val="Heading3"/>
        <w:rPr>
          <w:rFonts w:ascii="Times New Roman" w:hAnsi="Times New Roman" w:cs="Times New Roman"/>
          <w:color w:val="000000" w:themeColor="text1"/>
        </w:rPr>
      </w:pPr>
    </w:p>
    <w:p w14:paraId="216AD7DB" w14:textId="77777777" w:rsidR="00160F64" w:rsidRDefault="00160F64" w:rsidP="00160F64">
      <w:pPr>
        <w:pStyle w:val="BodyText"/>
      </w:pPr>
    </w:p>
    <w:p w14:paraId="1AE7AFFF" w14:textId="77777777" w:rsidR="00160F64" w:rsidRDefault="00160F64" w:rsidP="00160F64">
      <w:pPr>
        <w:pStyle w:val="BodyText"/>
      </w:pPr>
    </w:p>
    <w:p w14:paraId="3B9C1E80" w14:textId="77777777" w:rsidR="00B613B5" w:rsidRPr="0048735E" w:rsidRDefault="00516DD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8735E">
        <w:rPr>
          <w:rFonts w:ascii="Times New Roman" w:hAnsi="Times New Roman" w:cs="Times New Roman"/>
          <w:color w:val="000000" w:themeColor="text1"/>
        </w:rPr>
        <w:lastRenderedPageBreak/>
        <w:t>Prey composition</w:t>
      </w:r>
    </w:p>
    <w:p w14:paraId="6F4AF408" w14:textId="3F3B0A22" w:rsidR="0048735E" w:rsidRDefault="00516DD4" w:rsidP="00DC75E7">
      <w:pPr>
        <w:pStyle w:val="FirstParagraph"/>
        <w:jc w:val="center"/>
        <w:rPr>
          <w:rFonts w:cs="Times New Roman"/>
          <w:noProof/>
          <w:color w:val="000000" w:themeColor="text1"/>
        </w:rPr>
      </w:pPr>
      <w:r w:rsidRPr="0048735E">
        <w:rPr>
          <w:rFonts w:cs="Times New Roman"/>
          <w:color w:val="000000" w:themeColor="text1"/>
        </w:rPr>
        <w:t xml:space="preserve">Not sure we have a use for this, but I was mainly interested in looking for (in)consistencies and general patterns. </w:t>
      </w:r>
    </w:p>
    <w:p w14:paraId="32630566" w14:textId="1AC73C75" w:rsidR="00160F64" w:rsidRPr="00160F64" w:rsidRDefault="00160F64" w:rsidP="00160F64">
      <w:pPr>
        <w:pStyle w:val="BodyText"/>
      </w:pPr>
      <w:r>
        <w:rPr>
          <w:rFonts w:ascii="Helvetica" w:hAnsi="Helvetica" w:cs="Helvetica"/>
          <w:noProof/>
          <w:sz w:val="24"/>
        </w:rPr>
        <w:drawing>
          <wp:inline distT="0" distB="0" distL="0" distR="0" wp14:anchorId="63D07781" wp14:editId="04FBAEFC">
            <wp:extent cx="8229600" cy="59955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9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C773" w14:textId="77777777" w:rsidR="00B613B5" w:rsidRDefault="00516DD4">
      <w:pPr>
        <w:pStyle w:val="FirstParagraph"/>
        <w:rPr>
          <w:rFonts w:cs="Times New Roman"/>
          <w:color w:val="000000" w:themeColor="text1"/>
        </w:rPr>
      </w:pPr>
      <w:r w:rsidRPr="0048735E">
        <w:rPr>
          <w:rFonts w:cs="Times New Roman"/>
          <w:noProof/>
          <w:color w:val="000000" w:themeColor="text1"/>
        </w:rPr>
        <w:lastRenderedPageBreak/>
        <w:drawing>
          <wp:inline distT="0" distB="0" distL="0" distR="0" wp14:anchorId="7A759333" wp14:editId="038694BD">
            <wp:extent cx="7290435" cy="5956300"/>
            <wp:effectExtent l="0" t="0" r="0" b="1270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igeonGuillemot_whidbey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173" cy="5956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86997" w14:textId="77777777" w:rsidR="008D288F" w:rsidRDefault="008D288F" w:rsidP="008D288F">
      <w:pPr>
        <w:pStyle w:val="BodyText"/>
        <w:sectPr w:rsidR="008D288F" w:rsidSect="0048735E">
          <w:pgSz w:w="15840" w:h="12240" w:orient="landscape"/>
          <w:pgMar w:top="738" w:right="1440" w:bottom="747" w:left="1440" w:header="720" w:footer="720" w:gutter="0"/>
          <w:cols w:space="720"/>
          <w:titlePg/>
          <w:docGrid w:linePitch="299"/>
        </w:sectPr>
      </w:pPr>
    </w:p>
    <w:p w14:paraId="20396812" w14:textId="4A0B651E" w:rsidR="008D288F" w:rsidRPr="00DD09F9" w:rsidRDefault="00DD09F9" w:rsidP="00DD09F9">
      <w:pPr>
        <w:pStyle w:val="BodyText"/>
        <w:ind w:left="540"/>
        <w:rPr>
          <w:b/>
        </w:rPr>
      </w:pPr>
      <w:r w:rsidRPr="00DD09F9">
        <w:rPr>
          <w:b/>
        </w:rPr>
        <w:lastRenderedPageBreak/>
        <w:t xml:space="preserve">Initial </w:t>
      </w:r>
      <w:r w:rsidR="007C1C07" w:rsidRPr="00DD09F9">
        <w:rPr>
          <w:b/>
        </w:rPr>
        <w:t xml:space="preserve">BUGS </w:t>
      </w:r>
      <w:r w:rsidRPr="00DD09F9">
        <w:rPr>
          <w:b/>
        </w:rPr>
        <w:t xml:space="preserve">modeling </w:t>
      </w:r>
      <w:r w:rsidR="007C1C07" w:rsidRPr="00DD09F9">
        <w:rPr>
          <w:b/>
        </w:rPr>
        <w:t>efforts</w:t>
      </w:r>
    </w:p>
    <w:p w14:paraId="25EDC4FF" w14:textId="76B5F59C" w:rsidR="00DD09F9" w:rsidRDefault="00DD09F9" w:rsidP="00DD09F9">
      <w:pPr>
        <w:pStyle w:val="BodyText"/>
        <w:ind w:left="540"/>
      </w:pPr>
      <w:r>
        <w:t>Following Ch. 3</w:t>
      </w:r>
      <w:r w:rsidR="0041168D">
        <w:t xml:space="preserve"> and Ch. 4</w:t>
      </w:r>
      <w:r>
        <w:t xml:space="preserve"> of Kery &amp; Schaub</w:t>
      </w:r>
    </w:p>
    <w:p w14:paraId="3D9C4A0C" w14:textId="4F2029F1" w:rsidR="0041168D" w:rsidRPr="0041168D" w:rsidRDefault="0041168D" w:rsidP="00DD09F9">
      <w:pPr>
        <w:pStyle w:val="BodyText"/>
        <w:ind w:left="540"/>
        <w:rPr>
          <w:i/>
        </w:rPr>
      </w:pPr>
      <w:r w:rsidRPr="0041168D">
        <w:rPr>
          <w:i/>
        </w:rPr>
        <w:t>Simple GLMs</w:t>
      </w:r>
    </w:p>
    <w:p w14:paraId="3B81263C" w14:textId="0E174737" w:rsidR="0041168D" w:rsidRDefault="0041168D" w:rsidP="0041168D">
      <w:pPr>
        <w:pStyle w:val="BodyText"/>
        <w:numPr>
          <w:ilvl w:val="0"/>
          <w:numId w:val="9"/>
        </w:numPr>
      </w:pPr>
      <w:r>
        <w:t xml:space="preserve">Adult counts </w:t>
      </w:r>
    </w:p>
    <w:p w14:paraId="10A3D054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mean     sd    2.5%     25%     50%     75%   97.5%  Rhat n.eff</w:t>
      </w:r>
    </w:p>
    <w:p w14:paraId="777BD531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alpha        6.323  0.021   6.285   6.309   6.322   6.336   6.364 1.001  2800</w:t>
      </w:r>
    </w:p>
    <w:p w14:paraId="64AEBF38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beta1       -0.130  0.037  -0.201  -0.156  -0.131  -0.105  -0.056 1.008   270</w:t>
      </w:r>
    </w:p>
    <w:p w14:paraId="1EEAC274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beta2       -0.043  0.017  -0.077  -0.054  -0.043  -0.031  -0.009 1.001  2800</w:t>
      </w:r>
    </w:p>
    <w:p w14:paraId="2F32A054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beta3        0.014  0.022  -0.029  -0.001   0.014   0.029   0.055 1.012   180</w:t>
      </w:r>
    </w:p>
    <w:p w14:paraId="443D753B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lambda[1]  588.029 21.973 546.845 572.600 587.600 602.800 631.877 1.006   360</w:t>
      </w:r>
    </w:p>
    <w:p w14:paraId="04C7338D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lambda[2]  598.619 13.568 571.700 589.600 598.800 607.700 624.700 1.001  2800</w:t>
      </w:r>
    </w:p>
    <w:p w14:paraId="691156E7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#...</w:t>
      </w:r>
    </w:p>
    <w:p w14:paraId="593FBBFA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lambda[10] 437.319 18.594 402.900 424.300 436.700 449.800 475.600 1.005   460</w:t>
      </w:r>
    </w:p>
    <w:p w14:paraId="7D1B3A69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deviance   101.497  2.870  97.990  99.442 100.800 102.900 108.777 1.001  2800</w:t>
      </w:r>
    </w:p>
    <w:p w14:paraId="189CD11F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 xml:space="preserve"># </w:t>
      </w:r>
    </w:p>
    <w:p w14:paraId="530F5938" w14:textId="77777777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DIC info (using the rule, pD = Dbar-Dhat)</w:t>
      </w:r>
    </w:p>
    <w:p w14:paraId="1AF3AAC4" w14:textId="0EDE93B6" w:rsidR="00C10CE5" w:rsidRPr="00C10CE5" w:rsidRDefault="00C10CE5" w:rsidP="00C10CE5">
      <w:pPr>
        <w:pStyle w:val="BodyText"/>
        <w:ind w:left="907"/>
        <w:contextualSpacing/>
        <w:rPr>
          <w:sz w:val="20"/>
        </w:rPr>
      </w:pPr>
      <w:r w:rsidRPr="00C10CE5">
        <w:rPr>
          <w:sz w:val="20"/>
        </w:rPr>
        <w:t># pD = 3.971 and DIC = 105.500</w:t>
      </w:r>
    </w:p>
    <w:p w14:paraId="5F20D2CC" w14:textId="30732207" w:rsidR="00CE4925" w:rsidRDefault="00CE4925" w:rsidP="00C10CE5">
      <w:pPr>
        <w:pStyle w:val="BodyText"/>
        <w:ind w:left="540"/>
        <w:jc w:val="center"/>
      </w:pPr>
      <w:r>
        <w:rPr>
          <w:rFonts w:ascii="Helvetica" w:hAnsi="Helvetica" w:cs="Helvetica"/>
          <w:noProof/>
          <w:sz w:val="24"/>
        </w:rPr>
        <w:drawing>
          <wp:inline distT="0" distB="0" distL="0" distR="0" wp14:anchorId="22182174" wp14:editId="769E2DFF">
            <wp:extent cx="2991485" cy="2587896"/>
            <wp:effectExtent l="0" t="0" r="571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986" cy="260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F41E" w14:textId="77777777" w:rsidR="0041168D" w:rsidRDefault="0041168D" w:rsidP="0041168D">
      <w:pPr>
        <w:pStyle w:val="BodyText"/>
        <w:ind w:left="540"/>
      </w:pPr>
    </w:p>
    <w:p w14:paraId="40292029" w14:textId="27F39914" w:rsidR="0041168D" w:rsidRDefault="0041168D" w:rsidP="0041168D">
      <w:pPr>
        <w:pStyle w:val="BodyText"/>
        <w:numPr>
          <w:ilvl w:val="0"/>
          <w:numId w:val="9"/>
        </w:numPr>
      </w:pPr>
      <w:r>
        <w:t>Fecundity</w:t>
      </w:r>
      <w:r w:rsidR="00211E80">
        <w:t xml:space="preserve"> – need all burrow-level data</w:t>
      </w:r>
    </w:p>
    <w:p w14:paraId="04C3A435" w14:textId="481E5C19" w:rsidR="0041168D" w:rsidRDefault="0041168D" w:rsidP="0041168D">
      <w:pPr>
        <w:pStyle w:val="BodyText"/>
        <w:numPr>
          <w:ilvl w:val="0"/>
          <w:numId w:val="9"/>
        </w:numPr>
      </w:pPr>
      <w:r>
        <w:t>Percent successful nests</w:t>
      </w:r>
      <w:r w:rsidR="00211E80">
        <w:t xml:space="preserve"> – need all burrow-level datas</w:t>
      </w:r>
    </w:p>
    <w:p w14:paraId="2FD18940" w14:textId="77777777" w:rsidR="0041168D" w:rsidRDefault="0041168D" w:rsidP="00DD09F9">
      <w:pPr>
        <w:pStyle w:val="BodyText"/>
        <w:ind w:left="540"/>
      </w:pPr>
    </w:p>
    <w:p w14:paraId="1829E99B" w14:textId="77777777" w:rsidR="00C10CE5" w:rsidRDefault="00C10CE5">
      <w:pPr>
        <w:rPr>
          <w:i/>
        </w:rPr>
      </w:pPr>
      <w:r>
        <w:rPr>
          <w:i/>
        </w:rPr>
        <w:br w:type="page"/>
      </w:r>
    </w:p>
    <w:p w14:paraId="33F90D39" w14:textId="54172D19" w:rsidR="0041168D" w:rsidRPr="0041168D" w:rsidRDefault="0041168D" w:rsidP="00DD09F9">
      <w:pPr>
        <w:pStyle w:val="BodyText"/>
        <w:ind w:left="540"/>
        <w:rPr>
          <w:i/>
        </w:rPr>
      </w:pPr>
      <w:r w:rsidRPr="0041168D">
        <w:rPr>
          <w:i/>
        </w:rPr>
        <w:lastRenderedPageBreak/>
        <w:t>GLMMs with site and year random effects</w:t>
      </w:r>
    </w:p>
    <w:p w14:paraId="38A97326" w14:textId="61254F46" w:rsidR="00C10CE5" w:rsidRDefault="00911031" w:rsidP="00C10CE5">
      <w:pPr>
        <w:pStyle w:val="BodyText"/>
        <w:numPr>
          <w:ilvl w:val="0"/>
          <w:numId w:val="10"/>
        </w:numPr>
      </w:pPr>
      <w:r>
        <w:t xml:space="preserve">Random year effects </w:t>
      </w:r>
    </w:p>
    <w:p w14:paraId="21F7BC3C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 xml:space="preserve">              mean     sd    2.5%     25%     50%     75%   97.5%  Rhat  n.eff</w:t>
      </w:r>
    </w:p>
    <w:p w14:paraId="37FD14CD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alpha        3.401  1.382   0.040   2.683   3.487   4.338   5.699 1.275     13</w:t>
      </w:r>
    </w:p>
    <w:p w14:paraId="0313CF7F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beta1       -1.418  2.965  -7.513  -3.459  -1.268   0.646   4.014 1.693      6</w:t>
      </w:r>
    </w:p>
    <w:p w14:paraId="2A0BF881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beta2       -1.664  1.094  -3.587  -2.416  -1.774  -0.929   0.517 1.076     33</w:t>
      </w:r>
    </w:p>
    <w:p w14:paraId="28493DA4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beta3        0.641  1.648  -2.195  -0.553   0.549   1.742   4.130 1.615      7</w:t>
      </w:r>
    </w:p>
    <w:p w14:paraId="1CCE7FB7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lambda[1]  617.925 24.851 570.200 601.000 617.600 634.500 667.500 1.001  97000</w:t>
      </w:r>
    </w:p>
    <w:p w14:paraId="39065FBB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lambda[2]  549.257 23.422 504.200 533.400 548.900 564.800 596.200 1.001  84000</w:t>
      </w:r>
    </w:p>
    <w:p w14:paraId="44935104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lambda[3]  588.740 24.287 542.200 572.200 588.400 604.900 637.500 1.001 280000</w:t>
      </w:r>
    </w:p>
    <w:p w14:paraId="0292051F" w14:textId="2F5F43BE" w:rsidR="00442599" w:rsidRPr="00B04D53" w:rsidRDefault="00244726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…</w:t>
      </w:r>
    </w:p>
    <w:p w14:paraId="36DB1C2D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sd           2.841  0.180   2.345   2.790   2.899   2.959   2.996 1.069    120</w:t>
      </w:r>
    </w:p>
    <w:p w14:paraId="0ED4C0BF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eps[1]       6.698  2.790   1.898   4.586   6.569   8.507  12.430 1.011    230</w:t>
      </w:r>
    </w:p>
    <w:p w14:paraId="12F31410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eps[2]       4.482  1.779   0.957   3.267   4.380   5.697   7.992 1.366      9</w:t>
      </w:r>
    </w:p>
    <w:p w14:paraId="6F2DBB4D" w14:textId="745B5160" w:rsidR="00442599" w:rsidRPr="00B04D53" w:rsidRDefault="00B04D53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…</w:t>
      </w:r>
    </w:p>
    <w:p w14:paraId="4877762D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eps[10]      6.391  2.416   1.876   4.659   6.431   8.123  10.910 1.128     21</w:t>
      </w:r>
    </w:p>
    <w:p w14:paraId="313372B9" w14:textId="6E4DC369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deviance    91.211  4.467  84.460  87.960  90.560  93.780 101.700 1.001 130000</w:t>
      </w:r>
    </w:p>
    <w:p w14:paraId="1DC4F422" w14:textId="77777777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DIC info (using the rule, pD = Dbar-Dhat)</w:t>
      </w:r>
    </w:p>
    <w:p w14:paraId="28171E8E" w14:textId="27D6766C" w:rsidR="00442599" w:rsidRPr="00B04D53" w:rsidRDefault="00442599" w:rsidP="00B04D53">
      <w:pPr>
        <w:pStyle w:val="BodyText"/>
        <w:ind w:left="547"/>
        <w:contextualSpacing/>
        <w:rPr>
          <w:sz w:val="20"/>
        </w:rPr>
      </w:pPr>
      <w:r w:rsidRPr="00B04D53">
        <w:rPr>
          <w:sz w:val="20"/>
        </w:rPr>
        <w:t>pD = 9.993 and DIC = 101.200</w:t>
      </w:r>
    </w:p>
    <w:p w14:paraId="6093DC29" w14:textId="77777777" w:rsidR="0041168D" w:rsidRDefault="0041168D" w:rsidP="00DD09F9">
      <w:pPr>
        <w:pStyle w:val="BodyText"/>
        <w:ind w:left="540"/>
      </w:pPr>
    </w:p>
    <w:p w14:paraId="61218F32" w14:textId="50367303" w:rsidR="00224F0C" w:rsidRDefault="00444790" w:rsidP="00224F0C">
      <w:pPr>
        <w:pStyle w:val="BodyText"/>
        <w:numPr>
          <w:ilvl w:val="0"/>
          <w:numId w:val="10"/>
        </w:numPr>
      </w:pPr>
      <w:r>
        <w:t>Adding up to variation by group/site, start w/ n</w:t>
      </w:r>
      <w:bookmarkStart w:id="10" w:name="_GoBack"/>
      <w:bookmarkEnd w:id="10"/>
      <w:r w:rsidR="00224F0C">
        <w:t xml:space="preserve">ull model </w:t>
      </w:r>
    </w:p>
    <w:p w14:paraId="54297ED3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># mean    sd     2.5%      25%      50%      75%    97.5%  Rhat n.eff</w:t>
      </w:r>
    </w:p>
    <w:p w14:paraId="56F33C78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># alpha       3.715 0.012    3.693    3.707    3.716    3.723    3.739 1.003  1000</w:t>
      </w:r>
    </w:p>
    <w:p w14:paraId="4C639CF0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># deviance 3078.771 1.405 3078.000 3078.000 3078.000 3079.000 3083.000 1.007  1100</w:t>
      </w:r>
    </w:p>
    <w:p w14:paraId="248878C2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 xml:space="preserve"># </w:t>
      </w:r>
    </w:p>
    <w:p w14:paraId="228D6E97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># For each parameter, n.eff is a crude measure of effective sample size,</w:t>
      </w:r>
    </w:p>
    <w:p w14:paraId="26D84E9B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># and Rhat is the potential scale reduction factor (at convergence, Rhat=1).</w:t>
      </w:r>
    </w:p>
    <w:p w14:paraId="534C492E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 xml:space="preserve"># </w:t>
      </w:r>
    </w:p>
    <w:p w14:paraId="30A03E62" w14:textId="77777777" w:rsidR="00224F0C" w:rsidRP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># DIC info (using the rule, pD = Dbar-Dhat)</w:t>
      </w:r>
    </w:p>
    <w:p w14:paraId="31EBB159" w14:textId="0E85F2D2" w:rsidR="00224F0C" w:rsidRDefault="00224F0C" w:rsidP="00224F0C">
      <w:pPr>
        <w:pStyle w:val="BodyText"/>
        <w:contextualSpacing/>
        <w:rPr>
          <w:sz w:val="20"/>
        </w:rPr>
      </w:pPr>
      <w:r w:rsidRPr="00224F0C">
        <w:rPr>
          <w:sz w:val="20"/>
        </w:rPr>
        <w:t># pD = 1.017 and DIC = 3080.000</w:t>
      </w:r>
    </w:p>
    <w:p w14:paraId="6A05666E" w14:textId="77777777" w:rsidR="00224F0C" w:rsidRPr="00224F0C" w:rsidRDefault="00224F0C" w:rsidP="00224F0C">
      <w:pPr>
        <w:pStyle w:val="BodyText"/>
        <w:contextualSpacing/>
        <w:rPr>
          <w:sz w:val="20"/>
        </w:rPr>
      </w:pPr>
    </w:p>
    <w:p w14:paraId="5F7F4E4C" w14:textId="6CDCAA49" w:rsidR="00224F0C" w:rsidRDefault="000C559B" w:rsidP="00224F0C">
      <w:pPr>
        <w:pStyle w:val="BodyText"/>
        <w:numPr>
          <w:ilvl w:val="0"/>
          <w:numId w:val="10"/>
        </w:numPr>
      </w:pPr>
      <w:r>
        <w:t>Fixed site effects</w:t>
      </w:r>
    </w:p>
    <w:p w14:paraId="22C4D4DF" w14:textId="77777777" w:rsidR="00000A62" w:rsidRPr="00000A62" w:rsidRDefault="00000A62" w:rsidP="00000A62">
      <w:pPr>
        <w:pStyle w:val="BodyText"/>
        <w:contextualSpacing/>
        <w:rPr>
          <w:sz w:val="20"/>
        </w:rPr>
      </w:pPr>
      <w:r>
        <w:t xml:space="preserve">              </w:t>
      </w:r>
      <w:r w:rsidRPr="00000A62">
        <w:rPr>
          <w:sz w:val="20"/>
        </w:rPr>
        <w:t>mean    sd     2.5%      25%      50%      75%    97.5%  Rhat n.eff</w:t>
      </w:r>
    </w:p>
    <w:p w14:paraId="7427319F" w14:textId="77777777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alpha[1]     3.592 0.051    3.489    3.558    3.592    3.626    3.691 1.001 27000</w:t>
      </w:r>
    </w:p>
    <w:p w14:paraId="1EA78CF6" w14:textId="77777777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alpha[2]     4.435 0.035    4.367    4.412    4.435    4.460    4.499 1.003  1100</w:t>
      </w:r>
    </w:p>
    <w:p w14:paraId="544DCB07" w14:textId="098DFC80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…</w:t>
      </w:r>
    </w:p>
    <w:p w14:paraId="4772B57E" w14:textId="77777777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alpha[22]    3.760 0.055    3.654    3.721    3.759    3.796    3.865 1.001  6900</w:t>
      </w:r>
    </w:p>
    <w:p w14:paraId="16A97679" w14:textId="77777777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alpha[23]    4.424 0.034    4.358    4.402    4.424    4.447    4.492 1.002  3100</w:t>
      </w:r>
    </w:p>
    <w:p w14:paraId="7E32AF4F" w14:textId="77777777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alpha[24]    3.381 0.062    3.258    3.340    3.382    3.422    3.500 1.001 10000</w:t>
      </w:r>
    </w:p>
    <w:p w14:paraId="761DF101" w14:textId="795D38AC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deviance  1695.805 6.933 1684.000 1691.000 1695.00</w:t>
      </w:r>
      <w:r w:rsidRPr="00000A62">
        <w:rPr>
          <w:sz w:val="20"/>
        </w:rPr>
        <w:t>0 1700.000 1711.000 1.001 10000</w:t>
      </w:r>
    </w:p>
    <w:p w14:paraId="75B39D29" w14:textId="77777777" w:rsidR="00000A62" w:rsidRP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DIC info (using the rule, pD = Dbar-Dhat)</w:t>
      </w:r>
    </w:p>
    <w:p w14:paraId="13B2EA06" w14:textId="06A11A05" w:rsidR="00000A62" w:rsidRDefault="00000A62" w:rsidP="00000A62">
      <w:pPr>
        <w:pStyle w:val="BodyText"/>
        <w:contextualSpacing/>
        <w:rPr>
          <w:sz w:val="20"/>
        </w:rPr>
      </w:pPr>
      <w:r w:rsidRPr="00000A62">
        <w:rPr>
          <w:sz w:val="20"/>
        </w:rPr>
        <w:t>pD = 23.940 and DIC = 1720.000</w:t>
      </w:r>
    </w:p>
    <w:p w14:paraId="46BB7876" w14:textId="77777777" w:rsidR="00000A62" w:rsidRPr="00000A62" w:rsidRDefault="00000A62" w:rsidP="00000A62">
      <w:pPr>
        <w:pStyle w:val="BodyText"/>
        <w:contextualSpacing/>
        <w:rPr>
          <w:sz w:val="20"/>
        </w:rPr>
      </w:pPr>
    </w:p>
    <w:p w14:paraId="687DA0D0" w14:textId="13F83A97" w:rsidR="000C559B" w:rsidRDefault="00E07877" w:rsidP="00224F0C">
      <w:pPr>
        <w:pStyle w:val="BodyText"/>
        <w:numPr>
          <w:ilvl w:val="0"/>
          <w:numId w:val="10"/>
        </w:numPr>
      </w:pPr>
      <w:r>
        <w:t>Fixed site and fixed year</w:t>
      </w:r>
      <w:r w:rsidR="00DE10F3">
        <w:t xml:space="preserve"> – not working</w:t>
      </w:r>
    </w:p>
    <w:p w14:paraId="7B09A08A" w14:textId="22E32A61" w:rsidR="00E07877" w:rsidRDefault="00E07877" w:rsidP="00224F0C">
      <w:pPr>
        <w:pStyle w:val="BodyText"/>
        <w:numPr>
          <w:ilvl w:val="0"/>
          <w:numId w:val="10"/>
        </w:numPr>
      </w:pPr>
      <w:r>
        <w:t>Random site effects</w:t>
      </w:r>
    </w:p>
    <w:p w14:paraId="1D106590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mean    sd     2.5%      25%      50%      75%    97.5%  Rhat n.eff</w:t>
      </w:r>
    </w:p>
    <w:p w14:paraId="19151018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alpha[1]     3.592 0.054    3.483    3.556    3.593    3.630    3.696 1.001  9000</w:t>
      </w:r>
    </w:p>
    <w:p w14:paraId="581726D5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alpha[2]     4.445 0.037    4.373    4.421    4.446    4.470    4.516 1.001  4500</w:t>
      </w:r>
    </w:p>
    <w:p w14:paraId="0B39A97A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alpha[3]     2.840 0.085    2.671    2.783    2.842    2.899    3.000 1.002  3400</w:t>
      </w:r>
    </w:p>
    <w:p w14:paraId="3E27569B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...</w:t>
      </w:r>
    </w:p>
    <w:p w14:paraId="06325560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lastRenderedPageBreak/>
        <w:t># mu.alpha     3.593 0.101    3.394    3.527    3.593    3.659    3.795 1.001 30000</w:t>
      </w:r>
    </w:p>
    <w:p w14:paraId="5401E7EA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sd.alpha     0.485 0.079    0.359    0.429    0.476    0.530    0.666 1.001 30000</w:t>
      </w:r>
    </w:p>
    <w:p w14:paraId="682AE402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deviance  1566.402 7.014 1555.000 1561.000 1566.000 1571.000 1582.000 1.001 29000</w:t>
      </w:r>
    </w:p>
    <w:p w14:paraId="5079FF10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 xml:space="preserve"># </w:t>
      </w:r>
    </w:p>
    <w:p w14:paraId="733AD696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For each parameter, n.eff is a crude measure of effective sample size,</w:t>
      </w:r>
    </w:p>
    <w:p w14:paraId="3347272A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and Rhat is the potential scale reduction factor (at convergence, Rhat=1).</w:t>
      </w:r>
    </w:p>
    <w:p w14:paraId="4BB634AC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 xml:space="preserve"># </w:t>
      </w:r>
    </w:p>
    <w:p w14:paraId="280F9017" w14:textId="77777777" w:rsidR="00DE10F3" w:rsidRP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DIC info (using the rule, pD = Dbar-Dhat)</w:t>
      </w:r>
    </w:p>
    <w:p w14:paraId="34EC7611" w14:textId="78178184" w:rsidR="00DE10F3" w:rsidRDefault="00DE10F3" w:rsidP="00DE10F3">
      <w:pPr>
        <w:pStyle w:val="BodyText"/>
        <w:contextualSpacing/>
        <w:rPr>
          <w:sz w:val="20"/>
        </w:rPr>
      </w:pPr>
      <w:r w:rsidRPr="00DE10F3">
        <w:rPr>
          <w:sz w:val="20"/>
        </w:rPr>
        <w:t># pD = 23.650 and DIC = 1590.000</w:t>
      </w:r>
    </w:p>
    <w:p w14:paraId="164BDD02" w14:textId="77777777" w:rsidR="00DE10F3" w:rsidRPr="00DE10F3" w:rsidRDefault="00DE10F3" w:rsidP="00DE10F3">
      <w:pPr>
        <w:pStyle w:val="BodyText"/>
        <w:contextualSpacing/>
        <w:rPr>
          <w:sz w:val="20"/>
        </w:rPr>
      </w:pPr>
    </w:p>
    <w:p w14:paraId="0CA4A1E3" w14:textId="16E6018C" w:rsidR="00E07877" w:rsidRDefault="00E07877" w:rsidP="00224F0C">
      <w:pPr>
        <w:pStyle w:val="BodyText"/>
        <w:numPr>
          <w:ilvl w:val="0"/>
          <w:numId w:val="10"/>
        </w:numPr>
      </w:pPr>
      <w:r>
        <w:t>Random site and year effects</w:t>
      </w:r>
      <w:r w:rsidR="00C978FA">
        <w:t xml:space="preserve"> – not getting convergence</w:t>
      </w:r>
    </w:p>
    <w:p w14:paraId="7FDD8574" w14:textId="569ED5EE" w:rsidR="00E07877" w:rsidRDefault="00E07877" w:rsidP="00224F0C">
      <w:pPr>
        <w:pStyle w:val="BodyText"/>
        <w:numPr>
          <w:ilvl w:val="0"/>
          <w:numId w:val="10"/>
        </w:numPr>
      </w:pPr>
      <w:r>
        <w:t>Random site + year + overall trend</w:t>
      </w:r>
      <w:r w:rsidR="007B6732">
        <w:t xml:space="preserve"> – not getting convergence</w:t>
      </w:r>
    </w:p>
    <w:p w14:paraId="33BE70C3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GLMM_siteyr_r_trend &lt;- function() {</w:t>
      </w:r>
    </w:p>
    <w:p w14:paraId="2BF8AE60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#priors</w:t>
      </w:r>
    </w:p>
    <w:p w14:paraId="7E4661ED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mu ~ dnorm(0, 0.01) #overall intercept</w:t>
      </w:r>
    </w:p>
    <w:p w14:paraId="29C21233" w14:textId="1FD33303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beta1 ~ dnorm(0, 0.01) #overall trend</w:t>
      </w:r>
    </w:p>
    <w:p w14:paraId="15410393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for (j in 1:nsite) {</w:t>
      </w:r>
    </w:p>
    <w:p w14:paraId="7A32D818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alpha[j] ~ dnorm(0, tau.alpha) #random site effects</w:t>
      </w:r>
    </w:p>
    <w:p w14:paraId="0B990BAE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}</w:t>
      </w:r>
    </w:p>
    <w:p w14:paraId="0961C88A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tau.alpha &lt;- 1/(sd.alpha*sd.alpha)</w:t>
      </w:r>
    </w:p>
    <w:p w14:paraId="2F4F6BE8" w14:textId="5A4C36BC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sd.alpha ~ dunif(0, 3)</w:t>
      </w:r>
    </w:p>
    <w:p w14:paraId="14EB7FBF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for (i in 1:nyear) {</w:t>
      </w:r>
    </w:p>
    <w:p w14:paraId="29907B69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eps[i] ~ dnorm(0, tau.eps) #random year effects</w:t>
      </w:r>
    </w:p>
    <w:p w14:paraId="26DB2764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}</w:t>
      </w:r>
    </w:p>
    <w:p w14:paraId="4082DC4D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tau.eps &lt;- 1/(sd.eps*sd.eps)</w:t>
      </w:r>
    </w:p>
    <w:p w14:paraId="774A5FEB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sd.eps ~ dunif(0, 1)</w:t>
      </w:r>
    </w:p>
    <w:p w14:paraId="7B4EB46D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</w:t>
      </w:r>
    </w:p>
    <w:p w14:paraId="156CB5C2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#likelihood</w:t>
      </w:r>
    </w:p>
    <w:p w14:paraId="06858635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for (i in 1:nyear) {</w:t>
      </w:r>
    </w:p>
    <w:p w14:paraId="4B7A519B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for (j in 1:nsite) {</w:t>
      </w:r>
    </w:p>
    <w:p w14:paraId="2E99838C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  C[i,j] ~ dpois(lambda[i,j])</w:t>
      </w:r>
    </w:p>
    <w:p w14:paraId="52585C56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  lambda[i,j] &lt;- exp(log.lambda[i,j])</w:t>
      </w:r>
    </w:p>
    <w:p w14:paraId="22DB3E37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  log.lambda[i,j] &lt;- mu + beta1*year[i] + alpha[j] + eps[i]</w:t>
      </w:r>
    </w:p>
    <w:p w14:paraId="4FEE77D5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} #j</w:t>
      </w:r>
    </w:p>
    <w:p w14:paraId="0A77F488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} #i</w:t>
      </w:r>
    </w:p>
    <w:p w14:paraId="36ECCA31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}</w:t>
      </w:r>
    </w:p>
    <w:p w14:paraId="351589E6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write.model(GLMM_siteyr_r_trend, "GLMM_siteyr_r_trend.txt")</w:t>
      </w:r>
    </w:p>
    <w:p w14:paraId="16581D11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model.fileGLMM_siteyr_r_trend = paste(getwd(),"GLMM_siteyr_r_trend.txt", sep="/")</w:t>
      </w:r>
    </w:p>
    <w:p w14:paraId="4D5FC6DA" w14:textId="77777777" w:rsidR="007B6732" w:rsidRPr="007B6732" w:rsidRDefault="007B6732" w:rsidP="007B6732">
      <w:pPr>
        <w:pStyle w:val="BodyText"/>
        <w:contextualSpacing/>
        <w:rPr>
          <w:sz w:val="18"/>
        </w:rPr>
      </w:pPr>
    </w:p>
    <w:p w14:paraId="6E5C8371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#bundle etc.</w:t>
      </w:r>
    </w:p>
    <w:p w14:paraId="6E2B759E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mean.year &lt;- mean(1:length(PG_yearly_island$year))</w:t>
      </w:r>
    </w:p>
    <w:p w14:paraId="144C1A13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sd.year &lt;- sd(1:length(PG_yearly_island$year))</w:t>
      </w:r>
    </w:p>
    <w:p w14:paraId="4690FF21" w14:textId="77777777" w:rsidR="007B6732" w:rsidRPr="007B6732" w:rsidRDefault="007B6732" w:rsidP="007B6732">
      <w:pPr>
        <w:pStyle w:val="BodyText"/>
        <w:contextualSpacing/>
        <w:rPr>
          <w:sz w:val="18"/>
        </w:rPr>
      </w:pPr>
    </w:p>
    <w:p w14:paraId="43985F9E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win.data &lt;- list(C = t(C), nsite = nrow(C), nyear = ncol(C), </w:t>
      </w:r>
    </w:p>
    <w:p w14:paraId="479906F1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             year = (1:length(PG_yearly_island$year) - mean.year)/sd.year)</w:t>
      </w:r>
    </w:p>
    <w:p w14:paraId="54AC1D85" w14:textId="77777777" w:rsidR="007B6732" w:rsidRPr="007B6732" w:rsidRDefault="007B6732" w:rsidP="007B6732">
      <w:pPr>
        <w:pStyle w:val="BodyText"/>
        <w:contextualSpacing/>
        <w:rPr>
          <w:sz w:val="18"/>
        </w:rPr>
      </w:pPr>
    </w:p>
    <w:p w14:paraId="69F56C94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inits &lt;- function() list(mu = runif(1, 0, 4), </w:t>
      </w:r>
    </w:p>
    <w:p w14:paraId="07534DE0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                     alpha = runif(235, -1, 1),</w:t>
      </w:r>
    </w:p>
    <w:p w14:paraId="21DF3144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                     beta1 = runif(1, -1, 1),</w:t>
      </w:r>
    </w:p>
    <w:p w14:paraId="0A71BB99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 xml:space="preserve">                         eps = runif(9, -1, 1))</w:t>
      </w:r>
    </w:p>
    <w:p w14:paraId="48369168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params &lt;- c("mu", "beta1", "alpha", "eps", "sd.alpha", "sd.eps")</w:t>
      </w:r>
    </w:p>
    <w:p w14:paraId="70751ECA" w14:textId="77777777" w:rsidR="007B6732" w:rsidRPr="007B6732" w:rsidRDefault="007B6732" w:rsidP="007B6732">
      <w:pPr>
        <w:pStyle w:val="BodyText"/>
        <w:contextualSpacing/>
        <w:rPr>
          <w:sz w:val="18"/>
        </w:rPr>
      </w:pPr>
    </w:p>
    <w:p w14:paraId="582B2DAF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ni &lt;- 12000</w:t>
      </w:r>
    </w:p>
    <w:p w14:paraId="0B84679F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nt &lt;- 6</w:t>
      </w:r>
    </w:p>
    <w:p w14:paraId="7187F874" w14:textId="77777777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nb &lt;- 6000</w:t>
      </w:r>
    </w:p>
    <w:p w14:paraId="577FA30C" w14:textId="0853751A" w:rsidR="007B6732" w:rsidRPr="007B6732" w:rsidRDefault="007B6732" w:rsidP="007B6732">
      <w:pPr>
        <w:pStyle w:val="BodyText"/>
        <w:contextualSpacing/>
        <w:rPr>
          <w:sz w:val="18"/>
        </w:rPr>
      </w:pPr>
      <w:r w:rsidRPr="007B6732">
        <w:rPr>
          <w:sz w:val="18"/>
        </w:rPr>
        <w:t>nc &lt;- 3</w:t>
      </w:r>
    </w:p>
    <w:p w14:paraId="66D81B45" w14:textId="77777777" w:rsidR="00B04D53" w:rsidRDefault="00B04D53" w:rsidP="00DD09F9">
      <w:pPr>
        <w:pStyle w:val="BodyText"/>
        <w:ind w:left="540"/>
      </w:pPr>
    </w:p>
    <w:p w14:paraId="38DC9E5E" w14:textId="77777777" w:rsidR="007B6732" w:rsidRDefault="007B6732" w:rsidP="007B6732">
      <w:pPr>
        <w:pStyle w:val="BodyText"/>
      </w:pPr>
    </w:p>
    <w:p w14:paraId="39BA4382" w14:textId="17C586F8" w:rsidR="0041168D" w:rsidRDefault="0041168D" w:rsidP="007B6732">
      <w:pPr>
        <w:pStyle w:val="BodyText"/>
      </w:pPr>
      <w:r>
        <w:lastRenderedPageBreak/>
        <w:t>Next steps?</w:t>
      </w:r>
    </w:p>
    <w:p w14:paraId="39BCB701" w14:textId="02B44E59" w:rsidR="0041168D" w:rsidRDefault="0041168D" w:rsidP="0041168D">
      <w:pPr>
        <w:pStyle w:val="BodyText"/>
        <w:numPr>
          <w:ilvl w:val="0"/>
          <w:numId w:val="8"/>
        </w:numPr>
      </w:pPr>
      <w:r>
        <w:t xml:space="preserve">Same </w:t>
      </w:r>
      <w:r w:rsidR="007B6732">
        <w:t xml:space="preserve">Ch 3 GLM </w:t>
      </w:r>
      <w:r>
        <w:t>approach for fecundity (number of successful nests) and binomial GLM for percent of successful nests</w:t>
      </w:r>
    </w:p>
    <w:p w14:paraId="39A3F5E9" w14:textId="621DB034" w:rsidR="007B6732" w:rsidRDefault="007B6732" w:rsidP="007B6732">
      <w:pPr>
        <w:pStyle w:val="BodyText"/>
        <w:numPr>
          <w:ilvl w:val="1"/>
          <w:numId w:val="8"/>
        </w:numPr>
      </w:pPr>
      <w:r>
        <w:t>First need burrow-level data for 2015-2017</w:t>
      </w:r>
    </w:p>
    <w:p w14:paraId="419CA8AC" w14:textId="4F99C55C" w:rsidR="007B6732" w:rsidRDefault="007B6732" w:rsidP="007B6732">
      <w:pPr>
        <w:pStyle w:val="BodyText"/>
        <w:numPr>
          <w:ilvl w:val="0"/>
          <w:numId w:val="8"/>
        </w:numPr>
      </w:pPr>
      <w:r>
        <w:t>Add study week into GLMM models</w:t>
      </w:r>
    </w:p>
    <w:p w14:paraId="59353875" w14:textId="1494365C" w:rsidR="007B6732" w:rsidRDefault="007B6732" w:rsidP="007B6732">
      <w:pPr>
        <w:pStyle w:val="BodyText"/>
        <w:numPr>
          <w:ilvl w:val="0"/>
          <w:numId w:val="8"/>
        </w:numPr>
      </w:pPr>
      <w:r>
        <w:t>Figure out what to do with multiple counts?</w:t>
      </w:r>
    </w:p>
    <w:p w14:paraId="69C3B8C4" w14:textId="41DA0B10" w:rsidR="007B6732" w:rsidRDefault="007B6732" w:rsidP="007B6732">
      <w:pPr>
        <w:pStyle w:val="BodyText"/>
        <w:numPr>
          <w:ilvl w:val="0"/>
          <w:numId w:val="8"/>
        </w:numPr>
      </w:pPr>
      <w:r>
        <w:t>Data cleaning/checking</w:t>
      </w:r>
    </w:p>
    <w:p w14:paraId="14F62444" w14:textId="0CFF5D82" w:rsidR="007B6732" w:rsidRDefault="007401DC" w:rsidP="007B6732">
      <w:pPr>
        <w:pStyle w:val="BodyText"/>
        <w:numPr>
          <w:ilvl w:val="0"/>
          <w:numId w:val="8"/>
        </w:numPr>
      </w:pPr>
      <w:r>
        <w:t>Try the book exercises</w:t>
      </w:r>
    </w:p>
    <w:p w14:paraId="084CFFD6" w14:textId="3FF81E12" w:rsidR="007401DC" w:rsidRDefault="007401DC" w:rsidP="007B6732">
      <w:pPr>
        <w:pStyle w:val="BodyText"/>
        <w:numPr>
          <w:ilvl w:val="0"/>
          <w:numId w:val="8"/>
        </w:numPr>
      </w:pPr>
      <w:r>
        <w:t>Think about how the different regions could be combined – random “regional” effect?</w:t>
      </w:r>
    </w:p>
    <w:p w14:paraId="29731BA4" w14:textId="2CA67AEC" w:rsidR="007401DC" w:rsidRDefault="007401DC" w:rsidP="007B6732">
      <w:pPr>
        <w:pStyle w:val="BodyText"/>
        <w:numPr>
          <w:ilvl w:val="0"/>
          <w:numId w:val="8"/>
        </w:numPr>
      </w:pPr>
      <w:r>
        <w:t>Still compiling references for overall alcids</w:t>
      </w:r>
    </w:p>
    <w:p w14:paraId="69E68E22" w14:textId="77777777" w:rsidR="007C1C07" w:rsidRPr="008D288F" w:rsidRDefault="007C1C07" w:rsidP="008D288F">
      <w:pPr>
        <w:pStyle w:val="BodyText"/>
      </w:pPr>
    </w:p>
    <w:sectPr w:rsidR="007C1C07" w:rsidRPr="008D288F" w:rsidSect="008D288F">
      <w:pgSz w:w="12240" w:h="15840"/>
      <w:pgMar w:top="1440" w:right="747" w:bottom="1440" w:left="73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9C443" w14:textId="77777777" w:rsidR="00516DD4" w:rsidRDefault="00516DD4">
      <w:pPr>
        <w:spacing w:after="0"/>
      </w:pPr>
      <w:r>
        <w:separator/>
      </w:r>
    </w:p>
  </w:endnote>
  <w:endnote w:type="continuationSeparator" w:id="0">
    <w:p w14:paraId="77BAA748" w14:textId="77777777" w:rsidR="00516DD4" w:rsidRDefault="00516D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60819" w14:textId="77777777" w:rsidR="00A81215" w:rsidRDefault="00516DD4" w:rsidP="00995C0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F1A7E3" w14:textId="77777777" w:rsidR="00A81215" w:rsidRDefault="00516D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CE9A0" w14:textId="77777777" w:rsidR="00516DD4" w:rsidRDefault="00516DD4">
      <w:r>
        <w:separator/>
      </w:r>
    </w:p>
  </w:footnote>
  <w:footnote w:type="continuationSeparator" w:id="0">
    <w:p w14:paraId="3E7FF52A" w14:textId="77777777" w:rsidR="00516DD4" w:rsidRDefault="00516D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C8B3" w14:textId="77777777" w:rsidR="00A31449" w:rsidRPr="00A31449" w:rsidRDefault="00516DD4" w:rsidP="00A31449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235AEC0"/>
    <w:multiLevelType w:val="multilevel"/>
    <w:tmpl w:val="417C9C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83BF782"/>
    <w:multiLevelType w:val="multilevel"/>
    <w:tmpl w:val="F15E50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830495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F26E43"/>
    <w:multiLevelType w:val="hybridMultilevel"/>
    <w:tmpl w:val="A40CE924"/>
    <w:lvl w:ilvl="0" w:tplc="698E0308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52F3F212"/>
    <w:multiLevelType w:val="multilevel"/>
    <w:tmpl w:val="1B90BFA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5022E30"/>
    <w:multiLevelType w:val="hybridMultilevel"/>
    <w:tmpl w:val="BE2E9ADE"/>
    <w:lvl w:ilvl="0" w:tplc="DE028E32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7D9D3793"/>
    <w:multiLevelType w:val="hybridMultilevel"/>
    <w:tmpl w:val="FB1E7584"/>
    <w:lvl w:ilvl="0" w:tplc="6010B27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A62"/>
    <w:rsid w:val="00011C8B"/>
    <w:rsid w:val="000C559B"/>
    <w:rsid w:val="000F066E"/>
    <w:rsid w:val="00160F64"/>
    <w:rsid w:val="00211E80"/>
    <w:rsid w:val="00224F0C"/>
    <w:rsid w:val="00244726"/>
    <w:rsid w:val="0039656C"/>
    <w:rsid w:val="0041168D"/>
    <w:rsid w:val="00442599"/>
    <w:rsid w:val="00444790"/>
    <w:rsid w:val="0048735E"/>
    <w:rsid w:val="004E29B3"/>
    <w:rsid w:val="00516DD4"/>
    <w:rsid w:val="00590D07"/>
    <w:rsid w:val="007401DC"/>
    <w:rsid w:val="00784D58"/>
    <w:rsid w:val="007B6732"/>
    <w:rsid w:val="007C1C07"/>
    <w:rsid w:val="008C4911"/>
    <w:rsid w:val="008D288F"/>
    <w:rsid w:val="008D6863"/>
    <w:rsid w:val="00911031"/>
    <w:rsid w:val="00915168"/>
    <w:rsid w:val="00A835F0"/>
    <w:rsid w:val="00AD5713"/>
    <w:rsid w:val="00AD7A38"/>
    <w:rsid w:val="00B04D53"/>
    <w:rsid w:val="00B613B5"/>
    <w:rsid w:val="00B86B75"/>
    <w:rsid w:val="00BC48D5"/>
    <w:rsid w:val="00C10CE5"/>
    <w:rsid w:val="00C36279"/>
    <w:rsid w:val="00C978FA"/>
    <w:rsid w:val="00CE4925"/>
    <w:rsid w:val="00DC42FC"/>
    <w:rsid w:val="00DC75E7"/>
    <w:rsid w:val="00DD09F9"/>
    <w:rsid w:val="00DE10F3"/>
    <w:rsid w:val="00E00BE9"/>
    <w:rsid w:val="00E07877"/>
    <w:rsid w:val="00E315A3"/>
    <w:rsid w:val="00F122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B9C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92AB4"/>
    <w:rPr>
      <w:rFonts w:ascii="Times New Roman" w:hAnsi="Times New Roman"/>
      <w:sz w:val="22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D92AB4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44EC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788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0504D" w:themeColor="accen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92AB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AB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1449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nhideWhenUsed/>
    <w:rsid w:val="00A3144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31449"/>
    <w:rPr>
      <w:rFonts w:ascii="Times New Roman" w:hAnsi="Times New Roman"/>
      <w:sz w:val="22"/>
    </w:rPr>
  </w:style>
  <w:style w:type="character" w:styleId="PageNumber">
    <w:name w:val="page number"/>
    <w:basedOn w:val="DefaultParagraphFont"/>
    <w:semiHidden/>
    <w:unhideWhenUsed/>
    <w:rsid w:val="00A8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1347</Words>
  <Characters>7678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Pigeon Guillemot Data Exploration - Whidbey</vt:lpstr>
    </vt:vector>
  </TitlesOfParts>
  <Company/>
  <LinksUpToDate>false</LinksUpToDate>
  <CharactersWithSpaces>9007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Pigeon Guillemot Data Exploration - Whidbey</dc:title>
  <dc:creator>Amanda Warlick</dc:creator>
  <cp:lastModifiedBy>Amanda Warlick</cp:lastModifiedBy>
  <cp:revision>12</cp:revision>
  <dcterms:created xsi:type="dcterms:W3CDTF">2018-06-07T23:36:00Z</dcterms:created>
  <dcterms:modified xsi:type="dcterms:W3CDTF">2018-06-08T16:31:00Z</dcterms:modified>
</cp:coreProperties>
</file>