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Characterization of Pinniped Stranding and Human Interaction Cases along the Oregon and Washington Coasts, 1989 - 2015</w:t>
      </w:r>
    </w:p>
    <w:p>
      <w:pPr>
        <w:pStyle w:val="BodyText"/>
      </w:pPr>
      <w:r>
        <w:rPr>
          <w:b/>
        </w:rPr>
        <w:t xml:space="preserve">Abstract</w:t>
      </w:r>
    </w:p>
    <w:p>
      <w:pPr>
        <w:pStyle w:val="BodyText"/>
      </w:pPr>
      <w:r>
        <w:t xml:space="preserve">Strandings can be used as a proxy to assess pinniped health and the impacts of anthropogenic activities in the local marine environment. We used stranding response network data to examine regional and temporal patterns in strandings and human interaction cases across age and sex for six species in Oregon and Washington from 1989-2015. Over the study period, a total of 14,167 pinnipeds stranded along the coasts of Washington and Oregon, 11% of which were documented as human interaction cases. Gunshot wounds and fisheries interactions comprised the majority of human interaction cases overall (36% and 20%, respectively), though the prevalence of these cases varies across species. The number and prevalence of human interaction cases has increased over time in certain counties, likely partly attributable to increased stranding response effort and improved examination techniques over the study period. The spatial distribution of strandings is highly dependent on species, with a higher proportion of California sea lions, Steller sea lions, and northern elephant seals stranding in Oregon and the majority of harbor seals stranding in Washington. Pups, adults, and males stranded in higher numbers than females and other age classes, though these patterns varied across species likely reflecting the varying seasonal distributions and local abundance of each. Stranding hotspots are different across species and types of human interaction types,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enviornment.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anthropogenic agents of disease, illness, or injury, and studying the spatio-temporal patterns of pinniped strandings can provide insight into these dynamic and interconnected factors influencing the health of populations vulnerable to human activities. Pinnipeds live at the land-sea interface and are often considered sentinels of ocean health (Aguirre and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winds, prey availability, susceptibility to disease, and changes in abundance, pupping season, or species range (Woodhouse 1991; Brabyn and McLean 1992; Wilkinson and Worthy 1999; Norman et al. 2004; Pyenson et al. 2010; Osinga et al. 2012; Berini et al. 2015; Johnston 2015). Stranding records can therefore provide insight into the animals themselves, changes in their environment, and the ongoing impacts of anthropogenic activities in the local area. This study examines trends in strandings and human interaction cases across six pinniped species in the Pacific Northwest from 1989-2015 to investigate sex and age classes affected by different stranding causes,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local abundance and distribution of species, and increased reporting effort (Norman et al. 2004; Jepson 2005; Leeney et al 2008; Berini et al. 2015; Huggins et al. 2015a). Grey seal and harbor seal strandings in the northeast U.S. were found to have increased from the late 1990s to early 2000s likely due to a combination of increasing population size, changing prey abundance, prevailing oceanographic conditions, and increased stranding reporting effort (Harris &amp; Gupta 2006; Johnston 2015). Similarly, gray and common seal strandings in the Netherlands increased likely due to a growing population and the resulting changes in seasonal and spatial distribution (Osinga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in Oregon and Washington, primarily for harbor seals (Stroud and Roffe 1979; Huggins et al. 2013; Lambourn et al. 2013). Norman et al. (2004) identified cetacean stranding hotspots in the Pacific Northwest, and attributed a summer peak in strandings to the increased prevalence of people on beaches, a greater cetacean presence in the area due to seasonal inshore upwelling, and prevailing winds. Patterns in harbor porpoise and orca strandings have been used to examine long-term mortality trends and highlight the importance of consistent response effort and data collection protocols in the region (Barbieri et al. 2013; Huggins et al. 2015a). However, few spatio-temporal analyses have been conducted on long-term stranding patterns for pinnipeds.</w:t>
      </w:r>
    </w:p>
    <w:p>
      <w:pPr>
        <w:pStyle w:val="BodyText"/>
      </w:pPr>
      <w:r>
        <w:t xml:space="preserve">We use comprehensive data from stranding response networks to characterize spatio-temporal trends in age, sex, and cause of strandings and human interaction cases in Oregon and Washington over a longer time period than has been assessed to date. We hypothesize that the number of reported strandings and human interaction cases will have risen over the study period due to a combination of increased population sizes, range expansion, and the enhanced stranding response capacity that occurred in the mid-2000s. We also expect that strandings for different species will not be uniformly distributed along the coast, with hotspots for human interaction cases likely occurring in areas with greater human activities and population density. This study provides an initial investigation into the complexities of overlapping human and pinniped uses of a diverse and changing coastal landscape over time, which is particularly relevant given recent and future predicted anomalous ocean conditions in the area.</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Huggins et al. (2015b) found that while the rate of reported strandings in Washington rose in the late 2000s, likely due to the increased support from the Prescott Grant Program, the average reporting rate for pinnipeds was only just over 20%. This seemingly high degree of uncertainty illustrates the importance of using stranding data as a window into the health, status, or threats facing pinniped populations, but should be interpreted with this uncertainty in mind. However, despite the caveats inherent in studying stranding records, the information often represents the best and only available data, representing the realities of what we know, what we don’t know, and what we might be able to learn in the future. These analyses are critical to natural resource managers tasked with assessing and monitoring pinniped populations, and additionally useful to ensure that stranding network practitioners have the necessary resources to study, collect, and rehabilitate stranded marine animals. Despite the caveats inherent in studying stranding records, these analyses are critical to natural resource managers tasked with assessing and monitoring pinniped populations, and additionally useful to ensure that stranding network practitioners have the necessary resources to study, collect, and rehabilitate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each with unique life history characteristics, local abundance, popultion trends, and ecological behaviors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deltas,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strong haulout site fidelity, hauling out at hundreds of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to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British Columbia and return south in late spring (Lowry and Forney, 2005). Due to these life history and migratory patterns, individuals generally found in the Pacific Northwest are males traveling en-route to feeding areas in fall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60,000 - 75,000 individuals (Carretta et al. 2016, DeMaster 2014),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(NMFS, 2008).</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- 21% each year (Esperon-Rodriguez and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w:t>
      </w:r>
      <w:r>
        <w:br w:type="textWrapping"/>
      </w:r>
      <w:r>
        <w:t xml:space="preserve">Data for this analysis were drawn from the NOAA National Marine Fisheries Service national stranding database (accessed October, 2016), including records for all pinnipeds stranded along Oregon and Washington from 1989-2015 (n = 14,167). In Oregon and Washington, there are numerous stranding networks responsible for retrieving and documenting stranded marine mammals and contributing their data to the national stranding database. These response network members have grown in their capacity and coverage over the study period, particularly in the mid-2000s with the implementation of the Prescott grant program, which could in part cause a rise in reported strandings. One of the challenges inherent in using data from this compilation of stranding response networks is that beach coverage, response capacity, and even data 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rPr>
          <w:i/>
        </w:rPr>
        <w:t xml:space="preserve">Data Characterization</w:t>
      </w:r>
      <w:r>
        <w:br w:type="textWrapping"/>
      </w:r>
      <w:r>
        <w:t xml:space="preserve">The total number of pinnipeds stranded along the coasts of Oregon and Washington were characterized according to sex, age class, and species, and then aggregated by month, year, and stranding location. Records for dead or decomposed animals can be missing certain fields, resulting in "Unknown" or "Unidentified" designations, and are therefore only included in analyses where possible. In addition to examining total stranding cases (both live and dead) across these variables, the number of human interaction cases were also examined. Human interaction (HI) cases are recorded on the Level A stranding intake form, and include "Yes", "No", or "could not be determined (CBD)" designations for whether there is evidence for fisheries interactions, gunshot wounds, boat collisions, or "other" human interactions. Descriptions of "other" human interactions include but are not limited to indeterminant blunt trauma, missing body parts, dog bites, oil, humans feeding or removing animals, etc.</w:t>
      </w:r>
    </w:p>
    <w:p>
      <w:pPr>
        <w:pStyle w:val="BodyText"/>
      </w:pPr>
      <w:r>
        <w:t xml:space="preserve">Stranding response networks that have the capacity to conduct necropsies on a higher percentage of stranded individuals will likely have a higher incidence of positive HI findings, while those that conduct fewer necropsies may have a higher incidence of CBD findings. Therefore, the prevalence of HI cases must be compared to the total number of strandings rather than the total number of HI cases. We analyzed two measures of the prevalence of HI cases: (1) the percent composition of human interaction cases (</w:t>
      </w:r>
      <w:r>
        <w:rPr>
          <w:i/>
        </w:rPr>
        <w:t xml:space="preserve">e.g.</w:t>
      </w:r>
      <w:r>
        <w:t xml:space="preserve"> </w:t>
      </w:r>
      <w:r>
        <w:t xml:space="preserve">number of fisheries interactions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w:t>
      </w:r>
      <w:r>
        <w:t xml:space="preserve">number of fisheries interactions divided by total stranding cases), which could reveal change in the overall prominence of human interactions independent of changes in population demographics.</w:t>
      </w:r>
    </w:p>
    <w:p>
      <w:pPr>
        <w:pStyle w:val="BodyText"/>
      </w:pPr>
      <w:r>
        <w:rPr>
          <w:i/>
        </w:rPr>
        <w:t xml:space="preserve">Statistical Analysis</w:t>
      </w:r>
      <w:r>
        <w:br w:type="textWrapping"/>
      </w:r>
      <w:r>
        <w:t xml:space="preserve">Age class, sex, and species - Mean annual and monthly stranding cases were compared across sex and age classes using general linear model (GLM) regressions with a Poisson distribution and log link function in R 3.3.2, with age class, sex, and species as independent variables and mean annual and monthly stranding cases as the dependent variable. Kruskal-Wallis Nemenyi tests (posthoc.kruskal.nemenyi.test function in the PMCMR package) for non-parametric data were conducted to examine significant pairwise differences across categorical variables such as stranding month, age class, and HI types to determine differences between levels of each explanatory variable. Summary statistics were examined both at the regional level for management-relevant patterns and on a more localized state or county level useful for stranding response practitioners.</w:t>
      </w:r>
    </w:p>
    <w:p>
      <w:pPr>
        <w:pStyle w:val="BodyText"/>
      </w:pPr>
      <w:r>
        <w:t xml:space="preserve">Temporal patterns - To determine whether strandings and HI cases have changed over the study period, we examined both the number and prevalence over time. We used GLM regressions with a Poisson distribution and log link function for mean annual stranding cases against year and repeated this analysis for each species. Regressions were not conducted for specific age or sex classes. Regressions were repeated for the prevalence of HI cases (human interaction types as a proportion of total strandings) (HELP specify proportion method - linear or pop.test). Annual timeseries trends were also explored using Chow's breakpoint test (strucchange package in R) because stranding network capacity and reporting effort have changed over time. The presence of seasonal patterns were tested using GLM regressions and post-hoc Kruskal-Wallis tests, as above, with month as the independent variable and mean monthly stranding cases as the dependent variable.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For this analysis, we assume stranding location can be used as a relative approximation for where strandings and human interactions occurred. To determine possible spatial patterns in overall strandings and HI cases, we again used GLM regression with Poisson distribution and post-hoc Kruskal-Wallis tests using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cannot occur on land, these maps are intended as a qualitative visualization rather than a statistical probability for predicting the spatial distribution of stranding cases. Further refining the parameters of the kernel density function or using saTScan analysis (Kulldorff and Nagarwalla 1995; Kulldorff 2001, 2005) could be explored in the future to refine these hotspots.</w:t>
      </w:r>
    </w:p>
    <w:p>
      <w:pPr>
        <w:pStyle w:val="BodyText"/>
      </w:pPr>
      <w:r>
        <w:rPr>
          <w:b/>
        </w:rPr>
        <w:t xml:space="preserve">Results</w:t>
      </w:r>
    </w:p>
    <w:p>
      <w:pPr>
        <w:pStyle w:val="BodyText"/>
      </w:pPr>
      <w:r>
        <w:t xml:space="preserve">From 1989-2015, local stranding response networks identified and recovered a total of 14,167 stranded pinnipeds along the coast of Oregon and Washington. The majority of these strandings were harbor seals (59%) and California sea lions (19%), followed by a smaller number of Steller sea lions (7%), northern elephant seals (3%), Guadalupe fur seals (1%), and northern fur seals (1%) (Table 1). Approximately 30% were alive and 32% were freshly dead at the time of recovery, with the remaining being in various states of decomposition.</w:t>
      </w:r>
    </w:p>
    <w:p>
      <w:pPr>
        <w:pStyle w:val="BodyText"/>
      </w:pPr>
      <w:r>
        <w:t xml:space="preserve">Stranding causes noted in the stranding records include malnutrition, injury, sickness, out of habitat, abandonment, and human interaction. Findings of human interaction comprised 11% of all stranding cases over the study period, including fisheries interactions (n = 310, comprising 20% of all human interaction cases), gunshot wounds (n = 552, comprising 36%), boat collision injuries (n = 73, comprising 5%), and "other" (n = 606, comprising 40%).</w:t>
      </w:r>
    </w:p>
    <w:p>
      <w:pPr>
        <w:pStyle w:val="BodyText"/>
      </w:pPr>
      <w:r>
        <w:rPr>
          <w:i/>
        </w:rPr>
        <w:t xml:space="preserve">Species</w:t>
      </w:r>
      <w:r>
        <w:br w:type="textWrapping"/>
      </w:r>
      <w:r>
        <w:t xml:space="preserve">As would be expected, average annual strandings are significantly different across species over the study period (chi-sq = 9.8, p &lt; 0.05), ranging from 5 per year for northern fur seals to 307 per year for harbor seals (Figure 1a, Table 1). Harbor seal (59% of total strandings) and California sea lions (19%) were significantly higher than the other species. This is similar to the composition of species within human interaction cases, with harbor seals comprising 55% of HI cases, followed by California sea lions (28%) and Steller sea lions (11%).</w:t>
      </w:r>
    </w:p>
    <w:p>
      <w:pPr>
        <w:pStyle w:val="BodyText"/>
      </w:pPr>
      <w:r>
        <w:t xml:space="preserve">Differences between species are apparent when examining the prevalence of human interaction cases for each species (</w:t>
      </w:r>
      <w:r>
        <w:rPr>
          <w:i/>
        </w:rPr>
        <w:t xml:space="preserve">i.e.</w:t>
      </w:r>
      <w:r>
        <w:t xml:space="preserve">, percentage of cases with evidence of human interaction divided by total number of cases for a given species), and the percent composition of HI cases for each species (</w:t>
      </w:r>
      <w:r>
        <w:rPr>
          <w:i/>
        </w:rPr>
        <w:t xml:space="preserve">i.e.</w:t>
      </w:r>
      <w:r>
        <w:t xml:space="preserve">, the proportion of human interaction cases comprised of gunshot wounds for a given species). The prevalence of HI cases ranges from 8% for northern elephant seals up to 25% for northern fur seals and 17% for Steller sea lions, the latter two being among the more depleted species occurring in the study area (Table 1). The composition of HI cases by type varies considerably across species (Table 1). Gunshot wounds amounted to 74% of human interaction cases for Steller sea lions and 57% for California sea lions, but only 21% for harbor seals. In contrast, fisheries interactions were a lower proportion of human interactions for those three species, but comprised more than 70% of human interaction cases for Guadalupe and northern fur seals (Table 1). The number of boat collision cases is much lower than the other types of human interaction cases, but was most prevalent for northern elephant seals, amounting to 12% of HI cases (Table 1 and Figure 1b). The changes in these rates over time are detailed below.</w:t>
      </w:r>
    </w:p>
    <w:p>
      <w:pPr>
        <w:pStyle w:val="BodyText"/>
      </w:pPr>
      <w:r>
        <w:rPr>
          <w:i/>
        </w:rPr>
        <w:t xml:space="preserve">Sex and Age Class</w:t>
      </w:r>
      <w:r>
        <w:br w:type="textWrapping"/>
      </w:r>
      <w:r>
        <w:t xml:space="preserve">All stranding cases - Annual average strandings were significantly different across both sex (chi-sq = 115.5, p &lt; 0.05) and age class (chi-sq = 219.3, p &lt; 0.05), but remained relatively consistent throughout the study period. From 1989-2015, 33% of all stranding cases were male, 17% female, and 50% unidentified (Table 2). Across all strandings, the majority were pups (28%) and adults (22%), with significantly fewer yearlings (7%) and subadults (6%), with the remainder being unidentified (Table 2).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60% of adults (Table 2). For California sea lions and northern elephant seals, the majority of identified strandings were male, while the sex composition was more equatable for the other species (Table 5). For California sea lions and Steller sea lions, more than half of strandings were adults, while the majority of identifiable strandings for the other four species were pups and yearlings (Table 5).</w:t>
      </w:r>
    </w:p>
    <w:p>
      <w:pPr>
        <w:pStyle w:val="BodyText"/>
      </w:pPr>
      <w:r>
        <w:t xml:space="preserve">Human interaction cases - Similar to overall strandings, the number of HI cases is significantly higher for males compared to females (chi-sq = 114.1, p &lt; 0.05), but the prevalence of human interaction cases is similar for males and females (approximately 16%). The prevalence of fisheries interactions and boat injuries is similar between males and females, though gunshot wounds are more prevalent for males (Table 3). For specific age clases, the number and prevalence of HI cases is significantly higher in pups, adults, and subadults and lowest for yearlings (chi-sq = 191.3, p &lt; 0.05) (Table 4). Fisheries interactions are the most common type of HI case for yearlings (38% of all yearling HI cases) and significantly less prominent for pups (16%). Gunshot wounds are most prominent for adults (57% of adult HI cases) and subadults (51%) and less problematic for pups (4%). Boat collisions comprise a small proportion (2-7%)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1.1x, z = 44.7, p &lt; 0.01), with an annual average of 328.8 individuals throughout the 1990s and 659.4 per year since 2000 (Figure 2a). However, annual strandings are changing differently over the study period for each species; increasing for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(Figure 3a). Examining these trends at the state level might indicate different rates of change.</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1989-2015 (y = 1.1x, z = 27.2, p &lt; 0.001), with an annual average of 20.5 cases throughout the 1990s and 80.4 per year since 2000. Specifically, data show an increasing number of gunshot wounds (y = 6.5x, z = 14.8, p &lt; 0.001), fisheries entanglements (y = 3.7x, z = 9.9, p &lt; 0.001), and boat injuries (y = 1.1x, 25.5, p &lt; 0.001) over the study period (Figure 2b). The</w:t>
      </w:r>
      <w:r>
        <w:t xml:space="preserve"> </w:t>
      </w:r>
      <w:r>
        <w:rPr>
          <w:i/>
        </w:rPr>
        <w:t xml:space="preserve">prevalence</w:t>
      </w:r>
      <w:r>
        <w:t xml:space="preserve"> </w:t>
      </w:r>
      <w:r>
        <w:t xml:space="preserve">of HI cases has also increased overall (y = 0.005x, t = 5.8, p &lt; 0.001) and specifically for gunshot wounds (y = 0.03x, t = 7.5, p &lt; 0.001), fisheries entanglements (y = 0.02x, t = 3.6, p &lt; 0.001), boat injuries (y = 0.001x, t = 6.1, p &lt; 0.001), and other (y = 0.03x, t = 6.1, p &lt; 0.001), with the overall rate of combined HI cases exceeding 20% in 2012, 2013, and 2015 (Figure 4).</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HI cases is increasing for harbor seals (y = 1.9x, z = 10.5, p &lt; 0.001) and California sea lions (y = 1.1x, z = 24.9, p &lt; 0.001) and significantly decreasing for the other species (Figure 3b). The</w:t>
      </w:r>
      <w:r>
        <w:t xml:space="preserve"> </w:t>
      </w:r>
      <w:r>
        <w:rPr>
          <w:i/>
        </w:rPr>
        <w:t xml:space="preserve">prevalence</w:t>
      </w:r>
      <w:r>
        <w:t xml:space="preserve"> </w:t>
      </w:r>
      <w:r>
        <w:t xml:space="preserve">of HI cases has increased for California sea lions (y = 0.003x, t = 1.9, p &lt; 0.05) and northern fur seals (y = 0.08x, t = 1.8, p &lt; 0.1), and decreased for northern elephant seals (y = -0.08x, t = -2.0, p &lt; 0.05) (Figure 4b). More specifically, it is evident that the prevalence of gunshot wounds has decreased for harbor seals (y = -0.07x, t = -2.1, p &lt; 0.05) and increased for Steller sea lions (y = 0.06x, t = 1.7, p &lt; 0.1) and that fisheries entanglements have increased in northern fur seals (y = 0.29x, t = 6.9, p &lt; 0.001) and Guadalupe fur seals (y = 0.19x, t = 3.4, p &lt; 0.001).</w:t>
      </w:r>
    </w:p>
    <w:p>
      <w:pPr>
        <w:pStyle w:val="BodyText"/>
      </w:pPr>
      <w:r>
        <w:t xml:space="preserve">On a seasonal basis, a peak in total strandings is evident, with significantly more strandings occurring May through October compared to November through April (chi-sq = 795.3, p &lt; 0.001). However, the timing of this peak is different for each species. California sea lion strandings are low in February and high in May and August through November. Guadalupe fur seal strandings peak in June, harbor seals April through September, northern elephant seals in April, northern fur seals in May, and Steller sea lion strandings are significantly lower in September and October. The age class composition of stranded animals varies seasonally, ranging from 10-20% pups when strandings are lower in the winter to 60% when strandings are higher during July and August. The number of human interactions cases peaks significantly in the summer only for harbor seals (Figure 5a). The prevalence of HI cases shows a seasonal peak, ranging from 11% to 23% of cases depending on the month (Figure 5b). The proportion of fisheries interactions cases is higher in June and August than other months, while boat injuries and gunshots do not change significantly throughout the months of the year (Figure 5c).</w:t>
      </w:r>
    </w:p>
    <w:p>
      <w:pPr>
        <w:pStyle w:val="BodyText"/>
      </w:pPr>
      <w:r>
        <w:rPr>
          <w:i/>
        </w:rPr>
        <w:t xml:space="preserve">Spatial Patterns</w:t>
      </w:r>
      <w:r>
        <w:br w:type="textWrapping"/>
      </w:r>
      <w:r>
        <w:t xml:space="preserve">Over the study period, more strandings occurred in Washington and fewer occurred in Oregon, with the percentage of annual strandings in Oregon ranging from 8% to 58% and averaging 35% for the whole study period (Figure 6). Similarly, 35% of all HI cases occurred in Oregon and the remaining 65% in Washington. However, the specific types of HI cases are differently distributed between the two states compared with overall strandings and combined HI cases, with approximately 32% of boat collisions, 50% of fisheries interactions, and 42% of gunshot wounds, and 16% of "other" cases occurring in Oregon. The lower percentage of "other" HI cases in Oregon is likely due to the fact that the majority of those cases are harbor seal pups, and a disproportional number of harbor seal stranding occurs in Washington, as described above. The higher percentage of boat-related injuries in Washington could be attributed the prevalence ferry and shipping traffic and recreational boating opportunities throughout Puget Sound and the Salish Sea.</w:t>
      </w:r>
    </w:p>
    <w:p>
      <w:pPr>
        <w:pStyle w:val="BodyText"/>
      </w:pPr>
      <w:r>
        <w:t xml:space="preserve">At the county level, strandings were not evenly distributed along the coast (chi-sq = 796.1, p &lt; 0.001). In Washington, strandings were highest in San Juan, Island, King, Pierce, and Grays Harbor counties (Figure 7). Similarly, the number of HI cases were significantly higher in Grays Harbor, Pierce, and Pacific counties, with a disproportionately higher number of cases in Pacific county compared with all strandings, the majority of which were gunshot wounds. Combined human interaction cases increased in Clallam (y = 1.0x, z = 6.8, p &lt; 0.001), Grays Harbor (y = 2.0x, z = 4.2, p &lt; 0.001), Pacific (y = 2.1x, z = 4.7, p &lt; 0.001), and Pierce (y = 2.3x, z = 5.3, p &lt; 0.001)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 These counties were also where the majority of HI cases occurred, though a disproportionately higher number occurred in Clatsop, the majority of which where gunshot wounds. Combined human interaction cases increased in Clatsop (y = 4.1x, z = 2.4, p &lt; 0.05) and Clallam (y = 1.0x, z = 5.7, p &lt; 0.001) counties.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two states,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Our results highlight spatio-temporal stranding hotspots in Oregon and Washington from 1989-2015. Our data show that harbor seals are the most commonly stranding species in Washington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has changed over time, and that strandings and specific human interaction types are clustered in certain counties along the coast. Though Huggins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w:t>
      </w:r>
      <w:r>
        <w:t xml:space="preserve">any given reporting biases that have arisen were probably rooted in logistical issues specific to a given place or situation, and remain true to that area). Therefore, while reported strandings at minimum underestimate the true volume of strandings, the long-term spatio-temporal patterns across sex and age class and the relative changes in the prevalence of human interactions cases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that males of various age classes (but particularly young animals) had a greater number of human interaction cases (Greig et al. 2005, Delong et al. 1990, Kiyota and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w:t>
      </w:r>
    </w:p>
    <w:p>
      <w:pPr>
        <w:pStyle w:val="BodyText"/>
      </w:pPr>
      <w:r>
        <w:t xml:space="preserve">Our finding of a higher percentage of adult strandings differ from others where young animals have comprised the majority of strandings and human interaction cases (Greig et al. 2005; Goldstein et al. 1999; Hanni and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br w:type="textWrapping"/>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 - 16%) and Cape Cod (10%) (Goldstein et al. 1999; Kaplan Dau et al. 2009; Moore et al. 2009; Bogomolni et al. 2010; Keledjian and Mesnick 2013). Similar to other studies (Moore et al. 2009; Bogomolni et al. 2010), the prevalence of HI cases varied considerably across species, being highest for northern fur seals, Steller, and California sea lions, and lower for northern elephant seals and harbor seals (Table 1). This disparity is likely due to a combination the different age classes prevalent for each species and each species having different foraging habits, behavioral tendencies, and preferred habitat and prey.</w:t>
      </w:r>
    </w:p>
    <w:p>
      <w:pPr>
        <w:pStyle w:val="BodyText"/>
      </w:pPr>
      <w:r>
        <w:rPr>
          <w:i/>
        </w:rPr>
        <w:t xml:space="preserve">Temporal Patterns</w:t>
      </w:r>
      <w:r>
        <w:br w:type="textWrapping"/>
      </w:r>
      <w:r>
        <w:t xml:space="preserve">We examined mean annual strandings and human interaction cases, and the prevalence of each human interaction type over the study period. Our results indicate that total annual reported strandings significantly increased over the study period, though this pattern is different for each species. Harbor seals and California sea lion strandings increased over time, while strandings of the other species slightly decreased over time.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throughout spring and summer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and California sea lions, mirroring the rise in overall strandings. Additionally, the</w:t>
      </w:r>
      <w:r>
        <w:t xml:space="preserve"> </w:t>
      </w:r>
      <w:r>
        <w:rPr>
          <w:i/>
        </w:rPr>
        <w:t xml:space="preserve">prevalence</w:t>
      </w:r>
      <w:r>
        <w:t xml:space="preserve"> </w:t>
      </w:r>
      <w:r>
        <w:t xml:space="preserve">of HI cases has increased significantly over time for California sea lions and northern fur seals, and decreased for northern elephant seals. More specifically, the prevalence of gunshot wounds has decreased for harbor seals and northern elephant seals and fisheries entanglements have increased in northern fur seals and Guadalupe fur seals. In California, human interaction cases increased over time throughout the 1990s, averaging 7.5% (Goldstein et al. 1999), which is lower than results presented here. Over a longer time period in California, the prevalence of human interaction cases amounted to 16% of California sea lion strandings from 1983-2010, with fisheries interactions and gunshot wound cases significantly increasing over time (Keledjian and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As expected, overall strandings and HI cases are not distributed equally along the coast at the state and county levels, likely due to the distribution of both the animals and stranding response network effort. From 1989-2015,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absolute number and relative distribution of strandings are different across species, and stranding hotspots are similar to those that have been previously identified for cetaceans and pinnipeds (Norman et al. 2004; Lee 2016). In Washington, harbor seals primarily strand in Puget Sound due to the large number of haulouts and rookeries in the area.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Table 3,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and increased over time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varied for each of the six species that are found in the study area.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 more broadly across all age classes and along the coast. The number of strandings and the prevalence of human interaction cases has increased over time, largely attributed to a combination of changing population size, enhanced stranding response effort, and expanding anthropogenic activities.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w:t>
      </w:r>
    </w:p>
    <w:p>
      <w:pPr>
        <w:pStyle w:val="BodyText"/>
      </w:pPr>
      <w:r>
        <w:rPr>
          <w:b/>
        </w:rPr>
        <w:t xml:space="preserve">Figures and Tables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(b) boxplot of annual human interactions by type, showing a high number of gunshot wounds for California sea lions and Steller sea lions and other cases for harbor seals.</w:t>
      </w:r>
    </w:p>
    <w:p>
      <w:pPr>
        <w:pStyle w:val="BodyText"/>
      </w:pPr>
      <w:r>
        <w:drawing>
          <wp:inline>
            <wp:extent cx="5334000" cy="4191000"/>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t xml:space="preserve">Figure 2: Increasing annual strandings (n = 14,167) over the study period denoted by black regression line (y = 1.1x, z = 44.7, p &lt; 0.01) likely at least in part due to Prescott Grant Program in the mid-2000s; and increasing strandings in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Regression lines not shown for individual species for readability.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3: (a) Annual combined HI cases overall () and per species shows increasing for harbor seals (y = 1.9x, z = 10.5, p &lt; 0.001) and California sea lions (y = 1.1x, z = 24.9, p &lt; 0.001) and significantly decreasing for the other species, and (b) HI TYPES.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(denoted by black regression line, y = 0.005x, t = 5.8, p &lt; 0.001, r-sq = 0.55) and increasing for California sea lions (y = 0.003x, t = 1.9, p &lt; 0.05) and northern fur seals (y = 0.08x, t = 1.8, p &lt; 0.1), and decreasing for northern elephant seals (y = -0.08x, t = -2.0, p &lt; 0.05); (b) increasing for all types combined () and for each HI case type: gunshot wounds (y = 0.03x, t = 7.5, p &lt; 0.001), fisheries entanglements (y = 0.02x, t = 3.6, p &lt; 0.001), boat injuries (y = 0.001x, t = 6.1, p &lt; 0.001), and other (y = 0.03x, t = 6.1, p &lt; 0.001). Regression lines not shown for individual species and HI case types.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(b) age class, showing summer peak for human interaction cases for pups; and (c) human interaction type, showing a high number of fisheries cases in August and other in July.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6"/>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6: Boxplot of monthly strandings over the study period shows increasing average and variability in both states.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7"/>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7: Total strandings (above) and human interaction cases (below) for counties in Washington (left of dashed line) and Oregon (right of dashed line) show higher strandings in Lincoln, San Juan, and Pierce, and proportionally higher HI cases in Clatsop and Pacific.</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8"/>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29"/>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0"/>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(n = 14,167), the prevalence of human interaction cases (HI/all cases) for each species,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19</w:t>
            </w:r>
          </w:p>
        </w:tc>
        <w:tc>
          <w:p>
            <w:pPr>
              <w:pStyle w:val="Compact"/>
              <w:jc w:val="center"/>
            </w:pPr>
            <w:r>
              <w:t xml:space="preserve">68</w:t>
            </w:r>
          </w:p>
        </w:tc>
        <w:tc>
          <w:p>
            <w:pPr>
              <w:pStyle w:val="Compact"/>
              <w:jc w:val="center"/>
            </w:pPr>
            <w:r>
              <w:t xml:space="preserve">32</w:t>
            </w:r>
          </w:p>
        </w:tc>
        <w:tc>
          <w:p>
            <w:pPr>
              <w:pStyle w:val="Compact"/>
              <w:jc w:val="center"/>
            </w:pPr>
            <w:r>
              <w:t xml:space="preserve">15</w:t>
            </w:r>
          </w:p>
        </w:tc>
        <w:tc>
          <w:p>
            <w:pPr>
              <w:pStyle w:val="Compact"/>
              <w:jc w:val="center"/>
            </w:pPr>
            <w:r>
              <w:t xml:space="preserve">20</w:t>
            </w:r>
          </w:p>
        </w:tc>
        <w:tc>
          <w:p>
            <w:pPr>
              <w:pStyle w:val="Compact"/>
              <w:jc w:val="center"/>
            </w:pPr>
            <w:r>
              <w:t xml:space="preserve">57</w:t>
            </w:r>
          </w:p>
        </w:tc>
        <w:tc>
          <w:p>
            <w:pPr>
              <w:pStyle w:val="Compact"/>
              <w:jc w:val="center"/>
            </w:pPr>
            <w:r>
              <w:t xml:space="preserve">4</w:t>
            </w:r>
          </w:p>
        </w:tc>
        <w:tc>
          <w:p>
            <w:pPr>
              <w:pStyle w:val="Compact"/>
              <w:jc w:val="center"/>
            </w:pPr>
            <w:r>
              <w:t xml:space="preserve">19</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1</w:t>
            </w:r>
          </w:p>
        </w:tc>
        <w:tc>
          <w:p>
            <w:pPr>
              <w:pStyle w:val="Compact"/>
              <w:jc w:val="center"/>
            </w:pPr>
            <w:r>
              <w:t xml:space="preserve">58</w:t>
            </w:r>
          </w:p>
        </w:tc>
        <w:tc>
          <w:p>
            <w:pPr>
              <w:pStyle w:val="Compact"/>
              <w:jc w:val="center"/>
            </w:pPr>
            <w:r>
              <w:t xml:space="preserve">42</w:t>
            </w:r>
          </w:p>
        </w:tc>
        <w:tc>
          <w:p>
            <w:pPr>
              <w:pStyle w:val="Compact"/>
              <w:jc w:val="center"/>
            </w:pPr>
            <w:r>
              <w:t xml:space="preserve">13</w:t>
            </w:r>
          </w:p>
        </w:tc>
        <w:tc>
          <w:p>
            <w:pPr>
              <w:pStyle w:val="Compact"/>
              <w:jc w:val="center"/>
            </w:pPr>
            <w:r>
              <w:t xml:space="preserve">72</w:t>
            </w:r>
          </w:p>
        </w:tc>
        <w:tc>
          <w:p>
            <w:pPr>
              <w:pStyle w:val="Compact"/>
              <w:jc w:val="center"/>
            </w:pPr>
            <w:r>
              <w:t xml:space="preserve">6</w:t>
            </w:r>
          </w:p>
        </w:tc>
        <w:tc>
          <w:p>
            <w:pPr>
              <w:pStyle w:val="Compact"/>
              <w:jc w:val="center"/>
            </w:pPr>
            <w:r>
              <w:t xml:space="preserve">0</w:t>
            </w:r>
          </w:p>
        </w:tc>
        <w:tc>
          <w:p>
            <w:pPr>
              <w:pStyle w:val="Compact"/>
              <w:jc w:val="center"/>
            </w:pPr>
            <w:r>
              <w:t xml:space="preserve">22</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59</w:t>
            </w:r>
          </w:p>
        </w:tc>
        <w:tc>
          <w:p>
            <w:pPr>
              <w:pStyle w:val="Compact"/>
              <w:jc w:val="center"/>
            </w:pPr>
            <w:r>
              <w:t xml:space="preserve">15</w:t>
            </w:r>
          </w:p>
        </w:tc>
        <w:tc>
          <w:p>
            <w:pPr>
              <w:pStyle w:val="Compact"/>
              <w:jc w:val="center"/>
            </w:pPr>
            <w:r>
              <w:t xml:space="preserve">85</w:t>
            </w:r>
          </w:p>
        </w:tc>
        <w:tc>
          <w:p>
            <w:pPr>
              <w:pStyle w:val="Compact"/>
              <w:jc w:val="center"/>
            </w:pPr>
            <w:r>
              <w:t xml:space="preserve">10</w:t>
            </w:r>
          </w:p>
        </w:tc>
        <w:tc>
          <w:p>
            <w:pPr>
              <w:pStyle w:val="Compact"/>
              <w:jc w:val="center"/>
            </w:pPr>
            <w:r>
              <w:t xml:space="preserve">18</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w:t>
            </w:r>
          </w:p>
        </w:tc>
        <w:tc>
          <w:p>
            <w:pPr>
              <w:pStyle w:val="Compact"/>
              <w:jc w:val="center"/>
            </w:pPr>
            <w:r>
              <w:t xml:space="preserve">65</w:t>
            </w:r>
          </w:p>
        </w:tc>
        <w:tc>
          <w:p>
            <w:pPr>
              <w:pStyle w:val="Compact"/>
              <w:jc w:val="center"/>
            </w:pPr>
            <w:r>
              <w:t xml:space="preserve">35</w:t>
            </w:r>
          </w:p>
        </w:tc>
        <w:tc>
          <w:p>
            <w:pPr>
              <w:pStyle w:val="Compact"/>
              <w:jc w:val="center"/>
            </w:pPr>
            <w:r>
              <w:t xml:space="preserve">8</w:t>
            </w:r>
          </w:p>
        </w:tc>
        <w:tc>
          <w:p>
            <w:pPr>
              <w:pStyle w:val="Compact"/>
              <w:jc w:val="center"/>
            </w:pPr>
            <w:r>
              <w:t xml:space="preserve">9</w:t>
            </w:r>
          </w:p>
        </w:tc>
        <w:tc>
          <w:p>
            <w:pPr>
              <w:pStyle w:val="Compact"/>
              <w:jc w:val="center"/>
            </w:pPr>
            <w:r>
              <w:t xml:space="preserve">33</w:t>
            </w:r>
          </w:p>
        </w:tc>
        <w:tc>
          <w:p>
            <w:pPr>
              <w:pStyle w:val="Compact"/>
              <w:jc w:val="center"/>
            </w:pPr>
            <w:r>
              <w:t xml:space="preserve">12</w:t>
            </w:r>
          </w:p>
        </w:tc>
        <w:tc>
          <w:p>
            <w:pPr>
              <w:pStyle w:val="Compact"/>
              <w:jc w:val="center"/>
            </w:pPr>
            <w:r>
              <w:t xml:space="preserve">45</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1</w:t>
            </w:r>
          </w:p>
        </w:tc>
        <w:tc>
          <w:p>
            <w:pPr>
              <w:pStyle w:val="Compact"/>
              <w:jc w:val="center"/>
            </w:pPr>
            <w:r>
              <w:t xml:space="preserve">59</w:t>
            </w:r>
          </w:p>
        </w:tc>
        <w:tc>
          <w:p>
            <w:pPr>
              <w:pStyle w:val="Compact"/>
              <w:jc w:val="center"/>
            </w:pPr>
            <w:r>
              <w:t xml:space="preserve">41</w:t>
            </w:r>
          </w:p>
        </w:tc>
        <w:tc>
          <w:p>
            <w:pPr>
              <w:pStyle w:val="Compact"/>
              <w:jc w:val="center"/>
            </w:pPr>
            <w:r>
              <w:t xml:space="preserve">25</w:t>
            </w:r>
          </w:p>
        </w:tc>
        <w:tc>
          <w:p>
            <w:pPr>
              <w:pStyle w:val="Compact"/>
              <w:jc w:val="center"/>
            </w:pPr>
            <w:r>
              <w:t xml:space="preserve">74</w:t>
            </w:r>
          </w:p>
        </w:tc>
        <w:tc>
          <w:p>
            <w:pPr>
              <w:pStyle w:val="Compact"/>
              <w:jc w:val="center"/>
            </w:pPr>
            <w:r>
              <w:t xml:space="preserve">4</w:t>
            </w:r>
          </w:p>
        </w:tc>
        <w:tc>
          <w:p>
            <w:pPr>
              <w:pStyle w:val="Compact"/>
              <w:jc w:val="center"/>
            </w:pPr>
            <w:r>
              <w:t xml:space="preserve">0</w:t>
            </w:r>
          </w:p>
        </w:tc>
        <w:tc>
          <w:p>
            <w:pPr>
              <w:pStyle w:val="Compact"/>
              <w:jc w:val="center"/>
            </w:pPr>
            <w:r>
              <w:t xml:space="preserve">22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7</w:t>
            </w:r>
          </w:p>
        </w:tc>
        <w:tc>
          <w:p>
            <w:pPr>
              <w:pStyle w:val="Compact"/>
              <w:jc w:val="center"/>
            </w:pPr>
            <w:r>
              <w:t xml:space="preserve">67</w:t>
            </w:r>
          </w:p>
        </w:tc>
        <w:tc>
          <w:p>
            <w:pPr>
              <w:pStyle w:val="Compact"/>
              <w:jc w:val="center"/>
            </w:pPr>
            <w:r>
              <w:t xml:space="preserve">33</w:t>
            </w:r>
          </w:p>
        </w:tc>
        <w:tc>
          <w:p>
            <w:pPr>
              <w:pStyle w:val="Compact"/>
              <w:jc w:val="center"/>
            </w:pPr>
            <w:r>
              <w:t xml:space="preserve">17</w:t>
            </w:r>
          </w:p>
        </w:tc>
        <w:tc>
          <w:p>
            <w:pPr>
              <w:pStyle w:val="Compact"/>
              <w:jc w:val="center"/>
            </w:pPr>
            <w:r>
              <w:t xml:space="preserve">16</w:t>
            </w:r>
          </w:p>
        </w:tc>
        <w:tc>
          <w:p>
            <w:pPr>
              <w:pStyle w:val="Compact"/>
              <w:jc w:val="center"/>
            </w:pPr>
            <w:r>
              <w:t xml:space="preserve">74</w:t>
            </w:r>
          </w:p>
        </w:tc>
        <w:tc>
          <w:p>
            <w:pPr>
              <w:pStyle w:val="Compact"/>
              <w:jc w:val="center"/>
            </w:pPr>
            <w:r>
              <w:t xml:space="preserve">1</w:t>
            </w:r>
          </w:p>
        </w:tc>
        <w:tc>
          <w:p>
            <w:pPr>
              <w:pStyle w:val="Compact"/>
              <w:jc w:val="center"/>
            </w:pPr>
            <w:r>
              <w:t xml:space="preserve">8</w:t>
            </w:r>
          </w:p>
        </w:tc>
      </w:tr>
      <w:tr>
        <w:tc>
          <w:p>
            <w:pPr>
              <w:pStyle w:val="Compact"/>
              <w:jc w:val="center"/>
            </w:pPr>
            <w:r>
              <w:t xml:space="preserve">Unidentified</w:t>
            </w:r>
          </w:p>
        </w:tc>
        <w:tc>
          <w:p>
            <w:pPr>
              <w:pStyle w:val="Compact"/>
              <w:jc w:val="center"/>
            </w:pPr>
            <w:r>
              <w:t xml:space="preserve">1595</w:t>
            </w:r>
          </w:p>
        </w:tc>
        <w:tc>
          <w:p>
            <w:pPr>
              <w:pStyle w:val="Compact"/>
              <w:jc w:val="center"/>
            </w:pPr>
            <w:r>
              <w:t xml:space="preserve">11</w:t>
            </w:r>
          </w:p>
        </w:tc>
        <w:tc>
          <w:p>
            <w:pPr>
              <w:pStyle w:val="Compact"/>
              <w:jc w:val="center"/>
            </w:pPr>
            <w:r>
              <w:t xml:space="preserve">64</w:t>
            </w:r>
          </w:p>
        </w:tc>
        <w:tc>
          <w:p>
            <w:pPr>
              <w:pStyle w:val="Compact"/>
              <w:jc w:val="center"/>
            </w:pPr>
            <w:r>
              <w:t xml:space="preserve">36</w:t>
            </w:r>
          </w:p>
        </w:tc>
        <w:tc>
          <w:p>
            <w:pPr>
              <w:pStyle w:val="Compact"/>
              <w:jc w:val="center"/>
            </w:pPr>
            <w:r>
              <w:t xml:space="preserve">4</w:t>
            </w:r>
          </w:p>
        </w:tc>
        <w:tc>
          <w:p>
            <w:pPr>
              <w:pStyle w:val="Compact"/>
              <w:jc w:val="center"/>
            </w:pPr>
            <w:r>
              <w:t xml:space="preserve">37</w:t>
            </w:r>
          </w:p>
        </w:tc>
        <w:tc>
          <w:p>
            <w:pPr>
              <w:pStyle w:val="Compact"/>
              <w:jc w:val="center"/>
            </w:pPr>
            <w:r>
              <w:t xml:space="preserve">34</w:t>
            </w:r>
          </w:p>
        </w:tc>
        <w:tc>
          <w:p>
            <w:pPr>
              <w:pStyle w:val="Compact"/>
              <w:jc w:val="center"/>
            </w:pPr>
            <w:r>
              <w:t xml:space="preserve">3</w:t>
            </w:r>
          </w:p>
        </w:tc>
        <w:tc>
          <w:p>
            <w:pPr>
              <w:pStyle w:val="Compact"/>
              <w:jc w:val="center"/>
            </w:pPr>
            <w:r>
              <w:t xml:space="preserve">26</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1014</w:t>
            </w:r>
          </w:p>
        </w:tc>
        <w:tc>
          <w:p>
            <w:pPr>
              <w:pStyle w:val="Compact"/>
              <w:jc w:val="center"/>
            </w:pPr>
            <w:r>
              <w:t xml:space="preserve">26</w:t>
            </w:r>
          </w:p>
        </w:tc>
        <w:tc>
          <w:p>
            <w:pPr>
              <w:pStyle w:val="Compact"/>
              <w:jc w:val="center"/>
            </w:pPr>
            <w:r>
              <w:t xml:space="preserve">1072</w:t>
            </w:r>
          </w:p>
        </w:tc>
        <w:tc>
          <w:p>
            <w:pPr>
              <w:pStyle w:val="Compact"/>
              <w:jc w:val="center"/>
            </w:pPr>
            <w:r>
              <w:t xml:space="preserve">27.0</w:t>
            </w:r>
          </w:p>
        </w:tc>
        <w:tc>
          <w:p>
            <w:pPr>
              <w:pStyle w:val="Compact"/>
              <w:jc w:val="center"/>
            </w:pPr>
            <w:r>
              <w:t xml:space="preserve">1856</w:t>
            </w:r>
          </w:p>
        </w:tc>
        <w:tc>
          <w:p>
            <w:pPr>
              <w:pStyle w:val="Compact"/>
              <w:jc w:val="center"/>
            </w:pPr>
            <w:r>
              <w:t xml:space="preserve">47.0</w:t>
            </w:r>
          </w:p>
        </w:tc>
      </w:tr>
      <w:tr>
        <w:tc>
          <w:p>
            <w:pPr>
              <w:pStyle w:val="Compact"/>
              <w:jc w:val="center"/>
            </w:pPr>
            <w:r>
              <w:t xml:space="preserve">Yearling</w:t>
            </w:r>
          </w:p>
        </w:tc>
        <w:tc>
          <w:p>
            <w:pPr>
              <w:pStyle w:val="Compact"/>
              <w:jc w:val="center"/>
            </w:pPr>
            <w:r>
              <w:t xml:space="preserve">168</w:t>
            </w:r>
          </w:p>
        </w:tc>
        <w:tc>
          <w:p>
            <w:pPr>
              <w:pStyle w:val="Compact"/>
              <w:jc w:val="center"/>
            </w:pPr>
            <w:r>
              <w:t xml:space="preserve">18</w:t>
            </w:r>
          </w:p>
        </w:tc>
        <w:tc>
          <w:p>
            <w:pPr>
              <w:pStyle w:val="Compact"/>
              <w:jc w:val="center"/>
            </w:pPr>
            <w:r>
              <w:t xml:space="preserve">287</w:t>
            </w:r>
          </w:p>
        </w:tc>
        <w:tc>
          <w:p>
            <w:pPr>
              <w:pStyle w:val="Compact"/>
              <w:jc w:val="center"/>
            </w:pPr>
            <w:r>
              <w:t xml:space="preserve">31.0</w:t>
            </w:r>
          </w:p>
        </w:tc>
        <w:tc>
          <w:p>
            <w:pPr>
              <w:pStyle w:val="Compact"/>
              <w:jc w:val="center"/>
            </w:pPr>
            <w:r>
              <w:t xml:space="preserve">468</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106</w:t>
            </w:r>
          </w:p>
        </w:tc>
        <w:tc>
          <w:p>
            <w:pPr>
              <w:pStyle w:val="Compact"/>
              <w:jc w:val="center"/>
            </w:pPr>
            <w:r>
              <w:t xml:space="preserve">12</w:t>
            </w:r>
          </w:p>
        </w:tc>
        <w:tc>
          <w:p>
            <w:pPr>
              <w:pStyle w:val="Compact"/>
              <w:jc w:val="center"/>
            </w:pPr>
            <w:r>
              <w:t xml:space="preserve">482</w:t>
            </w:r>
          </w:p>
        </w:tc>
        <w:tc>
          <w:p>
            <w:pPr>
              <w:pStyle w:val="Compact"/>
              <w:jc w:val="center"/>
            </w:pPr>
            <w:r>
              <w:t xml:space="preserve">55.0</w:t>
            </w:r>
          </w:p>
        </w:tc>
        <w:tc>
          <w:p>
            <w:pPr>
              <w:pStyle w:val="Compact"/>
              <w:jc w:val="center"/>
            </w:pPr>
            <w:r>
              <w:t xml:space="preserve">295</w:t>
            </w:r>
          </w:p>
        </w:tc>
        <w:tc>
          <w:p>
            <w:pPr>
              <w:pStyle w:val="Compact"/>
              <w:jc w:val="center"/>
            </w:pPr>
            <w:r>
              <w:t xml:space="preserve">33.0</w:t>
            </w:r>
          </w:p>
        </w:tc>
      </w:tr>
      <w:tr>
        <w:tc>
          <w:p>
            <w:pPr>
              <w:pStyle w:val="Compact"/>
              <w:jc w:val="center"/>
            </w:pPr>
            <w:r>
              <w:t xml:space="preserve">Adult</w:t>
            </w:r>
          </w:p>
        </w:tc>
        <w:tc>
          <w:p>
            <w:pPr>
              <w:pStyle w:val="Compact"/>
              <w:jc w:val="center"/>
            </w:pPr>
            <w:r>
              <w:t xml:space="preserve">567</w:t>
            </w:r>
          </w:p>
        </w:tc>
        <w:tc>
          <w:p>
            <w:pPr>
              <w:pStyle w:val="Compact"/>
              <w:jc w:val="center"/>
            </w:pPr>
            <w:r>
              <w:t xml:space="preserve">18</w:t>
            </w:r>
          </w:p>
        </w:tc>
        <w:tc>
          <w:p>
            <w:pPr>
              <w:pStyle w:val="Compact"/>
              <w:jc w:val="center"/>
            </w:pPr>
            <w:r>
              <w:t xml:space="preserve">1896</w:t>
            </w:r>
          </w:p>
        </w:tc>
        <w:tc>
          <w:p>
            <w:pPr>
              <w:pStyle w:val="Compact"/>
              <w:jc w:val="center"/>
            </w:pPr>
            <w:r>
              <w:t xml:space="preserve">60.0</w:t>
            </w:r>
          </w:p>
        </w:tc>
        <w:tc>
          <w:p>
            <w:pPr>
              <w:pStyle w:val="Compact"/>
              <w:jc w:val="center"/>
            </w:pPr>
            <w:r>
              <w:t xml:space="preserve">706</w:t>
            </w:r>
          </w:p>
        </w:tc>
        <w:tc>
          <w:p>
            <w:pPr>
              <w:pStyle w:val="Compact"/>
              <w:jc w:val="center"/>
            </w:pPr>
            <w:r>
              <w:t xml:space="preserve">22.0</w:t>
            </w:r>
          </w:p>
        </w:tc>
      </w:tr>
      <w:tr>
        <w:tc>
          <w:p>
            <w:pPr>
              <w:pStyle w:val="Compact"/>
              <w:jc w:val="center"/>
            </w:pPr>
            <w:r>
              <w:t xml:space="preserve">Unid</w:t>
            </w:r>
          </w:p>
        </w:tc>
        <w:tc>
          <w:p>
            <w:pPr>
              <w:pStyle w:val="Compact"/>
              <w:jc w:val="center"/>
            </w:pPr>
            <w:r>
              <w:t xml:space="preserve">584</w:t>
            </w:r>
          </w:p>
        </w:tc>
        <w:tc>
          <w:p>
            <w:pPr>
              <w:pStyle w:val="Compact"/>
              <w:jc w:val="center"/>
            </w:pPr>
            <w:r>
              <w:t xml:space="preserve">11</w:t>
            </w:r>
          </w:p>
        </w:tc>
        <w:tc>
          <w:p>
            <w:pPr>
              <w:pStyle w:val="Compact"/>
              <w:jc w:val="center"/>
            </w:pPr>
            <w:r>
              <w:t xml:space="preserve">960</w:t>
            </w:r>
          </w:p>
        </w:tc>
        <w:tc>
          <w:p>
            <w:pPr>
              <w:pStyle w:val="Compact"/>
              <w:jc w:val="center"/>
            </w:pPr>
            <w:r>
              <w:t xml:space="preserve">18.0</w:t>
            </w:r>
          </w:p>
        </w:tc>
        <w:tc>
          <w:p>
            <w:pPr>
              <w:pStyle w:val="Compact"/>
              <w:jc w:val="center"/>
            </w:pPr>
            <w:r>
              <w:t xml:space="preserve">3706</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38.2</w:t>
            </w:r>
          </w:p>
        </w:tc>
        <w:tc>
          <w:p>
            <w:pPr>
              <w:pStyle w:val="Compact"/>
              <w:jc w:val="center"/>
            </w:pPr>
            <w:r>
              <w:t xml:space="preserve">--</w:t>
            </w:r>
          </w:p>
        </w:tc>
        <w:tc>
          <w:p>
            <w:pPr>
              <w:pStyle w:val="Compact"/>
              <w:jc w:val="center"/>
            </w:pPr>
            <w:r>
              <w:t xml:space="preserve">44.8</w:t>
            </w:r>
          </w:p>
        </w:tc>
      </w:tr>
    </w:tbl>
    <w:p>
      <w:pPr>
        <w:pStyle w:val="BodyText"/>
      </w:pPr>
      <w:r>
        <w:t xml:space="preserve">Table 3: Sex composition of all strandings (n = 14,167), the prevalence of human interaction cases for each sex, and the composition of human interaction type for each sex.</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17</w:t>
            </w:r>
          </w:p>
        </w:tc>
        <w:tc>
          <w:p>
            <w:pPr>
              <w:pStyle w:val="Compact"/>
              <w:jc w:val="center"/>
            </w:pPr>
            <w:r>
              <w:t xml:space="preserve">32</w:t>
            </w:r>
          </w:p>
        </w:tc>
        <w:tc>
          <w:p>
            <w:pPr>
              <w:pStyle w:val="Compact"/>
              <w:jc w:val="center"/>
            </w:pPr>
            <w:r>
              <w:t xml:space="preserve">6</w:t>
            </w:r>
          </w:p>
        </w:tc>
        <w:tc>
          <w:p>
            <w:pPr>
              <w:pStyle w:val="Compact"/>
              <w:jc w:val="center"/>
            </w:pPr>
            <w:r>
              <w:t xml:space="preserve">45</w:t>
            </w:r>
          </w:p>
        </w:tc>
      </w:tr>
      <w:tr>
        <w:tc>
          <w:p>
            <w:pPr>
              <w:pStyle w:val="Compact"/>
              <w:jc w:val="center"/>
            </w:pPr>
            <w:r>
              <w:t xml:space="preserve">Male</w:t>
            </w:r>
          </w:p>
        </w:tc>
        <w:tc>
          <w:p>
            <w:pPr>
              <w:pStyle w:val="Compact"/>
              <w:jc w:val="center"/>
            </w:pPr>
            <w:r>
              <w:t xml:space="preserve">33</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w:t>
            </w:r>
          </w:p>
        </w:tc>
        <w:tc>
          <w:p>
            <w:pPr>
              <w:pStyle w:val="Compact"/>
              <w:jc w:val="center"/>
            </w:pPr>
            <w:r>
              <w:t xml:space="preserve">50</w:t>
            </w:r>
          </w:p>
        </w:tc>
        <w:tc>
          <w:p>
            <w:pPr>
              <w:pStyle w:val="Compact"/>
              <w:jc w:val="center"/>
            </w:pPr>
            <w:r>
              <w:t xml:space="preserve">5</w:t>
            </w:r>
          </w:p>
        </w:tc>
        <w:tc>
          <w:p>
            <w:pPr>
              <w:pStyle w:val="Compact"/>
              <w:jc w:val="center"/>
            </w:pPr>
            <w:r>
              <w:t xml:space="preserve">35</w:t>
            </w:r>
          </w:p>
        </w:tc>
        <w:tc>
          <w:p>
            <w:pPr>
              <w:pStyle w:val="Compact"/>
              <w:jc w:val="center"/>
            </w:pPr>
            <w:r>
              <w:t xml:space="preserve">20</w:t>
            </w:r>
          </w:p>
        </w:tc>
        <w:tc>
          <w:p>
            <w:pPr>
              <w:pStyle w:val="Compact"/>
              <w:jc w:val="center"/>
            </w:pPr>
            <w:r>
              <w:t xml:space="preserve">3</w:t>
            </w:r>
          </w:p>
        </w:tc>
        <w:tc>
          <w:p>
            <w:pPr>
              <w:pStyle w:val="Compact"/>
              <w:jc w:val="center"/>
            </w:pPr>
            <w:r>
              <w:t xml:space="preserve">42</w:t>
            </w:r>
          </w:p>
        </w:tc>
      </w:tr>
    </w:tbl>
    <w:p>
      <w:pPr>
        <w:pStyle w:val="BodyText"/>
      </w:pPr>
      <w:r>
        <w:t xml:space="preserve">Table 4: Age composition of all strandings (n = 14,167),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16</w:t>
            </w:r>
          </w:p>
        </w:tc>
        <w:tc>
          <w:p>
            <w:pPr>
              <w:pStyle w:val="Compact"/>
              <w:jc w:val="center"/>
            </w:pPr>
            <w:r>
              <w:t xml:space="preserve">4</w:t>
            </w:r>
          </w:p>
        </w:tc>
        <w:tc>
          <w:p>
            <w:pPr>
              <w:pStyle w:val="Compact"/>
              <w:jc w:val="center"/>
            </w:pPr>
            <w:r>
              <w:t xml:space="preserve">7</w:t>
            </w:r>
          </w:p>
        </w:tc>
        <w:tc>
          <w:p>
            <w:pPr>
              <w:pStyle w:val="Compact"/>
              <w:jc w:val="center"/>
            </w:pPr>
            <w:r>
              <w:t xml:space="preserve">73</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38</w:t>
            </w:r>
          </w:p>
        </w:tc>
        <w:tc>
          <w:p>
            <w:pPr>
              <w:pStyle w:val="Compact"/>
              <w:jc w:val="center"/>
            </w:pPr>
            <w:r>
              <w:t xml:space="preserve">19</w:t>
            </w:r>
          </w:p>
        </w:tc>
        <w:tc>
          <w:p>
            <w:pPr>
              <w:pStyle w:val="Compact"/>
              <w:jc w:val="center"/>
            </w:pPr>
            <w:r>
              <w:t xml:space="preserve">5</w:t>
            </w:r>
          </w:p>
        </w:tc>
        <w:tc>
          <w:p>
            <w:pPr>
              <w:pStyle w:val="Compact"/>
              <w:jc w:val="center"/>
            </w:pPr>
            <w:r>
              <w:t xml:space="preserve">37</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22</w:t>
            </w:r>
          </w:p>
        </w:tc>
        <w:tc>
          <w:p>
            <w:pPr>
              <w:pStyle w:val="Compact"/>
              <w:jc w:val="center"/>
            </w:pPr>
            <w:r>
              <w:t xml:space="preserve">17</w:t>
            </w:r>
          </w:p>
        </w:tc>
        <w:tc>
          <w:p>
            <w:pPr>
              <w:pStyle w:val="Compact"/>
              <w:jc w:val="center"/>
            </w:pPr>
            <w:r>
              <w:t xml:space="preserve">17</w:t>
            </w:r>
          </w:p>
        </w:tc>
        <w:tc>
          <w:p>
            <w:pPr>
              <w:pStyle w:val="Compact"/>
              <w:jc w:val="center"/>
            </w:pPr>
            <w:r>
              <w:t xml:space="preserve">57</w:t>
            </w:r>
          </w:p>
        </w:tc>
        <w:tc>
          <w:p>
            <w:pPr>
              <w:pStyle w:val="Compact"/>
              <w:jc w:val="center"/>
            </w:pPr>
            <w:r>
              <w:t xml:space="preserve">5</w:t>
            </w:r>
          </w:p>
        </w:tc>
        <w:tc>
          <w:p>
            <w:pPr>
              <w:pStyle w:val="Compact"/>
              <w:jc w:val="center"/>
            </w:pPr>
            <w:r>
              <w:t xml:space="preserve">21</w:t>
            </w:r>
          </w:p>
        </w:tc>
      </w:tr>
      <w:tr>
        <w:tc>
          <w:p>
            <w:pPr>
              <w:pStyle w:val="Compact"/>
              <w:jc w:val="center"/>
            </w:pPr>
            <w:r>
              <w:t xml:space="preserve">Unid</w:t>
            </w:r>
          </w:p>
        </w:tc>
        <w:tc>
          <w:p>
            <w:pPr>
              <w:pStyle w:val="Compact"/>
              <w:jc w:val="center"/>
            </w:pPr>
            <w:r>
              <w:t xml:space="preserve">37</w:t>
            </w:r>
          </w:p>
        </w:tc>
        <w:tc>
          <w:p>
            <w:pPr>
              <w:pStyle w:val="Compact"/>
              <w:jc w:val="center"/>
            </w:pPr>
            <w:r>
              <w:t xml:space="preserve">7</w:t>
            </w:r>
          </w:p>
        </w:tc>
        <w:tc>
          <w:p>
            <w:pPr>
              <w:pStyle w:val="Compact"/>
              <w:jc w:val="center"/>
            </w:pPr>
            <w:r>
              <w:t xml:space="preserve">27</w:t>
            </w:r>
          </w:p>
        </w:tc>
        <w:tc>
          <w:p>
            <w:pPr>
              <w:pStyle w:val="Compact"/>
              <w:jc w:val="center"/>
            </w:pPr>
            <w:r>
              <w:t xml:space="preserve">42</w:t>
            </w:r>
          </w:p>
        </w:tc>
        <w:tc>
          <w:p>
            <w:pPr>
              <w:pStyle w:val="Compact"/>
              <w:jc w:val="center"/>
            </w:pPr>
            <w:r>
              <w:t xml:space="preserve">2</w:t>
            </w:r>
          </w:p>
        </w:tc>
        <w:tc>
          <w:p>
            <w:pPr>
              <w:pStyle w:val="Compact"/>
              <w:jc w:val="center"/>
            </w:pPr>
            <w:r>
              <w:t xml:space="preserve">29</w:t>
            </w:r>
          </w:p>
        </w:tc>
      </w:tr>
    </w:tbl>
    <w:p>
      <w:pPr>
        <w:pStyle w:val="BodyText"/>
      </w:pPr>
      <w:r>
        <w:t xml:space="preserve">Table 5: Age class and sex composition of all strandings (n = 14,167)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Unidentified Age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76.3</w:t>
            </w:r>
          </w:p>
        </w:tc>
        <w:tc>
          <w:p>
            <w:pPr>
              <w:pStyle w:val="Compact"/>
              <w:jc w:val="center"/>
            </w:pPr>
            <w:r>
              <w:t xml:space="preserve">1.1</w:t>
            </w:r>
          </w:p>
        </w:tc>
        <w:tc>
          <w:p>
            <w:pPr>
              <w:pStyle w:val="Compact"/>
              <w:jc w:val="center"/>
            </w:pPr>
            <w:r>
              <w:t xml:space="preserve">0.3</w:t>
            </w:r>
          </w:p>
        </w:tc>
        <w:tc>
          <w:p>
            <w:pPr>
              <w:pStyle w:val="Compact"/>
              <w:jc w:val="center"/>
            </w:pPr>
            <w:r>
              <w:t xml:space="preserve">9.1</w:t>
            </w:r>
          </w:p>
        </w:tc>
        <w:tc>
          <w:p>
            <w:pPr>
              <w:pStyle w:val="Compact"/>
              <w:jc w:val="center"/>
            </w:pPr>
            <w:r>
              <w:t xml:space="preserve">14.6</w:t>
            </w:r>
          </w:p>
        </w:tc>
        <w:tc>
          <w:p>
            <w:pPr>
              <w:pStyle w:val="Compact"/>
              <w:jc w:val="center"/>
            </w:pPr>
            <w:r>
              <w:t xml:space="preserve">51.6</w:t>
            </w:r>
          </w:p>
        </w:tc>
        <w:tc>
          <w:p>
            <w:pPr>
              <w:pStyle w:val="Compact"/>
              <w:jc w:val="center"/>
            </w:pPr>
            <w:r>
              <w:t xml:space="preserve">24.5</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32.4</w:t>
            </w:r>
          </w:p>
        </w:tc>
        <w:tc>
          <w:p>
            <w:pPr>
              <w:pStyle w:val="Compact"/>
              <w:jc w:val="center"/>
            </w:pPr>
            <w:r>
              <w:t xml:space="preserve">33.8</w:t>
            </w:r>
          </w:p>
        </w:tc>
        <w:tc>
          <w:p>
            <w:pPr>
              <w:pStyle w:val="Compact"/>
              <w:jc w:val="center"/>
            </w:pPr>
            <w:r>
              <w:t xml:space="preserve">0.7</w:t>
            </w:r>
          </w:p>
        </w:tc>
        <w:tc>
          <w:p>
            <w:pPr>
              <w:pStyle w:val="Compact"/>
              <w:jc w:val="center"/>
            </w:pPr>
            <w:r>
              <w:t xml:space="preserve">91.4</w:t>
            </w:r>
          </w:p>
        </w:tc>
        <w:tc>
          <w:p>
            <w:pPr>
              <w:pStyle w:val="Compact"/>
              <w:jc w:val="center"/>
            </w:pPr>
            <w:r>
              <w:t xml:space="preserve">2.2</w:t>
            </w:r>
          </w:p>
        </w:tc>
        <w:tc>
          <w:p>
            <w:pPr>
              <w:pStyle w:val="Compact"/>
              <w:jc w:val="center"/>
            </w:pPr>
            <w:r>
              <w:t xml:space="preserve">2.9</w:t>
            </w:r>
          </w:p>
        </w:tc>
        <w:tc>
          <w:p>
            <w:pPr>
              <w:pStyle w:val="Compact"/>
              <w:jc w:val="center"/>
            </w:pPr>
            <w:r>
              <w:t xml:space="preserve">2.9</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24.6</w:t>
            </w:r>
          </w:p>
        </w:tc>
        <w:tc>
          <w:p>
            <w:pPr>
              <w:pStyle w:val="Compact"/>
              <w:jc w:val="center"/>
            </w:pPr>
            <w:r>
              <w:t xml:space="preserve">23.2</w:t>
            </w:r>
          </w:p>
        </w:tc>
        <w:tc>
          <w:p>
            <w:pPr>
              <w:pStyle w:val="Compact"/>
              <w:jc w:val="center"/>
            </w:pPr>
            <w:r>
              <w:t xml:space="preserve">44.3</w:t>
            </w:r>
          </w:p>
        </w:tc>
        <w:tc>
          <w:p>
            <w:pPr>
              <w:pStyle w:val="Compact"/>
              <w:jc w:val="center"/>
            </w:pPr>
            <w:r>
              <w:t xml:space="preserve">4.4</w:t>
            </w:r>
          </w:p>
        </w:tc>
        <w:tc>
          <w:p>
            <w:pPr>
              <w:pStyle w:val="Compact"/>
              <w:jc w:val="center"/>
            </w:pPr>
            <w:r>
              <w:t xml:space="preserve">3.7</w:t>
            </w:r>
          </w:p>
        </w:tc>
        <w:tc>
          <w:p>
            <w:pPr>
              <w:pStyle w:val="Compact"/>
              <w:jc w:val="center"/>
            </w:pPr>
            <w:r>
              <w:t xml:space="preserve">14.1</w:t>
            </w:r>
          </w:p>
        </w:tc>
        <w:tc>
          <w:p>
            <w:pPr>
              <w:pStyle w:val="Compact"/>
              <w:jc w:val="center"/>
            </w:pPr>
            <w:r>
              <w:t xml:space="preserve">33.5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35.1</w:t>
            </w:r>
          </w:p>
        </w:tc>
        <w:tc>
          <w:p>
            <w:pPr>
              <w:pStyle w:val="Compact"/>
              <w:jc w:val="center"/>
            </w:pPr>
            <w:r>
              <w:t xml:space="preserve">13.9</w:t>
            </w:r>
          </w:p>
        </w:tc>
        <w:tc>
          <w:p>
            <w:pPr>
              <w:pStyle w:val="Compact"/>
              <w:jc w:val="center"/>
            </w:pPr>
            <w:r>
              <w:t xml:space="preserve">18.2</w:t>
            </w:r>
          </w:p>
        </w:tc>
        <w:tc>
          <w:p>
            <w:pPr>
              <w:pStyle w:val="Compact"/>
              <w:jc w:val="center"/>
            </w:pPr>
            <w:r>
              <w:t xml:space="preserve">18.2</w:t>
            </w:r>
          </w:p>
        </w:tc>
        <w:tc>
          <w:p>
            <w:pPr>
              <w:pStyle w:val="Compact"/>
              <w:jc w:val="center"/>
            </w:pPr>
            <w:r>
              <w:t xml:space="preserve">12.3</w:t>
            </w:r>
          </w:p>
        </w:tc>
        <w:tc>
          <w:p>
            <w:pPr>
              <w:pStyle w:val="Compact"/>
              <w:jc w:val="center"/>
            </w:pPr>
            <w:r>
              <w:t xml:space="preserve">5.4</w:t>
            </w:r>
          </w:p>
        </w:tc>
        <w:tc>
          <w:p>
            <w:pPr>
              <w:pStyle w:val="Compact"/>
              <w:jc w:val="center"/>
            </w:pPr>
            <w:r>
              <w:t xml:space="preserve">46.0</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24.1</w:t>
            </w:r>
          </w:p>
        </w:tc>
        <w:tc>
          <w:p>
            <w:pPr>
              <w:pStyle w:val="Compact"/>
              <w:jc w:val="center"/>
            </w:pPr>
            <w:r>
              <w:t xml:space="preserve">39.7</w:t>
            </w:r>
          </w:p>
        </w:tc>
        <w:tc>
          <w:p>
            <w:pPr>
              <w:pStyle w:val="Compact"/>
              <w:jc w:val="center"/>
            </w:pPr>
            <w:r>
              <w:t xml:space="preserve">26.7</w:t>
            </w:r>
          </w:p>
        </w:tc>
        <w:tc>
          <w:p>
            <w:pPr>
              <w:pStyle w:val="Compact"/>
              <w:jc w:val="center"/>
            </w:pPr>
            <w:r>
              <w:t xml:space="preserve">31.0</w:t>
            </w:r>
          </w:p>
        </w:tc>
        <w:tc>
          <w:p>
            <w:pPr>
              <w:pStyle w:val="Compact"/>
              <w:jc w:val="center"/>
            </w:pPr>
            <w:r>
              <w:t xml:space="preserve">7.8</w:t>
            </w:r>
          </w:p>
        </w:tc>
        <w:tc>
          <w:p>
            <w:pPr>
              <w:pStyle w:val="Compact"/>
              <w:jc w:val="center"/>
            </w:pPr>
            <w:r>
              <w:t xml:space="preserve">4.3</w:t>
            </w:r>
          </w:p>
        </w:tc>
        <w:tc>
          <w:p>
            <w:pPr>
              <w:pStyle w:val="Compact"/>
              <w:jc w:val="center"/>
            </w:pPr>
            <w:r>
              <w:t xml:space="preserve">30.2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40.9</w:t>
            </w:r>
          </w:p>
        </w:tc>
        <w:tc>
          <w:p>
            <w:pPr>
              <w:pStyle w:val="Compact"/>
              <w:jc w:val="center"/>
            </w:pPr>
            <w:r>
              <w:t xml:space="preserve">33.7</w:t>
            </w:r>
          </w:p>
        </w:tc>
        <w:tc>
          <w:p>
            <w:pPr>
              <w:pStyle w:val="Compact"/>
              <w:jc w:val="center"/>
            </w:pPr>
            <w:r>
              <w:t xml:space="preserve">14.1</w:t>
            </w:r>
          </w:p>
        </w:tc>
        <w:tc>
          <w:p>
            <w:pPr>
              <w:pStyle w:val="Compact"/>
              <w:jc w:val="center"/>
            </w:pPr>
            <w:r>
              <w:t xml:space="preserve">6.8</w:t>
            </w:r>
          </w:p>
        </w:tc>
        <w:tc>
          <w:p>
            <w:pPr>
              <w:pStyle w:val="Compact"/>
              <w:jc w:val="center"/>
            </w:pPr>
            <w:r>
              <w:t xml:space="preserve">12.4</w:t>
            </w:r>
          </w:p>
        </w:tc>
        <w:tc>
          <w:p>
            <w:pPr>
              <w:pStyle w:val="Compact"/>
              <w:jc w:val="center"/>
            </w:pPr>
            <w:r>
              <w:t xml:space="preserve">53.7</w:t>
            </w:r>
          </w:p>
        </w:tc>
        <w:tc>
          <w:p>
            <w:pPr>
              <w:pStyle w:val="Compact"/>
              <w:jc w:val="center"/>
            </w:pPr>
            <w:r>
              <w:t xml:space="preserve">12.9</w:t>
            </w:r>
          </w:p>
        </w:tc>
      </w:tr>
    </w:tbl>
    <w:p>
      <w:pPr>
        <w:pStyle w:val="BodyText"/>
      </w:pPr>
      <w:r>
        <w:rPr>
          <w:b/>
        </w:rPr>
        <w:t xml:space="preserve">Appendices: Additional Tables and Statistical Analyses</w:t>
      </w:r>
    </w:p>
    <w:p>
      <w:pPr>
        <w:pStyle w:val="BodyText"/>
      </w:pPr>
      <w:r>
        <w:t xml:space="preserve">Table 6: Proportion of all strandings, proportion of human interaction cases (%), and the composition of human interaction case types for each county in Washington (n = 9,022).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5</w:t>
            </w:r>
          </w:p>
        </w:tc>
        <w:tc>
          <w:p>
            <w:pPr>
              <w:pStyle w:val="Compact"/>
              <w:jc w:val="center"/>
            </w:pPr>
            <w:r>
              <w:t xml:space="preserve">6</w:t>
            </w:r>
          </w:p>
        </w:tc>
        <w:tc>
          <w:p>
            <w:pPr>
              <w:pStyle w:val="Compact"/>
              <w:jc w:val="center"/>
            </w:pPr>
            <w:r>
              <w:t xml:space="preserve">12</w:t>
            </w:r>
          </w:p>
        </w:tc>
        <w:tc>
          <w:p>
            <w:pPr>
              <w:pStyle w:val="Compact"/>
              <w:jc w:val="center"/>
            </w:pPr>
            <w:r>
              <w:t xml:space="preserve">34</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6</w:t>
            </w:r>
          </w:p>
        </w:tc>
        <w:tc>
          <w:p>
            <w:pPr>
              <w:pStyle w:val="Compact"/>
              <w:jc w:val="center"/>
            </w:pPr>
            <w:r>
              <w:t xml:space="preserve">47</w:t>
            </w:r>
          </w:p>
        </w:tc>
        <w:tc>
          <w:p>
            <w:pPr>
              <w:pStyle w:val="Compact"/>
              <w:jc w:val="center"/>
            </w:pPr>
            <w:r>
              <w:t xml:space="preserve">0</w:t>
            </w:r>
          </w:p>
        </w:tc>
        <w:tc>
          <w:p>
            <w:pPr>
              <w:pStyle w:val="Compact"/>
              <w:jc w:val="center"/>
            </w:pPr>
            <w:r>
              <w:t xml:space="preserve">47</w:t>
            </w:r>
          </w:p>
        </w:tc>
      </w:tr>
      <w:tr>
        <w:tc>
          <w:p>
            <w:pPr>
              <w:pStyle w:val="Compact"/>
              <w:jc w:val="center"/>
            </w:pPr>
            <w:r>
              <w:t xml:space="preserve">Island</w:t>
            </w:r>
          </w:p>
        </w:tc>
        <w:tc>
          <w:p>
            <w:pPr>
              <w:pStyle w:val="Compact"/>
              <w:jc w:val="center"/>
            </w:pPr>
            <w:r>
              <w:t xml:space="preserve">10</w:t>
            </w:r>
          </w:p>
        </w:tc>
        <w:tc>
          <w:p>
            <w:pPr>
              <w:pStyle w:val="Compact"/>
              <w:jc w:val="center"/>
            </w:pPr>
            <w:r>
              <w:t xml:space="preserve">5</w:t>
            </w:r>
          </w:p>
        </w:tc>
        <w:tc>
          <w:p>
            <w:pPr>
              <w:pStyle w:val="Compact"/>
              <w:jc w:val="center"/>
            </w:pPr>
            <w:r>
              <w:t xml:space="preserve">16</w:t>
            </w:r>
          </w:p>
        </w:tc>
        <w:tc>
          <w:p>
            <w:pPr>
              <w:pStyle w:val="Compact"/>
              <w:jc w:val="center"/>
            </w:pPr>
            <w:r>
              <w:t xml:space="preserve">44</w:t>
            </w:r>
          </w:p>
        </w:tc>
        <w:tc>
          <w:p>
            <w:pPr>
              <w:pStyle w:val="Compact"/>
              <w:jc w:val="center"/>
            </w:pPr>
            <w:r>
              <w:t xml:space="preserve">16</w:t>
            </w:r>
          </w:p>
        </w:tc>
        <w:tc>
          <w:p>
            <w:pPr>
              <w:pStyle w:val="Compact"/>
              <w:jc w:val="center"/>
            </w:pPr>
            <w:r>
              <w:t xml:space="preserve">24</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30</w:t>
            </w:r>
          </w:p>
        </w:tc>
        <w:tc>
          <w:p>
            <w:pPr>
              <w:pStyle w:val="Compact"/>
              <w:jc w:val="center"/>
            </w:pPr>
            <w:r>
              <w:t xml:space="preserve">29</w:t>
            </w:r>
          </w:p>
        </w:tc>
        <w:tc>
          <w:p>
            <w:pPr>
              <w:pStyle w:val="Compact"/>
              <w:jc w:val="center"/>
            </w:pPr>
            <w:r>
              <w:t xml:space="preserve">0</w:t>
            </w:r>
          </w:p>
        </w:tc>
        <w:tc>
          <w:p>
            <w:pPr>
              <w:pStyle w:val="Compact"/>
              <w:jc w:val="center"/>
            </w:pPr>
            <w:r>
              <w:t xml:space="preserve">41</w:t>
            </w:r>
          </w:p>
        </w:tc>
      </w:tr>
      <w:tr>
        <w:tc>
          <w:p>
            <w:pPr>
              <w:pStyle w:val="Compact"/>
              <w:jc w:val="center"/>
            </w:pPr>
            <w:r>
              <w:t xml:space="preserve">Kitsap</w:t>
            </w:r>
          </w:p>
        </w:tc>
        <w:tc>
          <w:p>
            <w:pPr>
              <w:pStyle w:val="Compact"/>
              <w:jc w:val="center"/>
            </w:pPr>
            <w:r>
              <w:t xml:space="preserve">8</w:t>
            </w:r>
          </w:p>
        </w:tc>
        <w:tc>
          <w:p>
            <w:pPr>
              <w:pStyle w:val="Compact"/>
              <w:jc w:val="center"/>
            </w:pPr>
            <w:r>
              <w:t xml:space="preserve">7</w:t>
            </w:r>
          </w:p>
        </w:tc>
        <w:tc>
          <w:p>
            <w:pPr>
              <w:pStyle w:val="Compact"/>
              <w:jc w:val="center"/>
            </w:pPr>
            <w:r>
              <w:t xml:space="preserve">20</w:t>
            </w:r>
          </w:p>
        </w:tc>
        <w:tc>
          <w:p>
            <w:pPr>
              <w:pStyle w:val="Compact"/>
              <w:jc w:val="center"/>
            </w:pPr>
            <w:r>
              <w:t xml:space="preserve">23</w:t>
            </w:r>
          </w:p>
        </w:tc>
        <w:tc>
          <w:p>
            <w:pPr>
              <w:pStyle w:val="Compact"/>
              <w:jc w:val="center"/>
            </w:pPr>
            <w:r>
              <w:t xml:space="preserve">0</w:t>
            </w:r>
          </w:p>
        </w:tc>
        <w:tc>
          <w:p>
            <w:pPr>
              <w:pStyle w:val="Compact"/>
              <w:jc w:val="center"/>
            </w:pPr>
            <w:r>
              <w:t xml:space="preserve">57</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21</w:t>
            </w:r>
          </w:p>
        </w:tc>
        <w:tc>
          <w:p>
            <w:pPr>
              <w:pStyle w:val="Compact"/>
              <w:jc w:val="center"/>
            </w:pPr>
            <w:r>
              <w:t xml:space="preserve">32</w:t>
            </w:r>
          </w:p>
        </w:tc>
        <w:tc>
          <w:p>
            <w:pPr>
              <w:pStyle w:val="Compact"/>
              <w:jc w:val="center"/>
            </w:pPr>
            <w:r>
              <w:t xml:space="preserve">0</w:t>
            </w:r>
          </w:p>
        </w:tc>
        <w:tc>
          <w:p>
            <w:pPr>
              <w:pStyle w:val="Compact"/>
              <w:jc w:val="center"/>
            </w:pPr>
            <w:r>
              <w:t xml:space="preserve">47</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17</w:t>
            </w:r>
          </w:p>
        </w:tc>
        <w:tc>
          <w:p>
            <w:pPr>
              <w:pStyle w:val="Compact"/>
              <w:jc w:val="center"/>
            </w:pPr>
            <w:r>
              <w:t xml:space="preserve">65</w:t>
            </w:r>
          </w:p>
        </w:tc>
        <w:tc>
          <w:p>
            <w:pPr>
              <w:pStyle w:val="Compact"/>
              <w:jc w:val="center"/>
            </w:pPr>
            <w:r>
              <w:t xml:space="preserve">1</w:t>
            </w:r>
          </w:p>
        </w:tc>
        <w:tc>
          <w:p>
            <w:pPr>
              <w:pStyle w:val="Compact"/>
              <w:jc w:val="center"/>
            </w:pPr>
            <w:r>
              <w:t xml:space="preserve">17</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9</w:t>
            </w:r>
          </w:p>
        </w:tc>
        <w:tc>
          <w:p>
            <w:pPr>
              <w:pStyle w:val="Compact"/>
              <w:jc w:val="center"/>
            </w:pPr>
            <w:r>
              <w:t xml:space="preserve">13</w:t>
            </w:r>
          </w:p>
        </w:tc>
        <w:tc>
          <w:p>
            <w:pPr>
              <w:pStyle w:val="Compact"/>
              <w:jc w:val="center"/>
            </w:pPr>
            <w:r>
              <w:t xml:space="preserve">3</w:t>
            </w:r>
          </w:p>
        </w:tc>
        <w:tc>
          <w:p>
            <w:pPr>
              <w:pStyle w:val="Compact"/>
              <w:jc w:val="center"/>
            </w:pPr>
            <w:r>
              <w:t xml:space="preserve">75</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17</w:t>
            </w:r>
          </w:p>
        </w:tc>
        <w:tc>
          <w:p>
            <w:pPr>
              <w:pStyle w:val="Compact"/>
              <w:jc w:val="center"/>
            </w:pPr>
            <w:r>
              <w:t xml:space="preserve">25</w:t>
            </w:r>
          </w:p>
        </w:tc>
        <w:tc>
          <w:p>
            <w:pPr>
              <w:pStyle w:val="Compact"/>
              <w:jc w:val="center"/>
            </w:pPr>
            <w:r>
              <w:t xml:space="preserve">14</w:t>
            </w:r>
          </w:p>
        </w:tc>
        <w:tc>
          <w:p>
            <w:pPr>
              <w:pStyle w:val="Compact"/>
              <w:jc w:val="center"/>
            </w:pPr>
            <w:r>
              <w:t xml:space="preserve">44</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4</w:t>
            </w:r>
          </w:p>
        </w:tc>
        <w:tc>
          <w:p>
            <w:pPr>
              <w:pStyle w:val="Compact"/>
              <w:jc w:val="center"/>
            </w:pPr>
            <w:r>
              <w:t xml:space="preserve">23</w:t>
            </w:r>
          </w:p>
        </w:tc>
        <w:tc>
          <w:p>
            <w:pPr>
              <w:pStyle w:val="Compact"/>
              <w:jc w:val="center"/>
            </w:pPr>
            <w:r>
              <w:t xml:space="preserve">26</w:t>
            </w:r>
          </w:p>
        </w:tc>
        <w:tc>
          <w:p>
            <w:pPr>
              <w:pStyle w:val="Compact"/>
              <w:jc w:val="center"/>
            </w:pPr>
            <w:r>
              <w:t xml:space="preserve">3</w:t>
            </w:r>
          </w:p>
        </w:tc>
        <w:tc>
          <w:p>
            <w:pPr>
              <w:pStyle w:val="Compact"/>
              <w:jc w:val="center"/>
            </w:pPr>
            <w:r>
              <w:t xml:space="preserve">49</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26</w:t>
            </w:r>
          </w:p>
        </w:tc>
        <w:tc>
          <w:p>
            <w:pPr>
              <w:pStyle w:val="Compact"/>
              <w:jc w:val="center"/>
            </w:pPr>
            <w:r>
              <w:t xml:space="preserve">19</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9</w:t>
            </w:r>
          </w:p>
        </w:tc>
        <w:tc>
          <w:p>
            <w:pPr>
              <w:pStyle w:val="Compact"/>
              <w:jc w:val="center"/>
            </w:pPr>
            <w:r>
              <w:t xml:space="preserve">8</w:t>
            </w:r>
          </w:p>
        </w:tc>
        <w:tc>
          <w:p>
            <w:pPr>
              <w:pStyle w:val="Compact"/>
              <w:jc w:val="center"/>
            </w:pPr>
            <w:r>
              <w:t xml:space="preserve">21</w:t>
            </w:r>
          </w:p>
        </w:tc>
        <w:tc>
          <w:p>
            <w:pPr>
              <w:pStyle w:val="Compact"/>
              <w:jc w:val="center"/>
            </w:pPr>
            <w:r>
              <w:t xml:space="preserve">12</w:t>
            </w:r>
          </w:p>
        </w:tc>
        <w:tc>
          <w:p>
            <w:pPr>
              <w:pStyle w:val="Compact"/>
              <w:jc w:val="center"/>
            </w:pPr>
            <w:r>
              <w:t xml:space="preserve">58</w:t>
            </w:r>
          </w:p>
        </w:tc>
      </w:tr>
    </w:tbl>
    <w:p>
      <w:pPr>
        <w:pStyle w:val="BodyText"/>
      </w:pPr>
      <w:r>
        <w:t xml:space="preserve">Table 7: Proportion of all strandings (%), the proportion of human interaction cases (%) and the composition of human interaction case types for each county in Oregon (n = 5,145).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47</w:t>
            </w:r>
          </w:p>
        </w:tc>
        <w:tc>
          <w:p>
            <w:pPr>
              <w:pStyle w:val="Compact"/>
              <w:jc w:val="center"/>
            </w:pPr>
            <w:r>
              <w:t xml:space="preserve">14</w:t>
            </w:r>
          </w:p>
        </w:tc>
        <w:tc>
          <w:p>
            <w:pPr>
              <w:pStyle w:val="Compact"/>
              <w:jc w:val="center"/>
            </w:pPr>
            <w:r>
              <w:t xml:space="preserve">70</w:t>
            </w:r>
          </w:p>
        </w:tc>
        <w:tc>
          <w:p>
            <w:pPr>
              <w:pStyle w:val="Compact"/>
              <w:jc w:val="center"/>
            </w:pPr>
            <w:r>
              <w:t xml:space="preserve">6</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38</w:t>
            </w:r>
          </w:p>
        </w:tc>
        <w:tc>
          <w:p>
            <w:pPr>
              <w:pStyle w:val="Compact"/>
              <w:jc w:val="center"/>
            </w:pPr>
            <w:r>
              <w:t xml:space="preserve">28</w:t>
            </w:r>
          </w:p>
        </w:tc>
        <w:tc>
          <w:p>
            <w:pPr>
              <w:pStyle w:val="Compact"/>
              <w:jc w:val="center"/>
            </w:pPr>
            <w:r>
              <w:t xml:space="preserve">0</w:t>
            </w:r>
          </w:p>
        </w:tc>
        <w:tc>
          <w:p>
            <w:pPr>
              <w:pStyle w:val="Compact"/>
              <w:jc w:val="center"/>
            </w:pPr>
            <w:r>
              <w:t xml:space="preserve">35</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27</w:t>
            </w:r>
          </w:p>
        </w:tc>
        <w:tc>
          <w:p>
            <w:pPr>
              <w:pStyle w:val="Compact"/>
              <w:jc w:val="center"/>
            </w:pPr>
            <w:r>
              <w:t xml:space="preserve">45</w:t>
            </w:r>
          </w:p>
        </w:tc>
        <w:tc>
          <w:p>
            <w:pPr>
              <w:pStyle w:val="Compact"/>
              <w:jc w:val="center"/>
            </w:pPr>
            <w:r>
              <w:t xml:space="preserve">0</w:t>
            </w:r>
          </w:p>
        </w:tc>
        <w:tc>
          <w:p>
            <w:pPr>
              <w:pStyle w:val="Compact"/>
              <w:jc w:val="center"/>
            </w:pPr>
            <w:r>
              <w:t xml:space="preserve">27</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58</w:t>
            </w:r>
          </w:p>
        </w:tc>
        <w:tc>
          <w:p>
            <w:pPr>
              <w:pStyle w:val="Compact"/>
              <w:jc w:val="center"/>
            </w:pPr>
            <w:r>
              <w:t xml:space="preserve">32</w:t>
            </w:r>
          </w:p>
        </w:tc>
        <w:tc>
          <w:p>
            <w:pPr>
              <w:pStyle w:val="Compact"/>
              <w:jc w:val="center"/>
            </w:pPr>
            <w:r>
              <w:t xml:space="preserve">0</w:t>
            </w:r>
          </w:p>
        </w:tc>
        <w:tc>
          <w:p>
            <w:pPr>
              <w:pStyle w:val="Compact"/>
              <w:jc w:val="center"/>
            </w:pPr>
            <w:r>
              <w:t xml:space="preserve">11</w:t>
            </w:r>
          </w:p>
        </w:tc>
      </w:tr>
      <w:tr>
        <w:tc>
          <w:p>
            <w:pPr>
              <w:pStyle w:val="Compact"/>
              <w:jc w:val="center"/>
            </w:pPr>
            <w:r>
              <w:t xml:space="preserve">Lincoln</w:t>
            </w:r>
          </w:p>
        </w:tc>
        <w:tc>
          <w:p>
            <w:pPr>
              <w:pStyle w:val="Compact"/>
              <w:jc w:val="center"/>
            </w:pPr>
            <w:r>
              <w:t xml:space="preserve">44</w:t>
            </w:r>
          </w:p>
        </w:tc>
        <w:tc>
          <w:p>
            <w:pPr>
              <w:pStyle w:val="Compact"/>
              <w:jc w:val="center"/>
            </w:pPr>
            <w:r>
              <w:t xml:space="preserve">29</w:t>
            </w:r>
          </w:p>
        </w:tc>
        <w:tc>
          <w:p>
            <w:pPr>
              <w:pStyle w:val="Compact"/>
              <w:jc w:val="center"/>
            </w:pPr>
            <w:r>
              <w:t xml:space="preserve">47</w:t>
            </w:r>
          </w:p>
        </w:tc>
        <w:tc>
          <w:p>
            <w:pPr>
              <w:pStyle w:val="Compact"/>
              <w:jc w:val="center"/>
            </w:pPr>
            <w:r>
              <w:t xml:space="preserve">17</w:t>
            </w:r>
          </w:p>
        </w:tc>
        <w:tc>
          <w:p>
            <w:pPr>
              <w:pStyle w:val="Compact"/>
              <w:jc w:val="center"/>
            </w:pPr>
            <w:r>
              <w:t xml:space="preserve">7</w:t>
            </w:r>
          </w:p>
        </w:tc>
        <w:tc>
          <w:p>
            <w:pPr>
              <w:pStyle w:val="Compact"/>
              <w:jc w:val="center"/>
            </w:pPr>
            <w:r>
              <w:t xml:space="preserve">29</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50</w:t>
            </w:r>
          </w:p>
        </w:tc>
        <w:tc>
          <w:p>
            <w:pPr>
              <w:pStyle w:val="Compact"/>
              <w:jc w:val="center"/>
            </w:pPr>
            <w:r>
              <w:t xml:space="preserve">37</w:t>
            </w:r>
          </w:p>
        </w:tc>
        <w:tc>
          <w:p>
            <w:pPr>
              <w:pStyle w:val="Compact"/>
              <w:jc w:val="center"/>
            </w:pPr>
            <w:r>
              <w:t xml:space="preserve">0</w:t>
            </w:r>
          </w:p>
        </w:tc>
        <w:tc>
          <w:p>
            <w:pPr>
              <w:pStyle w:val="Compact"/>
              <w:jc w:val="center"/>
            </w:pPr>
            <w:r>
              <w:t xml:space="preserve">13</w:t>
            </w:r>
          </w:p>
        </w:tc>
      </w:tr>
    </w:tbl>
    <w:p>
      <w:pPr>
        <w:pStyle w:val="BodyText"/>
      </w:pPr>
      <w:r>
        <w:rPr>
          <w:b/>
        </w:rPr>
        <w:t xml:space="preserve">References</w:t>
      </w:r>
    </w:p>
    <w:p>
      <w:pPr>
        <w:pStyle w:val="BodyText"/>
      </w:pPr>
      <w:r>
        <w:t xml:space="preserve">Aguirre A.A. and Tabor GM. 2004. Marine vertebrates as sentinels of marine ecosystem health. EcoHealth. 1: 236–238.</w:t>
      </w:r>
    </w:p>
    <w:p>
      <w:pPr>
        <w:pStyle w:val="BodyText"/>
      </w:pPr>
      <w:r>
        <w:t xml:space="preserve">Antonelis, G.A., J.D. Baker, T.C. Johanos, R.C. Braun, and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and J.K. Gaydos.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and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and others. 2016. U.S. Pacific marine mammal stock assessments: 2015. NOAA-TM-NMFS-SWFSC-561. Washington, DC. National Oceanic and Atmospheric Administration.</w:t>
      </w:r>
    </w:p>
    <w:p>
      <w:pPr>
        <w:pStyle w:val="BodyText"/>
      </w:pPr>
      <w:r>
        <w:t xml:space="preserve">Colegrove, K.M., Greig, D.J., and F.M.D. Gulland. 2005. Causes of live strandings of northern elephant seals and Pacific harbor seals along the central California coast, 1992-2001. Aquatic Mammals 31(1): 1-10.</w:t>
      </w:r>
    </w:p>
    <w:p>
      <w:pPr>
        <w:pStyle w:val="BodyText"/>
      </w:pPr>
      <w:r>
        <w:t xml:space="preserve">DeLong, R.L., Gearin, P.J., Bengston, J.L., Dawson, P. and S.D. Feldkamp.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Esperon-Rodriguez, M., and J.P. Gallo-Reynoso.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and Rowlingson, BS, 1996, Spatial Point Pattern Analysis and its Application in Geographical Epidemiology, Trans. Inst Br Geogr NS 2: 256- 274.</w:t>
      </w:r>
    </w:p>
    <w:p>
      <w:pPr>
        <w:pStyle w:val="BodyText"/>
      </w:pPr>
      <w:r>
        <w:t xml:space="preserve">Gelatt, T., R. Ream, and D. Johnson. 2015. Callorhinus ursinus. The IUCN Red List of Threatened Species 2015:e.T3590A45224953. Available at:</w:t>
      </w:r>
      <w:r>
        <w:t xml:space="preserve"> </w:t>
      </w:r>
      <w:hyperlink r:id="rId32">
        <w:r>
          <w:rPr>
            <w:rStyle w:val="Hyperlink"/>
          </w:rPr>
          <w:t xml:space="preserve">http://www.iucnredlist.org/details/3590/0</w:t>
        </w:r>
      </w:hyperlink>
    </w:p>
    <w:p>
      <w:pPr>
        <w:pStyle w:val="BodyText"/>
      </w:pPr>
      <w:r>
        <w:t xml:space="preserve">Goldstein, T., Johnson, S.P., Phillips, A.V., Hanni, K.D., Fauquier, D.A. and F.M.D. Gulland.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3">
        <w:r>
          <w:rPr>
            <w:rStyle w:val="Hyperlink"/>
          </w:rPr>
          <w:t xml:space="preserve">http://dx.doi.org/10.1578/AM.31.1.2005.11</w:t>
        </w:r>
      </w:hyperlink>
    </w:p>
    <w:p>
      <w:pPr>
        <w:pStyle w:val="BodyText"/>
      </w:pPr>
      <w:r>
        <w:t xml:space="preserve">Guisan A., Edwards, T.C. Jr, Hastie T. .2002. Generalized linear and generalized additive models in studies of species distributions: setting the scene. Ecological Modelling 157:89–100.</w:t>
      </w:r>
    </w:p>
    <w:p>
      <w:pPr>
        <w:pStyle w:val="BodyText"/>
      </w:pPr>
      <w:r>
        <w:t xml:space="preserve">Gulland, F. M. D., &amp; Hall, A. J. 2007. Is marine mammal health deteriorating? Trends in the global reporting of marine mammal disease. EcoHealth, 4(2), 135-150.</w:t>
      </w:r>
      <w:r>
        <w:t xml:space="preserve"> </w:t>
      </w:r>
      <w:hyperlink r:id="rId34">
        <w:r>
          <w:rPr>
            <w:rStyle w:val="Hyperlink"/>
          </w:rPr>
          <w:t xml:space="preserve">http://dx.doi.org/10.1007/s10393-007-0097-1</w:t>
        </w:r>
      </w:hyperlink>
    </w:p>
    <w:p>
      <w:pPr>
        <w:pStyle w:val="BodyText"/>
      </w:pPr>
      <w:r>
        <w:t xml:space="preserve">Hanni, K.D., Long, D.J., Jones, R.E., Pyle, P., and L.E. Morgan. 1997. Sightings and strandings of Guadalupe fur seals in central and northern California, 1988-1995. Journal of Mammalogy 78(2): 684-690.</w:t>
      </w:r>
    </w:p>
    <w:p>
      <w:pPr>
        <w:pStyle w:val="BodyText"/>
      </w:pPr>
      <w:r>
        <w:t xml:space="preserve">Hanni, K.D., and P. Pyle. 2000. Entanglement of pinnipeds in synthetic materials at south-east Farallon Island, California, 1976–1998. Marine Pollution Bulletin 40: 1076–1081.</w:t>
      </w:r>
    </w:p>
    <w:p>
      <w:pPr>
        <w:pStyle w:val="BodyText"/>
      </w:pPr>
      <w:r>
        <w:t xml:space="preserve">Harris, D.E. and S. Gupta. 2006. GIS-based Analysis of Ice-breeding Seal Strandings in the Gulf of Maine. Northeastern Naturalist 13(3): 403-420.</w:t>
      </w:r>
    </w:p>
    <w:p>
      <w:pPr>
        <w:pStyle w:val="BodyText"/>
      </w:pPr>
      <w:r>
        <w:t xml:space="preserve">Hart, K.M., Mooreside, P., and L.B. Crowder. 2006. Interpreting the spatio-temporal patterns of sea turtle strandings: going with the flow. Biological Conservation 129(2): 283-290.</w:t>
      </w:r>
    </w:p>
    <w:p>
      <w:pPr>
        <w:pStyle w:val="BodyText"/>
      </w:pPr>
      <w:r>
        <w:t xml:space="preserve">Huber, H.R., B.R. Dickerson, S.J. Jeffries, and D.M. Lambourn. 2012. Genetic analysis of Washington State harbor seals (</w:t>
      </w:r>
      <w:r>
        <w:rPr>
          <w:i/>
        </w:rPr>
        <w:t xml:space="preserve">Phoca vitulina richardii</w:t>
      </w:r>
      <w:r>
        <w:t xml:space="preserve">) using microsatellites. Can. J. Zool. 90(12):1361-1369.</w:t>
      </w:r>
    </w:p>
    <w:p>
      <w:pPr>
        <w:pStyle w:val="BodyText"/>
      </w:pPr>
      <w:r>
        <w:t xml:space="preserve">Huggins, J.L., Leahy, C.L., Calambokidis, J., Lambourn, D., Jeffries, S.J. and others. 2013. Causes and patterns of harbor seal (</w:t>
      </w:r>
      <w:r>
        <w:rPr>
          <w:i/>
        </w:rPr>
        <w:t xml:space="preserve">Phoca vitulina</w:t>
      </w:r>
      <w:r>
        <w:t xml:space="preserve">) pup mortality at Smith Island, Washington, 2004-2010.</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and S. Jeffries. 2015. Dedicated beach surveys along the central Washington coast reveal a high proportion of unreported marine mammal strandings. Marine Mammal Science 31(2): 782-789.</w:t>
      </w:r>
    </w:p>
    <w:p>
      <w:pPr>
        <w:pStyle w:val="BodyText"/>
      </w:pPr>
      <w:r>
        <w:t xml:space="preserve">Jeffries, S.J., P.J. Gearin, H.R. Huber, D.L. Saul, and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and A. Read. 2015. Trends in stranding and bycatch rates of gray and harbor seals along the Northeastern coast of the U.S.: evidence of divergence in the abundance of two sympatric phocid species? Plus One.</w:t>
      </w:r>
      <w:r>
        <w:t xml:space="preserve"> </w:t>
      </w:r>
      <w:hyperlink r:id="rId35">
        <w:r>
          <w:rPr>
            <w:rStyle w:val="Hyperlink"/>
          </w:rPr>
          <w:t xml:space="preserve">DOI:10.1371/journal.pone.0131660</w:t>
        </w:r>
      </w:hyperlink>
    </w:p>
    <w:p>
      <w:pPr>
        <w:pStyle w:val="BodyText"/>
      </w:pPr>
      <w:r>
        <w:t xml:space="preserve">Kaplan Dau, B., Gilardi, K.V.K., Gulland, F.M., Higgins, A., Holcomb, J.B et al. 2009. Fishing gear-related injury in California marine wildlife. Journal of Wildlife Diseases 45(2): 355-362.</w:t>
      </w:r>
    </w:p>
    <w:p>
      <w:pPr>
        <w:pStyle w:val="BodyText"/>
      </w:pPr>
      <w:r>
        <w:t xml:space="preserve">Keledjian, A.J., and S. Mesnick.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M.A. Miller, D.A. Jessup, et al. 2003. Patterns of mortality in southern sea otters (</w:t>
      </w:r>
      <w:r>
        <w:rPr>
          <w:i/>
        </w:rPr>
        <w:t xml:space="preserve">Enhydra lutras nereis</w:t>
      </w:r>
      <w:r>
        <w:t xml:space="preserve">) from 1998–2001. Journal of Wildlife Diseases 39:495–509.</w:t>
      </w:r>
    </w:p>
    <w:p>
      <w:pPr>
        <w:pStyle w:val="BodyText"/>
      </w:pPr>
      <w:r>
        <w:t xml:space="preserve">Kulldorff, M., and N. Nagarwalla.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and F. Mostashari. 2005. A space-time permutation scan statistic for disease outbreak detection. PLoS Med 2(3): e59.</w:t>
      </w:r>
    </w:p>
    <w:p>
      <w:pPr>
        <w:pStyle w:val="BodyText"/>
      </w:pPr>
      <w:r>
        <w:t xml:space="preserve">Lambourn, D.M., Garner, M., Ewalt, D., Raverty, S., Sidor, I., Jeffries, S. et al.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and Godley, B.J. 2008. Spatio-temporal analysis of cetacean strandings and bycatch in a UK fisheries hotspot. Biodiversity and Conservation 17: 2323.</w:t>
      </w:r>
      <w:r>
        <w:t xml:space="preserve"> </w:t>
      </w:r>
      <w:hyperlink r:id="rId36">
        <w:r>
          <w:rPr>
            <w:rStyle w:val="Hyperlink"/>
          </w:rPr>
          <w:t xml:space="preserve">doi:10.1007/s10531-008-9377-5</w:t>
        </w:r>
      </w:hyperlink>
    </w:p>
    <w:p>
      <w:pPr>
        <w:pStyle w:val="BodyText"/>
      </w:pPr>
      <w:r>
        <w:t xml:space="preserve">Le Boeuf, B.J., Crocker, D.E., Costa, D.P., Blackwell, S.B., Webb, P.M., and D.S. Houser. 2000. Foraging ecology of northern elephant seals. Ecological monographs, 70(3), 353-382.</w:t>
      </w:r>
    </w:p>
    <w:p>
      <w:pPr>
        <w:pStyle w:val="BodyText"/>
      </w:pPr>
      <w:r>
        <w:t xml:space="preserve">Lea, M.A., Johnson, D., Ream, R., Sterling, J., Melin, S., and T. Gelatt.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and P.L. Boveng. 2012. Haul-out behavior of harbor seals (</w:t>
      </w:r>
      <w:r>
        <w:rPr>
          <w:i/>
        </w:rPr>
        <w:t xml:space="preserve">Phoca vitulina</w:t>
      </w:r>
      <w:r>
        <w:t xml:space="preserve">) in Hood Canal, Washington. PLoS ONE 7(6): e38180.</w:t>
      </w:r>
      <w:r>
        <w:t xml:space="preserve"> </w:t>
      </w:r>
      <w:hyperlink r:id="rId37">
        <w:r>
          <w:rPr>
            <w:rStyle w:val="Hyperlink"/>
          </w:rPr>
          <w:t xml:space="preserve">doi:10.1371/journal.pone.0038180</w:t>
        </w:r>
      </w:hyperlink>
      <w:r>
        <w:t xml:space="preserve">.</w:t>
      </w:r>
    </w:p>
    <w:p>
      <w:pPr>
        <w:pStyle w:val="BodyText"/>
      </w:pPr>
      <w:r>
        <w:t xml:space="preserve">Lowry, M.S., R. Condit, B.Hatfield, S.G. Allen, R. Berger, P.A. Morris, B.J. Le Boeuf, and J. Reiter.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Atkinson, S., 2005. Odontocete stranding patterns in the main Hawaiian Islands (1937–2002): how do they compare with live animal surveys? Pacific Science 59, 55–67.</w:t>
      </w:r>
    </w:p>
    <w:p>
      <w:pPr>
        <w:pStyle w:val="BodyText"/>
      </w:pPr>
      <w:r>
        <w:t xml:space="preserve">Maniscalco, J.M., Wynne, K., Pitcher, K.W., Hanson, M.B., Melin, S.R., and S. Atkinson.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r>
        <w:t xml:space="preserve"> </w:t>
      </w:r>
      <w:hyperlink r:id="rId38">
        <w:r>
          <w:rPr>
            <w:rStyle w:val="Hyperlink"/>
          </w:rPr>
          <w:t xml:space="preserve">http://dx.doi.org/10.1139/Z07-132</w:t>
        </w:r>
      </w:hyperlink>
    </w:p>
    <w:p>
      <w:pPr>
        <w:pStyle w:val="BodyText"/>
      </w:pPr>
      <w:r>
        <w:t xml:space="preserve">Melin, S. R., DeLong, R. L., &amp; Thomason, J. R. 2000. Attendance patterns of California sea lion (</w:t>
      </w:r>
      <w:r>
        <w:rPr>
          <w:i/>
        </w:rPr>
        <w:t xml:space="preserve">Zalophus californianus</w:t>
      </w:r>
      <w:r>
        <w:t xml:space="preserve">) females and pups during the non-breeding season at San Miguel Island. Marine Mammal Science, 16(1), 169-185.</w:t>
      </w:r>
      <w:r>
        <w:t xml:space="preserve"> </w:t>
      </w:r>
      <w:hyperlink r:id="rId39">
        <w:r>
          <w:rPr>
            <w:rStyle w:val="Hyperlink"/>
          </w:rPr>
          <w:t xml:space="preserve">http://dx.doi.org/10.1111/j.1748-7692.2000.tb00911.x</w:t>
        </w:r>
      </w:hyperlink>
    </w:p>
    <w:p>
      <w:pPr>
        <w:pStyle w:val="BodyText"/>
      </w:pPr>
      <w:r>
        <w:t xml:space="preserve">Melin, S. R., Orr, A. J., Harris, J. D., Laake, J. L., &amp; DeLong, R. 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 Mammal. 89(3): 534–540.</w:t>
      </w:r>
    </w:p>
    <w:p>
      <w:pPr>
        <w:pStyle w:val="BodyText"/>
      </w:pPr>
      <w:r>
        <w:t xml:space="preserve">Moore, SE., Lyday, S., Roletto, J., Litle, K., Parrish, J.K., Nevins, H., Harvey, J., Mortenson, J., Greig, D., Piazza, M., Hermace, A., Lee, D., Adams, D., Allen, S., and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Norman, S. A., C. E. Bowlby, M. S. Brancato, et al.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et al. 2011. The application of GIS and spatio-temporal analyses to investigations of unusual marine mammal strandings and mortality events. Marine mammal science 28(3): E251-E266.</w:t>
      </w:r>
    </w:p>
    <w:p>
      <w:pPr>
        <w:pStyle w:val="BodyText"/>
      </w:pPr>
      <w:r>
        <w:t xml:space="preserve">Orr, A.J., Melin, S.R., Harris, J.D., and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et al.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Godley, B.J., 2011. Cetacean sightings and strandings: evidence for spatial and temporal trends? Journal of the Marine Biological Association of the United Kingdom,</w:t>
      </w:r>
      <w:r>
        <w:t xml:space="preserve"> </w:t>
      </w:r>
      <w:hyperlink r:id="rId40">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 S., &amp; Yochem, P. K. 1987. Entanglement of pinnipeds in synthetic debris and fishing net and line fragments at San Nicolas and San Miguel islands, California, 1978-1986. Marine Pollution Bulletin, 18, 336-339.</w:t>
      </w:r>
      <w:r>
        <w:t xml:space="preserve"> </w:t>
      </w:r>
      <w:hyperlink r:id="rId41">
        <w:r>
          <w:rPr>
            <w:rStyle w:val="Hyperlink"/>
          </w:rPr>
          <w:t xml:space="preserve">http://dx.doi.org/10.1016/S0025-326X(87)80021-8</w:t>
        </w:r>
      </w:hyperlink>
    </w:p>
    <w:p>
      <w:pPr>
        <w:pStyle w:val="BodyText"/>
      </w:pPr>
      <w:r>
        <w:t xml:space="preserve">Wilkinson, D. and G. Worthy, Marine Mammal Stranding Networks, 1999. In: Conservation and Management of Marine Mammals (Twiss, J. R. and R.R. Reeves, eds.). Smithsonian Institute Press, Washington, pp. 396-411.</w:t>
      </w:r>
    </w:p>
    <w:p>
      <w:pPr>
        <w:pStyle w:val="BodyText"/>
      </w:pPr>
      <w:r>
        <w:t xml:space="preserve">Williams, R., E. Ashe, and P.D. O'Hara. 2011a.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6405d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41" Target="http://dx.doi.org/10.1016/S0025-326X(87)80021-8" TargetMode="External" /><Relationship Type="http://schemas.openxmlformats.org/officeDocument/2006/relationships/hyperlink" Id="rId40" Target="http://dx.doi.org/10.1017/S0025315411000464" TargetMode="External" /><Relationship Type="http://schemas.openxmlformats.org/officeDocument/2006/relationships/hyperlink" Id="rId39" Target="http://dx.doi.org/10.1111/j.1748-7692.2000.tb00911.x" TargetMode="External" /><Relationship Type="http://schemas.openxmlformats.org/officeDocument/2006/relationships/hyperlink" Id="rId38" Target="http://dx.doi.org/10.1139/Z07-132"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41" Target="http://dx.doi.org/10.1016/S0025-326X(87)80021-8" TargetMode="External" /><Relationship Type="http://schemas.openxmlformats.org/officeDocument/2006/relationships/hyperlink" Id="rId40" Target="http://dx.doi.org/10.1017/S0025315411000464" TargetMode="External" /><Relationship Type="http://schemas.openxmlformats.org/officeDocument/2006/relationships/hyperlink" Id="rId39" Target="http://dx.doi.org/10.1111/j.1748-7692.2000.tb00911.x" TargetMode="External" /><Relationship Type="http://schemas.openxmlformats.org/officeDocument/2006/relationships/hyperlink" Id="rId38" Target="http://dx.doi.org/10.1139/Z07-132"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2017-02-12T16:33:39Z</dcterms:created>
  <dcterms:modified xsi:type="dcterms:W3CDTF">2017-02-12T16:33:39Z</dcterms:modified>
</cp:coreProperties>
</file>