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 and Human Interaction Cases along the Oregon and Washington Coasts, 1989 - 2016</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response network data from Washington and Oregon between 1989-2016 were used to examine regional and temporal patterns in strandings and human interaction cases across age and sex for six species. Over the study period, 14,939 pinnipeds stranded along the coasts of Washington and Oregon, 11% of which were documented as human interaction cases. Gunshot wounds and fisheries entanglements constituted the majority of human interaction cases (37% and 21%, respectively), though the prevalence of these cases varies across species. The number and prevalence of reported human interaction cases has increased over time in certain regions. The spatial distribution of strandings is highly dependent on species, with a higher proportion of California sea lions, Steller sea lions, and northern elephant seals stranding in Oregon whereas the majority of strandings in Washington were harbor seals. Pups, adults, and males stranded in higher numbers than females and other age classes, though these patterns varied across species and regions. Stranding hotspots are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environment.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live at the land-sea interface and are often considered sentinels of ocean health (Aguirre and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and McLean 1992; Wilkinson and Worthy 1999; Norman et al., 2004; Pyenson et al., 2010; Osinga et al., 2012; Berini et al., 2015; Johnston 2015). Stranding records can therefore provide insight into the animals themselves and how their environment is changing due to natural fluctuations or human-related activities. This study examines strandings across six pinniped species in the Pacific Northwest from 1989-2016 to investigate trends in sex, age class, and human interaction cases,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local abundance and distribution of species, and increased reporting effort (Norman et al., 2004; Jepson, 2005; Leeney et al 2008; Berini et al., 2015; Huggins et al., 2015a). Gray, hooded, harp, and harbor seal strandings in the northeast U.S. increased from the late 1990s to early 2000s likely due to a combination of these factors (Harris &amp; Gupta, 2006; Johnston 2015). Similarly, gray and common seal strandings in the Netherlands increased likely due to growing populations and the resulting changes in seasonal and spatial distribution (Osinga et al.,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in Oregon and Washington,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In this region, identifying and responding to strandings relies heavily on reports from the public, which can vary by subregion due density of residential development, public awareness, and community interest (Huggins et al., 2015b). This illustrates the importance of acknowledging and contextualizing the uncertainty that exists when using stranding data as a window into the health, status, or threats facing pinniped populations. However, despite the caveats inherent in studying stranding records, the information is often the best and only available data, representing the realities of what we know, what we don’t know, and what we might be able to learn in the future.</w:t>
      </w:r>
    </w:p>
    <w:p>
      <w:pPr>
        <w:pStyle w:val="BodyText"/>
      </w:pPr>
      <w:r>
        <w:t xml:space="preserve">Data from stranding response networks were used to characterize spatio-temporal trends in age, sex, species, and human interaction cases in Oregon and Washington over a longer time period than has been assessed to date. This study provides an initial investigation into the complexities of overlapping human and pinniped uses of a diverse and changing coastal landscape over time, which is particularly relevant given recent and future predicted anomalous ocean conditions in the area. These analyses are critical to natural resource managers tasked with assessing and monitoring pinniped populations and additionally useful to ensure that stranding network practitioners have the necessary resources to study, collect, and evaluate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for some or all of their lives, each with unique life history characteristics, behavioral traits, local abundance, and dynamic population trends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embayments, etc.) and socioeconomic development (residential and commercial districts, shipping channels, ports, fishing activities, ecotourism, etc.).</w:t>
      </w:r>
      <w:r>
        <w:t xml:space="preserve"> </w:t>
      </w:r>
      <w:r>
        <w:t xml:space="preserve">add comment</w:t>
      </w:r>
      <w:r>
        <w:t xml:space="preserve"> </w:t>
      </w: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moderate haul-out fidelity and choose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Alaska and return south in late spring (Lowry &amp; Forney, 2005). Due to these life history and migratory patterns, individuals generally found in the Pacific Northwest are males utilizing feeding areas in fall, winter,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to 75,000 individuals (Carretta et al., 2016, DeMaster, 2014),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to 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 and Characterization</w:t>
      </w:r>
      <w:r>
        <w:br w:type="textWrapping"/>
      </w: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latitude and longitude coordinates, age, sex, species, stranding condition (live or dead), and other observational comments including visible evidence of injury or illness. The total number of pinnipeds stranded along the coasts of Oregon and Washington from 1989 to 2016 (n = 14,939) were characterized according to sex, age class, and species, and then aggregated by month, year, and stranding location. For this analysis, we assume stranding location can be used as a relative approximation for where strandings and human interactions occurred, though carcasses in stages of advanced decomposition can drift for some time before making landfall. Inland Washington waters were distinguished from coastal Washington counties because the pinnipeds that live and strand in these two subregions are very different.</w:t>
      </w:r>
    </w:p>
    <w:p>
      <w:pPr>
        <w:pStyle w:val="BodyText"/>
      </w:pPr>
      <w:r>
        <w:t xml:space="preserve">Records for dead or decomposed animals can be missing certain fields, resulting in "Unknown" or "Unidentified" designations, and are therefore only included in analyses where possible. In addition to examining total stranding cases (both live and dead) across these variables, the number of human interaction cases were also examined. Human interaction (HI) cases are recorded on the Level A stranding intake form, with "Yes," "No," or "could not be determined (CBD)" designations for whether there is evidence of fisheries entanglements, gunshot wounds, boat collisions, or "other" human interactions. Descriptions of "other" human interactions include but are not limited to indeterminate blunt trauma, missing body parts, dog bites, debris entanglement, oil staining, and humans harassing or illegally relocating animals.</w:t>
      </w:r>
    </w:p>
    <w:p>
      <w:pPr>
        <w:pStyle w:val="BodyText"/>
      </w:pPr>
      <w:r>
        <w:t xml:space="preserve">Stranding response networks that have the capacity to conduct necropsies on a higher percentage of stranded individuals will likely have a higher incidence of positive HI findings, while those that conduct fewer necropsies may have a higher incidence of CBD findings. Therefore, the prevalence of HI cases must be compared to the total number of strandings rather than the total number of HI cases. We analyzed two measures of the prevalence of HI cases: (1) the percent composition of human interaction cases (</w:t>
      </w:r>
      <w:r>
        <w:rPr>
          <w:i/>
        </w:rPr>
        <w:t xml:space="preserve">e.g.</w:t>
      </w:r>
      <w:r>
        <w:t xml:space="preserve">, number of fisheries entanglements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number of fisheries entanglements divided by total stranding cases), which could reveal changes in the overall prominence of human interactions independent of changes in population demographics.</w:t>
      </w:r>
    </w:p>
    <w:p>
      <w:pPr>
        <w:pStyle w:val="BodyText"/>
      </w:pPr>
      <w:r>
        <w:rPr>
          <w:i/>
        </w:rPr>
        <w:t xml:space="preserve">Statistical Analysis</w:t>
      </w:r>
      <w:r>
        <w:br w:type="textWrapping"/>
      </w:r>
      <w:r>
        <w:t xml:space="preserve">Age class, sex, and species - Mean annual and monthly stranding cases were compared across categorical variables of species, sex, and age classes using general linear model (GLM) regressions with Poisson distribution and log link function in R 3.3.2, with age class, sex, and species as independent variables and mean stranding cases as the dependent variable. Kruskal-Wallis Nemenyi tests (posthoc.kruskal.nemenyi.test function in the PMCMR package) for non-parametric data were conducted to detect significant pairwise differences across categorical variables, such as determining which species or age classes, if any, exhibit seasonal peaks in reported strandings or different types of human interaction cases. Summary statistics were examined both at the regional level for management-relevant patterns and on a more local level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GLM regressions (glm.nb function in the MASS R package) for mean annual number of stranding cases against year to account for overdispersion and correct for standard error estimates that might be biased downwards in a Poisson regression model. This analysis was repeated for total strandings and HI cases for each species. Time series trends were fit with a loess ("locally weighted regression", Cleveland &amp; Devlin, 1988) line to allow for a dynamic, changing, and unknown relationship between explantory and response variables over time that could arise from changes in stranding network capacity and reporting effort over the study period. To examine changes in the prevalence of human interaction cases over time, we used a binomial logistic GLM regression.</w:t>
      </w:r>
    </w:p>
    <w:p>
      <w:pPr>
        <w:pStyle w:val="BodyText"/>
      </w:pPr>
      <w:r>
        <w:t xml:space="preserve">The presence of seasonal patterns were tested using GLM regressions and post-hoc pairwise Kruskal-Wallis tests, as above, with month as the independent variable and mean monthly stranding cases as the dependent variable. We also tested for the presence of a seasonal effect with ANOVA comparisons of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GLM regression with Poisson distribution and post-hoc Kruskal-Wallis tests using county as the independent variable and mean monthly stranding cases as the dependent variable. To examine whether HI cases occurred at a higher rate than would be expected in certain counties based on the distirbution of total strandings, we ...help - add explanation for prevalence of HI cases in counties]. Stranding hotspot maps were generated with a kernel density estimation (Gatrell et al., 1996) derived from the ggplot2 function geom_density2d in R. Because this function does not take into account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&amp; Nagarwalla, 1995; Kulldorff, 2001, 2005) could be explored in the future to refine these hotspots.</w:t>
      </w:r>
    </w:p>
    <w:p>
      <w:pPr>
        <w:pStyle w:val="BodyText"/>
      </w:pPr>
      <w:r>
        <w:rPr>
          <w:b/>
        </w:rPr>
        <w:t xml:space="preserve">Results</w:t>
      </w:r>
    </w:p>
    <w:p>
      <w:pPr>
        <w:pStyle w:val="BodyText"/>
      </w:pPr>
      <w:r>
        <w:t xml:space="preserve">From 1989-2016, local stranding response networks identified and recorded 14,939 stranded pinnipeds along the coast of Oregon and Washington. The majority of these strandings were harbor seals (58%) and California sea lions (19%), followed by a smaller number of Steller sea lions (7%), northern elephant seals (3%), Guadalupe fur seals (1%), and northern fur seals (1%) (Table 1). Approximately 28% were alive and 31% were freshly dead at the time of recovery, with the remaining being in various states of decomposition.</w:t>
      </w:r>
    </w:p>
    <w:p>
      <w:pPr>
        <w:pStyle w:val="BodyText"/>
      </w:pPr>
      <w:r>
        <w:t xml:space="preserve">Stranding records can include observations such as whether animals were malnurished, injured, or abandoned and whether there was evidence of human-caused injuries. Evidence of human interaction was present in 11% of all stranding cases over the study period, including fisheries entanglements (n = 336, 21% of all human interaction cases), gunshot wounds (n = 598, 37% of all human interaction cases), boat collision injuries (n = 76, 5% of all human interaction cases), and "other" (n = 648, 40% of all human interaction cases).</w:t>
      </w:r>
    </w:p>
    <w:p>
      <w:pPr>
        <w:pStyle w:val="BodyText"/>
      </w:pPr>
      <w:r>
        <w:rPr>
          <w:i/>
        </w:rPr>
        <w:t xml:space="preserve">Species</w:t>
      </w:r>
      <w:r>
        <w:br w:type="textWrapping"/>
      </w:r>
      <w:r>
        <w:t xml:space="preserve">As would be expected, average annual strandings are significantly different across species over the study period (chi-sq = 9.8, p &lt; 0.01), ranging from 5 per year for northern fur seals to 312 per year for harbor seals (Figure 1a, Table 1). Harbor seal (58% of total strandings) and California sea lions (19%) were significantly higher than the other species. This is similar to the composition of species within human interaction cases, with harbor seals constituting 54% of HI cases, followed by California sea lions (28%) and Steller sea lions (12%).</w:t>
      </w:r>
    </w:p>
    <w:p>
      <w:pPr>
        <w:pStyle w:val="BodyText"/>
      </w:pPr>
      <w:r>
        <w:t xml:space="preserve">Differences between species are apparent when examining the prevalence of human interaction cases for each species (</w:t>
      </w:r>
      <w:r>
        <w:rPr>
          <w:i/>
        </w:rPr>
        <w:t xml:space="preserve">i.e.</w:t>
      </w:r>
      <w:r>
        <w:t xml:space="preserve">, percentage of cases with evidence of human interaction divided by total number of cases for a given species), and the percent composition of HI cases for each species (</w:t>
      </w:r>
      <w:r>
        <w:rPr>
          <w:i/>
        </w:rPr>
        <w:t xml:space="preserve">i.e.</w:t>
      </w:r>
      <w:r>
        <w:t xml:space="preserve">, the proportion of human interaction cases involving gunshot wounds versus fisheries entanglements for a given species). The prevalence of HI cases ranges from % for northern elephant seals up to % for northern fur seals and % for Steller sea lions, the latter two being among the more depleted species occurring in the study area (Table 1). The composition of HI cases by type varies considerably across species (Table 1). Gunshot wounds amounted to % of human interaction cases for Steller sea lions and % for California sea lions, but only % for harbor seals. In contrast, fisheries interactions constituted a lower proportion of human interaction cases for those three species but amounted to more than 70% of human interaction cases for Guadalupe and northern fur seals (Table 1). Boat collision injuries are encountered much less frequently than the other types of human interaction cases but are most prevalent in northern elephant seals, amounting to % of HI cases (Table 1 and Figure 1b). The changes in these rates over time are detailed below.</w:t>
      </w:r>
    </w:p>
    <w:p>
      <w:pPr>
        <w:pStyle w:val="BodyText"/>
      </w:pPr>
      <w:r>
        <w:rPr>
          <w:i/>
        </w:rPr>
        <w:t xml:space="preserve">Sex and Age Class</w:t>
      </w:r>
      <w:r>
        <w:br w:type="textWrapping"/>
      </w:r>
      <w:r>
        <w:t xml:space="preserve">All stranding cases - Annual average strandings were significantly different across both sex (chi-sq = 119.3, p &lt; 0.001) and age class (chi-sq = 232.6, p &lt; 0.001), but remained relatively consistent throughout the study period. From 1989-2016, 34% of all stranding cases were male, 17% female, and 49% unidentified (Table 2). Across all strandings, the majority were pups (28%) and adults (23%), with significantly fewer yearlings (7%) and subadults (6%), with the remainder being unidentified (Table 2).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61% of adults (Table 2). For California sea lions and northern elephant seals, the majority of identified strandings (those assigned a species or age class designation) were male, while the sex composition was more equal for the other species (Table 3). For California sea lions and Steller sea lions, more than half of identified strandings were adults, while the majority for the other four species were pups and yearlings (Table 3).</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(chi-sq = 119.2, p &lt; 0.001), but the</w:t>
      </w:r>
      <w:r>
        <w:t xml:space="preserve"> </w:t>
      </w:r>
      <w:r>
        <w:rPr>
          <w:i/>
        </w:rPr>
        <w:t xml:space="preserve">prevalence</w:t>
      </w:r>
      <w:r>
        <w:t xml:space="preserve"> </w:t>
      </w:r>
      <w:r>
        <w:t xml:space="preserve">of human interaction cases is similar for males and females (approximately 16%). The prevalence of fisheries interactions and boat injuries is similar between males and females, though gunshot wounds are more prevalent for males (Table 4). For specific age classes, the number and prevalence of HI cases is significantly higher in pups, adults, and subadults and lowest for yearlings (Table 4). Fisheries interactions are the most common type of HI case for yearlings (39% of all yearling HI cases) and significantly less prominent for pups (17%). Gunshot wounds are most prominent for adults (58% of adult HI cases) and subadults (51%) and less problematic for pups (4%). Boat collisions comprise a small proportion (2-7%)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1.048^x, z = 5.42, p &lt; 0.001), suggesting a 4.8% increase per year. An annual average of 328.8 individuals stranded throughout the 1990s and 666 per year since 2000. However, annual strandings are changing differently over the study period for each species; significantly increasing for harbor seals (y = 1.057^x, z = 6.18, p &lt; 0.001), California sea lions (y = 1.098^x, z = 7.71, p &lt; 0.001), Steller sea lions (y = 1.143^x, z = 8.338, p &lt; 0.001), Guadalupe fur seals (y = 1.159^x, z = 2.026, p &lt; 0.05), and northern fur seals (y = 1.044^x, z = 2.2, p &lt; 0.05) (Figure 2). Examining these trends separately for the Oregon coast, Washington coast, and inland Washington waters would likely indicate different rates of change.</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1989-2016 (y = 1.10^x, z = 7.833, p &lt; 0.001), signifying a 10% increase per year. An annual average of 20.5 cases were documented throughout the 1990s and 82.5 per year since 2000. Specifically, data show an increasing number of</w:t>
      </w:r>
      <w:r>
        <w:t xml:space="preserve"> </w:t>
      </w:r>
      <w:r>
        <w:t xml:space="preserve">gunshot wounds (y = 1.073^x, z = 4.66, p &lt; 0.001), fisheries entanglements (y = 1.090^x, z = 8.27, p &lt; 0.001), and boat injuries (y = 1.087^x, z = 3.27, p &lt; 0.01) over the study period (Figure 3b). The</w:t>
      </w:r>
      <w:r>
        <w:t xml:space="preserve"> </w:t>
      </w:r>
      <w:r>
        <w:rPr>
          <w:i/>
        </w:rPr>
        <w:t xml:space="preserve">prevalence</w:t>
      </w:r>
      <w:r>
        <w:t xml:space="preserve"> </w:t>
      </w:r>
      <w:r>
        <w:t xml:space="preserve">of HI cases has also increased overall (y = 0.06x, z = 15.49, p &lt; 0.001) and specifically for gunshot wounds (y = 0.039x, z = 6.4, p &lt; 0.001), fisheries entanglements (y = 0.043x, z = 5.3, p &lt; 0.001), and boat injuries (y = 0.087x, z = 4.2, p &lt; 0.001), with the prevalence of combined HI cases exceeding 20% in 2012, 2013, and 2015 (Figure 4b).</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documented HI cases increased for</w:t>
      </w:r>
      <w:r>
        <w:t xml:space="preserve"> </w:t>
      </w:r>
      <w:r>
        <w:t xml:space="preserve">harbor seals (y = 1.114^x, z = 8.71, p &lt; 0.001), California sea lions (y = 1.099^x, z = 6.27, p &lt; 0.001), Steller sea lions (y = 1.095^x, z = 5.26, p &lt; 0.001), and Guadalupe fur seals (y = 1.173^x, z = 2.13, p &lt; 0.05) (Figure 3a). The</w:t>
      </w:r>
      <w:r>
        <w:t xml:space="preserve"> </w:t>
      </w:r>
      <w:r>
        <w:rPr>
          <w:i/>
        </w:rPr>
        <w:t xml:space="preserve">prevalence</w:t>
      </w:r>
      <w:r>
        <w:t xml:space="preserve"> </w:t>
      </w:r>
      <w:r>
        <w:t xml:space="preserve">of HI cases has increased for harbor seals (y = 0.06x, z = 11.4, p &lt; 0.001), California sea lions (y = 0.03x, z = 3.8, p &lt; 0.001), and northern elephant seals (y = 0.09x, z = 3.46, p &lt; 0.001) (Figure 4a). More specifically, data show that the prevalence of gunshot wound cases increased significantly for California sea lions, fisherines entanglement cases increased for California sea lions and harbor seals, and boat-related injuries increased for harbor seals.</w:t>
      </w:r>
    </w:p>
    <w:p>
      <w:pPr>
        <w:pStyle w:val="BodyText"/>
      </w:pPr>
      <w:r>
        <w:t xml:space="preserve">On a seasonal basis, total strandings are significantly different across months of the year (chi-sq = 4615, p &lt; 0.001), with greater total strandings occurring May through October. However, the timing of this peak is different for each species. California sea lion strandings are low in February and high in May and August through November. Guadalupe fur seal strandings peak in June, harbor seals April through September, northern elephant seals in April, northern fur seals in May, and Steller sea lion strandings are significantly lower in September and October. The age class composition of stranded animals varies seasonally, ranging from 10-20% pups when strandings are lower in the winter to 60% when strandings are higher during July and August.</w:t>
      </w:r>
    </w:p>
    <w:p>
      <w:pPr>
        <w:pStyle w:val="BodyText"/>
      </w:pPr>
      <w:r>
        <w:t xml:space="preserve">The</w:t>
      </w:r>
      <w:r>
        <w:t xml:space="preserve"> </w:t>
      </w:r>
      <w:r>
        <w:rPr>
          <w:i/>
        </w:rPr>
        <w:t xml:space="preserve">number</w:t>
      </w:r>
      <w:r>
        <w:t xml:space="preserve"> </w:t>
      </w:r>
      <w:r>
        <w:t xml:space="preserve">of human interactions cases peaks significantly in the summer, but is evident only for harbor seals, pups, and "other" human interaction cases (Figure 5). The</w:t>
      </w:r>
      <w:r>
        <w:t xml:space="preserve"> </w:t>
      </w:r>
      <w:r>
        <w:rPr>
          <w:i/>
        </w:rPr>
        <w:t xml:space="preserve">prevalence</w:t>
      </w:r>
      <w:r>
        <w:t xml:space="preserve"> </w:t>
      </w:r>
      <w:r>
        <w:t xml:space="preserve">of HI cases shows a seasonal peak, ranging from 11% to 23% of cases depending on the month. The proportion of fisheries interactions cases is higher in June and August than other months, while boat injuries and gunshot wounds do not change significantly throughout the months of the year.</w:t>
      </w:r>
    </w:p>
    <w:p>
      <w:pPr>
        <w:pStyle w:val="BodyText"/>
      </w:pPr>
      <w:r>
        <w:rPr>
          <w:i/>
        </w:rPr>
        <w:t xml:space="preserve">Spatial Patterns</w:t>
      </w:r>
      <w:r>
        <w:br w:type="textWrapping"/>
      </w:r>
      <w:r>
        <w:t xml:space="preserve">Over the study period, more strandings occurred inland Washington and Oregon compared with along the Washington coast. The percentage of annual strandings in Oregon ranged from 8% to 58% and averaging 35% for the whole study period (Figure 6). In contrast, annual strandings along the Washington coast ranged from 2% to -</w:t>
      </w:r>
      <w:r>
        <w:t xml:space="preserve">% and averaging NA% for the whole study period. The distribution of HI cases between these three regions is similar to that of overall strandings, with 35% of all HI cases occurring in Oregon, NA% and the remaining 12.25% along the Washington coast. The distribution of specific types of HI cases are also disperately distributed between the three regions, with only 31% of boat collisions and 16% of "other" cases occurring in Oregon and 68% and 72% occurring in inland Washington waters. The higher percentage of "other" HI cases in inland WA is likely due to the fact that the majority of those cases are harbor seal pups, and a disproportional number of harbor seal stranding occurs in Washington, as described above. The higher percentage of boat-related injuries in inland Washington could be attributed to the prevalence ferry and shipping traffic and recreational boating opportunities throughout Puget Sound and the Salish Sea. The most prevalent type of human interaction case reported on the Washington coast was gunshot wounds, amounting to 25% of gunshot wounds during the study period.</w:t>
      </w:r>
    </w:p>
    <w:p>
      <w:pPr>
        <w:pStyle w:val="BodyText"/>
      </w:pPr>
      <w:r>
        <w:t xml:space="preserve">At the county level, strandings were not evenly distributed along the coast (chi-sq = 1191.3, p &lt; 0.001). In Washington, strandings were highest in San Juan, Island, King, Pierce, and Grays Harbor counties (Figure 7). Similarly, the number of HI cases were significantly higher in Grays Harbor, Pierce, and Pacific counties, with a disproportionately higher number of cases in Pacific county compared with all strandings, the majority of which were gunshot wounds.</w:t>
      </w:r>
    </w:p>
    <w:p>
      <w:pPr>
        <w:pStyle w:val="BodyText"/>
      </w:pPr>
      <w:r>
        <w:t xml:space="preserve">Combined human interaction cases increased in Clallam (y = x, z = , p &lt; 0.001), Grays Harbor (y = x, z = , p &lt; 0.001), Pacific (y = 2.1x, z = 4.7, p &lt; 0.001), and Pierce (y = 2.3x, z = 5.3, p &lt; 0.001)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 These counties were also where the majority of HI cases occurred, though a disproportionately higher number occurred in Clatsop, the majority of which where gunshot wounds. Combined human interaction cases increased in Clatsop (y = 4.1x, z = 2.4, p &lt; 0.05) and Clallam (y = 1.0x, z = 5.7, p &lt; 0.001) counties.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two states,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pasting from methods: These response network members have grown in their capacity and coverage over the study period, particularly in the mid-2000s with the implementation of the Prescott grant program,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response networks is that beach coverage, response capacity, and even data-reporting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t xml:space="preserve">Our results highlight spatio-temporal stranding hotspots in Oregon and Washington from 1989-2016. Our data show that harbor seals are the most commonly stranding species in Washington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has changed over time, and that strandings and specific human interaction types are clustered in certain counties along the coast. Though Huggins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any given reporting biases that have arisen were probably rooted in logistical issues specific to a given place or situation, and remain true to that area). Therefore, while reported strandings at minimum underestimate the true volume of strandings, the long-term spatio-temporal patterns across sex and age class and the relative changes in the prevalence of human interactions cases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that males of various age classes (but particularly young animals) had a greater number of human interaction cases (Greig et al., 2005, Delong et al., 1990, Kiyota &amp;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 Our results here also must be interpreted with the knowledge that strandings of pups in inland Washington may be higher due to dedicated surveys of haul-out areas not publicly accessible. add comment</w:t>
      </w:r>
    </w:p>
    <w:p>
      <w:pPr>
        <w:pStyle w:val="BodyText"/>
      </w:pPr>
      <w:r>
        <w:t xml:space="preserve">Adults constituting a higher percentage of overall strandings compared to other age classes differs from others where young animals have comprised the majority of strandings and human interaction cases (Greig et al., 2005; Goldstein et al., 1999; Hanni &amp;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br w:type="textWrapping"/>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(7.5-16%) and Cape Cod (10%) (Goldstein et al., 1999; Kaplan Dau et al., 2009; Moore et al., 2009; Bogomolni et al., 2010; Keledjian &amp; Mesnick, 2013). Similar to other studies (Moore et al., 2009; Bogomolni et al., 2010), the prevalence of HI cases varied considerably across species, being highest for northern fur seals, Steller, and California sea lions, and lower for northern elephant seals and harbor seals (Table 1). This disparity is likely due to a combination of the different age classes prevalent for each species and each species having different foraging habits, behavioral tendencies, and different levels of examination or necropsy for different species (</w:t>
      </w:r>
      <w:r>
        <w:rPr>
          <w:i/>
        </w:rPr>
        <w:t xml:space="preserve">i.e.</w:t>
      </w:r>
      <w:r>
        <w:t xml:space="preserve">, listed and infrequently stranding species such as the northern fur seal would likely garner greater scientific interest and therefore more extensive examinations that would reveal evidence of human interaction).</w:t>
      </w:r>
    </w:p>
    <w:p>
      <w:pPr>
        <w:pStyle w:val="BodyText"/>
      </w:pPr>
      <w:r>
        <w:rPr>
          <w:i/>
        </w:rPr>
        <w:t xml:space="preserve">Temporal Patterns</w:t>
      </w:r>
      <w:r>
        <w:br w:type="textWrapping"/>
      </w:r>
      <w:r>
        <w:t xml:space="preserve">We examined mean annual strandings and human interaction cases, and the prevalence of each human interaction type over the study period. Our results indicate that total annual reported strandings significantly increased over the study period, though this pattern is different for each species. Harbor seals and California sea lion strandings increased over time, while strandings of the other species slightly decreased over time.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from April to October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and California sea lions, mirroring the rise in overall strandings. Additionally, the</w:t>
      </w:r>
      <w:r>
        <w:t xml:space="preserve"> </w:t>
      </w:r>
      <w:r>
        <w:rPr>
          <w:i/>
        </w:rPr>
        <w:t xml:space="preserve">prevalence</w:t>
      </w:r>
      <w:r>
        <w:t xml:space="preserve"> </w:t>
      </w:r>
      <w:r>
        <w:t xml:space="preserve">of HI cases has increased significantly over time for California sea lions and northern fur seals, and decreased for northern elephant seals. More specifically, the prevalence of gunshot wounds has decreased in recorded strandings of harbor seals and northern elephant seals and documented fisheries entanglements have increased in northern fur seal and Guadalupe fur seal stranding records. In California, human interaction cases increased over time throughout the 1990s, averaging 7.5% (Goldstein et al., 1999), which is lower than results presented here. Over a longer time period in California, the prevalence of human interaction cases amounted to 16% of California sea lion strandings from 1983-2010, with fisheries interactions and gunshot wound cases significantly increasing over time (Keledjian &amp;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As expected, overall strandings and HI cases are not distributed equally along the coast at the state and county levels, likely due to the distribution of both the animals and stranding response network effort. From 1989-2016,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number and relative distribution of strandings are different across species, and stranding hotspots are similar to those that have been previously identified for cetaceans and pinnipeds (Norman et al., 2004; Lee 2016). In Washington, harbor seals primarily strand in Puget Sound due to the area having a large number of haul-outs, rookeries, and people reporting strandings.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and increased over time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varied for each of the six species that are found in the study area.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 more broadly across all age classes and along the coast. The number of strandings and the prevalence of human interaction cases has increased over time, largely attributed to a combination of changing population dynamics, enhanced stranding response effort and public awareness, and continued coastal socioeconomic development.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w:t>
      </w:r>
    </w:p>
    <w:p>
      <w:pPr>
        <w:pStyle w:val="BodyText"/>
      </w:pPr>
      <w:r>
        <w:rPr>
          <w:b/>
        </w:rPr>
        <w:t xml:space="preserve">Figures and Tables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(b) boxplot of annual human interactions by type, showing a high number of gunshot wounds for California sea lions and Steller sea lions and other cases for harbor seals.</w:t>
      </w:r>
    </w:p>
    <w:p>
      <w:pPr>
        <w:pStyle w:val="BodyText"/>
      </w:pPr>
      <w:r>
        <w:drawing>
          <wp:inline>
            <wp:extent cx="5486400" cy="4310742"/>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486400" cy="4310742"/>
                    </a:xfrm>
                    <a:prstGeom prst="rect">
                      <a:avLst/>
                    </a:prstGeom>
                    <a:noFill/>
                    <a:ln w="9525">
                      <a:noFill/>
                      <a:headEnd/>
                      <a:tailEnd/>
                    </a:ln>
                  </pic:spPr>
                </pic:pic>
              </a:graphicData>
            </a:graphic>
          </wp:inline>
        </w:drawing>
      </w:r>
    </w:p>
    <w:p>
      <w:pPr>
        <w:pStyle w:val="BodyText"/>
      </w:pPr>
      <w:r>
        <w:t xml:space="preserve">Figure 2: Increasing annual strandings (n = 14,939) over the study period denoted by black regression line (y = 1.1x, z = 44.7, p &lt; 0.01) likely at least in part due to Prescott Grant Program beginning in the mid-2000s; and increasing strandings in harbor seals (), California sea lions (), Guadualupe fur seals (), northern elephant seals (), Steller sea lions (), and northern fur seals (). Regression lines not shown for individual species for readability.</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combined HI cases overall (denoted by black regression line; y = 1.1x, z = 27.2, p &lt; 0.001) and for each species shows increasing cases for harbor seals (), California sea lions (), Guadalupe fur seals (), and Steller sea lions () and (b) increasing number of gunshot wounds (y = 6.5x, z = 14.8, p &lt; 0.001), fisheries entanglements (y = 3.7x, z = 9.9, p &lt; 0.001), and boat injuries (y = 1.1x, 25.5,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(denoted by black dotted, y = 0.005x, t = 5.8, p &lt; 0.001, r-sq = 0.55) and increasing California sea lions, harbor seals, and northern elephant seals; (b) increasing for all types combined (y = 0.005x, t = 5.8, p &lt; 0.001) and for each HI case type: gunshot wounds (y = 0.03x, t = 7.5, p &lt; 0.001), fisheries entanglements (y = 0.02x, t = 3.6, p &lt; 0.001), boat injuries (y = 0.001x, t = 6.1, p &lt; 0.001), and other (y = 0.03x, t = 6.1, p &lt; 0.001). Regression lines not shown for HI case types.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(b) age class, showing summer peak for human interaction cases for pups; and (c) human interaction type, showing a high number of fisheries cases in August and other in July.</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Boxplot of monthly strandings over the study period shows increasing average and variability in both states.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Total strandings (above) and human interaction cases (below) for counties in Washington (left of dashed line) and Oregon (right of dashed line) show higher strandings in Lincoln, San Juan, and Pierce, and proportionally higher HI cases in Clatsop and Pacific.</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(n = 14,939), the prevalence of human interaction cases (HI/all cases) for each species,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Pinniped.Common.Name</w:t>
            </w:r>
          </w:p>
        </w:tc>
        <w:tc>
          <w:tcPr>
            <w:tcBorders>
              <w:bottom w:val="single"/>
            </w:tcBorders>
            <w:vAlign w:val="bottom"/>
          </w:tcPr>
          <w:p>
            <w:pPr>
              <w:pStyle w:val="Compact"/>
              <w:jc w:val="center"/>
            </w:pPr>
            <w:r>
              <w:t xml:space="preserve">Boat</w:t>
            </w:r>
          </w:p>
        </w:tc>
        <w:tc>
          <w:tcPr>
            <w:tcBorders>
              <w:bottom w:val="single"/>
            </w:tcBorders>
            <w:vAlign w:val="bottom"/>
          </w:tcPr>
          <w:p>
            <w:pPr>
              <w:pStyle w:val="Compact"/>
              <w:jc w:val="center"/>
            </w:pPr>
            <w:r>
              <w:t xml:space="preserve">Fisheries</w:t>
            </w:r>
          </w:p>
        </w:tc>
        <w:tc>
          <w:tcPr>
            <w:tcBorders>
              <w:bottom w:val="single"/>
            </w:tcBorders>
            <w:vAlign w:val="bottom"/>
          </w:tcPr>
          <w:p>
            <w:pPr>
              <w:pStyle w:val="Compact"/>
              <w:jc w:val="center"/>
            </w:pPr>
            <w:r>
              <w:t xml:space="preserve">Gunshot</w:t>
            </w:r>
          </w:p>
        </w:tc>
        <w:tc>
          <w:tcPr>
            <w:tcBorders>
              <w:bottom w:val="single"/>
            </w:tcBorders>
            <w:vAlign w:val="bottom"/>
          </w:tcPr>
          <w:p>
            <w:pPr>
              <w:pStyle w:val="Compact"/>
              <w:jc w:val="center"/>
            </w:pPr>
            <w:r>
              <w:t xml:space="preserve">Other</w:t>
            </w:r>
          </w:p>
        </w:tc>
      </w:tr>
      <w:tr>
        <w:tc>
          <w:p>
            <w:pPr>
              <w:pStyle w:val="Compact"/>
              <w:jc w:val="center"/>
            </w:pPr>
            <w:r>
              <w:t xml:space="preserve">California sea lion</w:t>
            </w:r>
          </w:p>
        </w:tc>
        <w:tc>
          <w:p>
            <w:pPr>
              <w:pStyle w:val="Compact"/>
              <w:jc w:val="center"/>
            </w:pPr>
            <w:r>
              <w:t xml:space="preserve">15</w:t>
            </w:r>
          </w:p>
        </w:tc>
        <w:tc>
          <w:p>
            <w:pPr>
              <w:pStyle w:val="Compact"/>
              <w:jc w:val="center"/>
            </w:pPr>
            <w:r>
              <w:t xml:space="preserve">78</w:t>
            </w:r>
          </w:p>
        </w:tc>
        <w:tc>
          <w:p>
            <w:pPr>
              <w:pStyle w:val="Compact"/>
              <w:jc w:val="center"/>
            </w:pPr>
            <w:r>
              <w:t xml:space="preserve">249</w:t>
            </w:r>
          </w:p>
        </w:tc>
        <w:tc>
          <w:p>
            <w:pPr>
              <w:pStyle w:val="Compact"/>
              <w:jc w:val="center"/>
            </w:pPr>
            <w:r>
              <w:t xml:space="preserve">84</w:t>
            </w:r>
          </w:p>
        </w:tc>
      </w:tr>
      <w:tr>
        <w:tc>
          <w:p>
            <w:pPr>
              <w:pStyle w:val="Compact"/>
              <w:jc w:val="center"/>
            </w:pPr>
            <w:r>
              <w:t xml:space="preserve">Guadalupe fur seal</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7</w:t>
            </w:r>
          </w:p>
        </w:tc>
      </w:tr>
      <w:tr>
        <w:tc>
          <w:p>
            <w:pPr>
              <w:pStyle w:val="Compact"/>
              <w:jc w:val="center"/>
            </w:pPr>
            <w:r>
              <w:t xml:space="preserve">Harbor seal</w:t>
            </w:r>
          </w:p>
        </w:tc>
        <w:tc>
          <w:p>
            <w:pPr>
              <w:pStyle w:val="Compact"/>
              <w:jc w:val="center"/>
            </w:pPr>
            <w:r>
              <w:t xml:space="preserve">50</w:t>
            </w:r>
          </w:p>
        </w:tc>
        <w:tc>
          <w:p>
            <w:pPr>
              <w:pStyle w:val="Compact"/>
              <w:jc w:val="center"/>
            </w:pPr>
            <w:r>
              <w:t xml:space="preserve">155</w:t>
            </w:r>
          </w:p>
        </w:tc>
        <w:tc>
          <w:p>
            <w:pPr>
              <w:pStyle w:val="Compact"/>
              <w:jc w:val="center"/>
            </w:pPr>
            <w:r>
              <w:t xml:space="preserve">171</w:t>
            </w:r>
          </w:p>
        </w:tc>
        <w:tc>
          <w:p>
            <w:pPr>
              <w:pStyle w:val="Compact"/>
              <w:jc w:val="center"/>
            </w:pPr>
            <w:r>
              <w:t xml:space="preserve">451</w:t>
            </w:r>
          </w:p>
        </w:tc>
      </w:tr>
      <w:tr>
        <w:tc>
          <w:p>
            <w:pPr>
              <w:pStyle w:val="Compact"/>
              <w:jc w:val="center"/>
            </w:pPr>
            <w:r>
              <w:t xml:space="preserve">Northern elephant seal</w:t>
            </w:r>
          </w:p>
        </w:tc>
        <w:tc>
          <w:p>
            <w:pPr>
              <w:pStyle w:val="Compact"/>
              <w:jc w:val="center"/>
            </w:pPr>
            <w:r>
              <w:t xml:space="preserve">4</w:t>
            </w:r>
          </w:p>
        </w:tc>
        <w:tc>
          <w:p>
            <w:pPr>
              <w:pStyle w:val="Compact"/>
              <w:jc w:val="center"/>
            </w:pPr>
            <w:r>
              <w:t xml:space="preserve">4</w:t>
            </w:r>
          </w:p>
        </w:tc>
        <w:tc>
          <w:p>
            <w:pPr>
              <w:pStyle w:val="Compact"/>
              <w:jc w:val="center"/>
            </w:pPr>
            <w:r>
              <w:t xml:space="preserve">12</w:t>
            </w:r>
          </w:p>
        </w:tc>
        <w:tc>
          <w:p>
            <w:pPr>
              <w:pStyle w:val="Compact"/>
              <w:jc w:val="center"/>
            </w:pPr>
            <w:r>
              <w:t xml:space="preserve">16</w:t>
            </w:r>
          </w:p>
        </w:tc>
      </w:tr>
      <w:tr>
        <w:tc>
          <w:p>
            <w:pPr>
              <w:pStyle w:val="Compact"/>
              <w:jc w:val="center"/>
            </w:pPr>
            <w:r>
              <w:t xml:space="preserve">Northern fur seal</w:t>
            </w:r>
          </w:p>
        </w:tc>
        <w:tc>
          <w:p>
            <w:pPr>
              <w:pStyle w:val="Compact"/>
              <w:jc w:val="center"/>
            </w:pPr>
            <w:r>
              <w:t xml:space="preserve">0</w:t>
            </w:r>
          </w:p>
        </w:tc>
        <w:tc>
          <w:p>
            <w:pPr>
              <w:pStyle w:val="Compact"/>
              <w:jc w:val="center"/>
            </w:pPr>
            <w:r>
              <w:t xml:space="preserve">21</w:t>
            </w:r>
          </w:p>
        </w:tc>
        <w:tc>
          <w:p>
            <w:pPr>
              <w:pStyle w:val="Compact"/>
              <w:jc w:val="center"/>
            </w:pPr>
            <w:r>
              <w:t xml:space="preserve">1</w:t>
            </w:r>
          </w:p>
        </w:tc>
        <w:tc>
          <w:p>
            <w:pPr>
              <w:pStyle w:val="Compact"/>
              <w:jc w:val="center"/>
            </w:pPr>
            <w:r>
              <w:t xml:space="preserve">6</w:t>
            </w:r>
          </w:p>
        </w:tc>
      </w:tr>
      <w:tr>
        <w:tc>
          <w:p>
            <w:pPr>
              <w:pStyle w:val="Compact"/>
              <w:jc w:val="center"/>
            </w:pPr>
            <w:r>
              <w:t xml:space="preserve">Steller sea lion</w:t>
            </w:r>
          </w:p>
        </w:tc>
        <w:tc>
          <w:p>
            <w:pPr>
              <w:pStyle w:val="Compact"/>
              <w:jc w:val="center"/>
            </w:pPr>
            <w:r>
              <w:t xml:space="preserve">3</w:t>
            </w:r>
          </w:p>
        </w:tc>
        <w:tc>
          <w:p>
            <w:pPr>
              <w:pStyle w:val="Compact"/>
              <w:jc w:val="center"/>
            </w:pPr>
            <w:r>
              <w:t xml:space="preserve">28</w:t>
            </w:r>
          </w:p>
        </w:tc>
        <w:tc>
          <w:p>
            <w:pPr>
              <w:pStyle w:val="Compact"/>
              <w:jc w:val="center"/>
            </w:pPr>
            <w:r>
              <w:t xml:space="preserve">132</w:t>
            </w:r>
          </w:p>
        </w:tc>
        <w:tc>
          <w:p>
            <w:pPr>
              <w:pStyle w:val="Compact"/>
              <w:jc w:val="center"/>
            </w:pPr>
            <w:r>
              <w:t xml:space="preserve">15</w:t>
            </w:r>
          </w:p>
        </w:tc>
      </w:tr>
      <w:tr>
        <w:tc>
          <w:p>
            <w:pPr>
              <w:pStyle w:val="Compact"/>
              <w:jc w:val="center"/>
            </w:pPr>
            <w:r>
              <w:t xml:space="preserve">Unidentified</w:t>
            </w:r>
          </w:p>
        </w:tc>
        <w:tc>
          <w:p>
            <w:pPr>
              <w:pStyle w:val="Compact"/>
              <w:jc w:val="center"/>
            </w:pPr>
            <w:r>
              <w:t xml:space="preserve">2</w:t>
            </w:r>
          </w:p>
        </w:tc>
        <w:tc>
          <w:p>
            <w:pPr>
              <w:pStyle w:val="Compact"/>
              <w:jc w:val="center"/>
            </w:pPr>
            <w:r>
              <w:t xml:space="preserve">24</w:t>
            </w:r>
          </w:p>
        </w:tc>
        <w:tc>
          <w:p>
            <w:pPr>
              <w:pStyle w:val="Compact"/>
              <w:jc w:val="center"/>
            </w:pPr>
            <w:r>
              <w:t xml:space="preserve">21</w:t>
            </w:r>
          </w:p>
        </w:tc>
        <w:tc>
          <w:p>
            <w:pPr>
              <w:pStyle w:val="Compact"/>
              <w:jc w:val="center"/>
            </w:pPr>
            <w:r>
              <w:t xml:space="preserve">17</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1085</w:t>
            </w:r>
          </w:p>
        </w:tc>
        <w:tc>
          <w:p>
            <w:pPr>
              <w:pStyle w:val="Compact"/>
              <w:jc w:val="center"/>
            </w:pPr>
            <w:r>
              <w:t xml:space="preserve">26</w:t>
            </w:r>
          </w:p>
        </w:tc>
        <w:tc>
          <w:p>
            <w:pPr>
              <w:pStyle w:val="Compact"/>
              <w:jc w:val="center"/>
            </w:pPr>
            <w:r>
              <w:t xml:space="preserve">1135</w:t>
            </w:r>
          </w:p>
        </w:tc>
        <w:tc>
          <w:p>
            <w:pPr>
              <w:pStyle w:val="Compact"/>
              <w:jc w:val="center"/>
            </w:pPr>
            <w:r>
              <w:t xml:space="preserve">27.0</w:t>
            </w:r>
          </w:p>
        </w:tc>
        <w:tc>
          <w:p>
            <w:pPr>
              <w:pStyle w:val="Compact"/>
              <w:jc w:val="center"/>
            </w:pPr>
            <w:r>
              <w:t xml:space="preserve">2022</w:t>
            </w:r>
          </w:p>
        </w:tc>
        <w:tc>
          <w:p>
            <w:pPr>
              <w:pStyle w:val="Compact"/>
              <w:jc w:val="center"/>
            </w:pPr>
            <w:r>
              <w:t xml:space="preserve">48.0</w:t>
            </w:r>
          </w:p>
        </w:tc>
      </w:tr>
      <w:tr>
        <w:tc>
          <w:p>
            <w:pPr>
              <w:pStyle w:val="Compact"/>
              <w:jc w:val="center"/>
            </w:pPr>
            <w:r>
              <w:t xml:space="preserve">Yearling</w:t>
            </w:r>
          </w:p>
        </w:tc>
        <w:tc>
          <w:p>
            <w:pPr>
              <w:pStyle w:val="Compact"/>
              <w:jc w:val="center"/>
            </w:pPr>
            <w:r>
              <w:t xml:space="preserve">178</w:t>
            </w:r>
          </w:p>
        </w:tc>
        <w:tc>
          <w:p>
            <w:pPr>
              <w:pStyle w:val="Compact"/>
              <w:jc w:val="center"/>
            </w:pPr>
            <w:r>
              <w:t xml:space="preserve">18</w:t>
            </w:r>
          </w:p>
        </w:tc>
        <w:tc>
          <w:p>
            <w:pPr>
              <w:pStyle w:val="Compact"/>
              <w:jc w:val="center"/>
            </w:pPr>
            <w:r>
              <w:t xml:space="preserve">313</w:t>
            </w:r>
          </w:p>
        </w:tc>
        <w:tc>
          <w:p>
            <w:pPr>
              <w:pStyle w:val="Compact"/>
              <w:jc w:val="center"/>
            </w:pPr>
            <w:r>
              <w:t xml:space="preserve">31.0</w:t>
            </w:r>
          </w:p>
        </w:tc>
        <w:tc>
          <w:p>
            <w:pPr>
              <w:pStyle w:val="Compact"/>
              <w:jc w:val="center"/>
            </w:pPr>
            <w:r>
              <w:t xml:space="preserve">507</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109</w:t>
            </w:r>
          </w:p>
        </w:tc>
        <w:tc>
          <w:p>
            <w:pPr>
              <w:pStyle w:val="Compact"/>
              <w:jc w:val="center"/>
            </w:pPr>
            <w:r>
              <w:t xml:space="preserve">12</w:t>
            </w:r>
          </w:p>
        </w:tc>
        <w:tc>
          <w:p>
            <w:pPr>
              <w:pStyle w:val="Compact"/>
              <w:jc w:val="center"/>
            </w:pPr>
            <w:r>
              <w:t xml:space="preserve">523</w:t>
            </w:r>
          </w:p>
        </w:tc>
        <w:tc>
          <w:p>
            <w:pPr>
              <w:pStyle w:val="Compact"/>
              <w:jc w:val="center"/>
            </w:pPr>
            <w:r>
              <w:t xml:space="preserve">56.0</w:t>
            </w:r>
          </w:p>
        </w:tc>
        <w:tc>
          <w:p>
            <w:pPr>
              <w:pStyle w:val="Compact"/>
              <w:jc w:val="center"/>
            </w:pPr>
            <w:r>
              <w:t xml:space="preserve">304</w:t>
            </w:r>
          </w:p>
        </w:tc>
        <w:tc>
          <w:p>
            <w:pPr>
              <w:pStyle w:val="Compact"/>
              <w:jc w:val="center"/>
            </w:pPr>
            <w:r>
              <w:t xml:space="preserve">32.0</w:t>
            </w:r>
          </w:p>
        </w:tc>
      </w:tr>
      <w:tr>
        <w:tc>
          <w:p>
            <w:pPr>
              <w:pStyle w:val="Compact"/>
              <w:jc w:val="center"/>
            </w:pPr>
            <w:r>
              <w:t xml:space="preserve">Adult</w:t>
            </w:r>
          </w:p>
        </w:tc>
        <w:tc>
          <w:p>
            <w:pPr>
              <w:pStyle w:val="Compact"/>
              <w:jc w:val="center"/>
            </w:pPr>
            <w:r>
              <w:t xml:space="preserve">606</w:t>
            </w:r>
          </w:p>
        </w:tc>
        <w:tc>
          <w:p>
            <w:pPr>
              <w:pStyle w:val="Compact"/>
              <w:jc w:val="center"/>
            </w:pPr>
            <w:r>
              <w:t xml:space="preserve">18</w:t>
            </w:r>
          </w:p>
        </w:tc>
        <w:tc>
          <w:p>
            <w:pPr>
              <w:pStyle w:val="Compact"/>
              <w:jc w:val="center"/>
            </w:pPr>
            <w:r>
              <w:t xml:space="preserve">2084</w:t>
            </w:r>
          </w:p>
        </w:tc>
        <w:tc>
          <w:p>
            <w:pPr>
              <w:pStyle w:val="Compact"/>
              <w:jc w:val="center"/>
            </w:pPr>
            <w:r>
              <w:t xml:space="preserve">61.0</w:t>
            </w:r>
          </w:p>
        </w:tc>
        <w:tc>
          <w:p>
            <w:pPr>
              <w:pStyle w:val="Compact"/>
              <w:jc w:val="center"/>
            </w:pPr>
            <w:r>
              <w:t xml:space="preserve">754</w:t>
            </w:r>
          </w:p>
        </w:tc>
        <w:tc>
          <w:p>
            <w:pPr>
              <w:pStyle w:val="Compact"/>
              <w:jc w:val="center"/>
            </w:pPr>
            <w:r>
              <w:t xml:space="preserve">22.0</w:t>
            </w:r>
          </w:p>
        </w:tc>
      </w:tr>
      <w:tr>
        <w:tc>
          <w:p>
            <w:pPr>
              <w:pStyle w:val="Compact"/>
              <w:jc w:val="center"/>
            </w:pPr>
            <w:r>
              <w:t xml:space="preserve">Unid</w:t>
            </w:r>
          </w:p>
        </w:tc>
        <w:tc>
          <w:p>
            <w:pPr>
              <w:pStyle w:val="Compact"/>
              <w:jc w:val="center"/>
            </w:pPr>
            <w:r>
              <w:t xml:space="preserve">592</w:t>
            </w:r>
          </w:p>
        </w:tc>
        <w:tc>
          <w:p>
            <w:pPr>
              <w:pStyle w:val="Compact"/>
              <w:jc w:val="center"/>
            </w:pPr>
            <w:r>
              <w:t xml:space="preserve">11</w:t>
            </w:r>
          </w:p>
        </w:tc>
        <w:tc>
          <w:p>
            <w:pPr>
              <w:pStyle w:val="Compact"/>
              <w:jc w:val="center"/>
            </w:pPr>
            <w:r>
              <w:t xml:space="preserve">966</w:t>
            </w:r>
          </w:p>
        </w:tc>
        <w:tc>
          <w:p>
            <w:pPr>
              <w:pStyle w:val="Compact"/>
              <w:jc w:val="center"/>
            </w:pPr>
            <w:r>
              <w:t xml:space="preserve">18.0</w:t>
            </w:r>
          </w:p>
        </w:tc>
        <w:tc>
          <w:p>
            <w:pPr>
              <w:pStyle w:val="Compact"/>
              <w:jc w:val="center"/>
            </w:pPr>
            <w:r>
              <w:t xml:space="preserve">3761</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38.6</w:t>
            </w:r>
          </w:p>
        </w:tc>
        <w:tc>
          <w:p>
            <w:pPr>
              <w:pStyle w:val="Compact"/>
              <w:jc w:val="center"/>
            </w:pPr>
            <w:r>
              <w:t xml:space="preserve">--</w:t>
            </w:r>
          </w:p>
        </w:tc>
        <w:tc>
          <w:p>
            <w:pPr>
              <w:pStyle w:val="Compact"/>
              <w:jc w:val="center"/>
            </w:pPr>
            <w:r>
              <w:t xml:space="preserve">44.8</w:t>
            </w:r>
          </w:p>
        </w:tc>
      </w:tr>
    </w:tbl>
    <w:p>
      <w:pPr>
        <w:pStyle w:val="BodyText"/>
      </w:pPr>
      <w:r>
        <w:t xml:space="preserve">Table 3: Age class and sex composition of all strandings (n = 14,939)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bl>
    <w:p>
      <w:pPr>
        <w:pStyle w:val="BodyText"/>
      </w:pPr>
      <w:r>
        <w:t xml:space="preserve">Table 4: Sex and age composition of all strandings (n =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32</w:t>
            </w:r>
          </w:p>
        </w:tc>
        <w:tc>
          <w:p>
            <w:pPr>
              <w:pStyle w:val="Compact"/>
              <w:jc w:val="center"/>
            </w:pPr>
            <w:r>
              <w:t xml:space="preserve">5</w:t>
            </w:r>
          </w:p>
        </w:tc>
        <w:tc>
          <w:p>
            <w:pPr>
              <w:pStyle w:val="Compact"/>
              <w:jc w:val="center"/>
            </w:pPr>
            <w:r>
              <w:t xml:space="preserve">44</w:t>
            </w:r>
          </w:p>
        </w:tc>
      </w:tr>
      <w:tr>
        <w:tc>
          <w:p>
            <w:pPr>
              <w:pStyle w:val="Compact"/>
              <w:jc w:val="center"/>
            </w:pPr>
            <w:r>
              <w:t xml:space="preserve">Male</w:t>
            </w:r>
          </w:p>
        </w:tc>
        <w:tc>
          <w:p>
            <w:pPr>
              <w:pStyle w:val="Compact"/>
              <w:jc w:val="center"/>
            </w:pPr>
            <w:r>
              <w:t xml:space="preserve">34</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 Sex</w:t>
            </w:r>
          </w:p>
        </w:tc>
        <w:tc>
          <w:p>
            <w:pPr>
              <w:pStyle w:val="Compact"/>
              <w:jc w:val="center"/>
            </w:pPr>
            <w:r>
              <w:t xml:space="preserve">49</w:t>
            </w:r>
          </w:p>
        </w:tc>
        <w:tc>
          <w:p>
            <w:pPr>
              <w:pStyle w:val="Compact"/>
              <w:jc w:val="center"/>
            </w:pPr>
            <w:r>
              <w:t xml:space="preserve">5</w:t>
            </w:r>
          </w:p>
        </w:tc>
        <w:tc>
          <w:p>
            <w:pPr>
              <w:pStyle w:val="Compact"/>
              <w:jc w:val="center"/>
            </w:pPr>
            <w:r>
              <w:t xml:space="preserve">35</w:t>
            </w:r>
          </w:p>
        </w:tc>
        <w:tc>
          <w:p>
            <w:pPr>
              <w:pStyle w:val="Compact"/>
              <w:jc w:val="center"/>
            </w:pPr>
            <w:r>
              <w:t xml:space="preserve">19</w:t>
            </w:r>
          </w:p>
        </w:tc>
        <w:tc>
          <w:p>
            <w:pPr>
              <w:pStyle w:val="Compact"/>
              <w:jc w:val="center"/>
            </w:pPr>
            <w:r>
              <w:t xml:space="preserve">3</w:t>
            </w:r>
          </w:p>
        </w:tc>
        <w:tc>
          <w:p>
            <w:pPr>
              <w:pStyle w:val="Compact"/>
              <w:jc w:val="center"/>
            </w:pPr>
            <w:r>
              <w:t xml:space="preserve">42</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17</w:t>
            </w:r>
          </w:p>
        </w:tc>
        <w:tc>
          <w:p>
            <w:pPr>
              <w:pStyle w:val="Compact"/>
              <w:jc w:val="center"/>
            </w:pPr>
            <w:r>
              <w:t xml:space="preserve">4</w:t>
            </w:r>
          </w:p>
        </w:tc>
        <w:tc>
          <w:p>
            <w:pPr>
              <w:pStyle w:val="Compact"/>
              <w:jc w:val="center"/>
            </w:pPr>
            <w:r>
              <w:t xml:space="preserve">7</w:t>
            </w:r>
          </w:p>
        </w:tc>
        <w:tc>
          <w:p>
            <w:pPr>
              <w:pStyle w:val="Compact"/>
              <w:jc w:val="center"/>
            </w:pPr>
            <w:r>
              <w:t xml:space="preserve">72</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39</w:t>
            </w:r>
          </w:p>
        </w:tc>
        <w:tc>
          <w:p>
            <w:pPr>
              <w:pStyle w:val="Compact"/>
              <w:jc w:val="center"/>
            </w:pPr>
            <w:r>
              <w:t xml:space="preserve">21</w:t>
            </w:r>
          </w:p>
        </w:tc>
        <w:tc>
          <w:p>
            <w:pPr>
              <w:pStyle w:val="Compact"/>
              <w:jc w:val="center"/>
            </w:pPr>
            <w:r>
              <w:t xml:space="preserve">5</w:t>
            </w:r>
          </w:p>
        </w:tc>
        <w:tc>
          <w:p>
            <w:pPr>
              <w:pStyle w:val="Compact"/>
              <w:jc w:val="center"/>
            </w:pPr>
            <w:r>
              <w:t xml:space="preserve">35</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23</w:t>
            </w:r>
          </w:p>
        </w:tc>
        <w:tc>
          <w:p>
            <w:pPr>
              <w:pStyle w:val="Compact"/>
              <w:jc w:val="center"/>
            </w:pPr>
            <w:r>
              <w:t xml:space="preserve">17</w:t>
            </w:r>
          </w:p>
        </w:tc>
        <w:tc>
          <w:p>
            <w:pPr>
              <w:pStyle w:val="Compact"/>
              <w:jc w:val="center"/>
            </w:pPr>
            <w:r>
              <w:t xml:space="preserve">16</w:t>
            </w:r>
          </w:p>
        </w:tc>
        <w:tc>
          <w:p>
            <w:pPr>
              <w:pStyle w:val="Compact"/>
              <w:jc w:val="center"/>
            </w:pPr>
            <w:r>
              <w:t xml:space="preserve">58</w:t>
            </w:r>
          </w:p>
        </w:tc>
        <w:tc>
          <w:p>
            <w:pPr>
              <w:pStyle w:val="Compact"/>
              <w:jc w:val="center"/>
            </w:pPr>
            <w:r>
              <w:t xml:space="preserve">5</w:t>
            </w:r>
          </w:p>
        </w:tc>
        <w:tc>
          <w:p>
            <w:pPr>
              <w:pStyle w:val="Compact"/>
              <w:jc w:val="center"/>
            </w:pPr>
            <w:r>
              <w:t xml:space="preserve">21</w:t>
            </w:r>
          </w:p>
        </w:tc>
      </w:tr>
      <w:tr>
        <w:tc>
          <w:p>
            <w:pPr>
              <w:pStyle w:val="Compact"/>
              <w:jc w:val="center"/>
            </w:pPr>
            <w:r>
              <w:t xml:space="preserve">Unid. Age</w:t>
            </w:r>
          </w:p>
        </w:tc>
        <w:tc>
          <w:p>
            <w:pPr>
              <w:pStyle w:val="Compact"/>
              <w:jc w:val="center"/>
            </w:pPr>
            <w:r>
              <w:t xml:space="preserve">36</w:t>
            </w:r>
          </w:p>
        </w:tc>
        <w:tc>
          <w:p>
            <w:pPr>
              <w:pStyle w:val="Compact"/>
              <w:jc w:val="center"/>
            </w:pPr>
            <w:r>
              <w:t xml:space="preserve">7</w:t>
            </w:r>
          </w:p>
        </w:tc>
        <w:tc>
          <w:p>
            <w:pPr>
              <w:pStyle w:val="Compact"/>
              <w:jc w:val="center"/>
            </w:pPr>
            <w:r>
              <w:t xml:space="preserve">27</w:t>
            </w:r>
          </w:p>
        </w:tc>
        <w:tc>
          <w:p>
            <w:pPr>
              <w:pStyle w:val="Compact"/>
              <w:jc w:val="center"/>
            </w:pPr>
            <w:r>
              <w:t xml:space="preserve">41</w:t>
            </w:r>
          </w:p>
        </w:tc>
        <w:tc>
          <w:p>
            <w:pPr>
              <w:pStyle w:val="Compact"/>
              <w:jc w:val="center"/>
            </w:pPr>
            <w:r>
              <w:t xml:space="preserve">2</w:t>
            </w:r>
          </w:p>
        </w:tc>
        <w:tc>
          <w:p>
            <w:pPr>
              <w:pStyle w:val="Compact"/>
              <w:jc w:val="center"/>
            </w:pPr>
            <w:r>
              <w:t xml:space="preserve">30</w:t>
            </w:r>
          </w:p>
        </w:tc>
      </w:tr>
    </w:tbl>
    <w:p>
      <w:pPr>
        <w:pStyle w:val="BodyText"/>
      </w:pPr>
      <w:r>
        <w:rPr>
          <w:b/>
        </w:rPr>
        <w:t xml:space="preserve">Appendices: Additional Tables and Statistical Analyses</w:t>
      </w:r>
    </w:p>
    <w:p>
      <w:pPr>
        <w:pStyle w:val="BodyText"/>
      </w:pPr>
      <w:r>
        <w:t xml:space="preserve">Table 5: Proportion of all strandings, proportion of human interaction cases (%), and the composition of human interaction case types for each county in Washington (n =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Jefferson County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50</w:t>
            </w:r>
          </w:p>
        </w:tc>
        <w:tc>
          <w:p>
            <w:pPr>
              <w:pStyle w:val="Compact"/>
              <w:jc w:val="center"/>
            </w:pPr>
            <w:r>
              <w:t xml:space="preserve">50</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6: Proportion of all strandings (%), the proportion of human interaction cases (%) and the composition of human interaction case types for each county in Oregon (n =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27</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&amp; Rowlingson, B.S. (1996). Spatial Point Pattern Analysis and its Application in Geographical Epidemiology, Trans. Inst Br Geogr NS 2: 256- 274.</w:t>
      </w:r>
    </w:p>
    <w:p>
      <w:pPr>
        <w:pStyle w:val="BodyText"/>
      </w:pPr>
      <w:r>
        <w:t xml:space="preserve">Gelatt, T., R. Ream, &amp; Johnson, D. (2015). Callorhinus ursinus. The IUCN Red List of Threatened Species 2015:e.T3590A45224953. Available at:</w:t>
      </w:r>
      <w:r>
        <w:t xml:space="preserve"> </w:t>
      </w:r>
      <w:hyperlink r:id="rId32">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3">
        <w:r>
          <w:rPr>
            <w:rStyle w:val="Hyperlink"/>
          </w:rPr>
          <w:t xml:space="preserve">http://dx.doi.org/10.1578/AM.31.1.2005.11</w:t>
        </w:r>
      </w:hyperlink>
    </w:p>
    <w:p>
      <w:pPr>
        <w:pStyle w:val="BodyText"/>
      </w:pPr>
      <w:r>
        <w:t xml:space="preserve">Guisan A., Edwards, T.C. Jr, &amp; Hastie T. (2002). Generalized linear and generalized additive models in studies of species distributions: setting the scene. Ecological Modelling 157:89–100.</w:t>
      </w:r>
    </w:p>
    <w:p>
      <w:pPr>
        <w:pStyle w:val="BodyText"/>
      </w:pPr>
      <w:r>
        <w:t xml:space="preserve">Gulland, F.M.D., &amp; Hall, A.J. (2007). Is marine mammal health deteriorating? Trends in the global reporting of marine mammal disease. EcoHealth 4(2), 135-150.</w:t>
      </w:r>
      <w:r>
        <w:t xml:space="preserve"> </w:t>
      </w:r>
      <w:hyperlink r:id="rId34">
        <w:r>
          <w:rPr>
            <w:rStyle w:val="Hyperlink"/>
          </w:rPr>
          <w:t xml:space="preserve">http://dx.doi.org/10.1007/s10393-007-0097-1</w:t>
        </w:r>
      </w:hyperlink>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Hart, K.M., Mooreside, P., &amp; L.B. Crowder. (2006). Interpreting the spatio-temporal patterns of sea turtle strandings: going with the flow. Biological Conservation 129(2): 283-290.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 J. Zool. 90(12):1361-1369.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Plus One.</w:t>
      </w:r>
      <w:r>
        <w:t xml:space="preserve"> </w:t>
      </w:r>
      <w:hyperlink r:id="rId35">
        <w:r>
          <w:rPr>
            <w:rStyle w:val="Hyperlink"/>
          </w:rPr>
          <w:t xml:space="preserve">DOI:10.1371/journal.pone.0131660</w:t>
        </w:r>
      </w:hyperlink>
    </w:p>
    <w:p>
      <w:pPr>
        <w:pStyle w:val="BodyText"/>
      </w:pPr>
      <w:r>
        <w:t xml:space="preserve">Kaplan Dau, B., Gilardi, K.V.K., Gulland, F.M., Higgins, A., Holcomb, J.B., St. Leger, J., &amp; Ziccardi, M.H. (2009). Fishing gear-related injury in California marine wildlife. Journal of Wildlife Diseases 45(2): 355-362.</w:t>
      </w:r>
    </w:p>
    <w:p>
      <w:pPr>
        <w:pStyle w:val="BodyText"/>
      </w:pPr>
      <w:r>
        <w:t xml:space="preserve">Keledjian, A.J., &amp; Mesnick, S.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&amp; F. Mostashari. (2005). A space-time permutation scan statistic for disease outbreak detection. PLoS Med 2(3): e59.</w:t>
      </w:r>
    </w:p>
    <w:p>
      <w:pPr>
        <w:pStyle w:val="BodyText"/>
      </w:pPr>
      <w:r>
        <w:t xml:space="preserve">Lambourn, D.M., Garner, M., Ewalt, D., Raverty, S., Sidor, I., Jeffries, S. Rhyan, J., &amp; Gaydos, J.K.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r>
        <w:t xml:space="preserve"> </w:t>
      </w:r>
      <w:hyperlink r:id="rId36">
        <w:r>
          <w:rPr>
            <w:rStyle w:val="Hyperlink"/>
          </w:rPr>
          <w:t xml:space="preserve">doi:10.1007/s10531-008-9377-5</w:t>
        </w:r>
      </w:hyperlink>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r>
        <w:t xml:space="preserve"> </w:t>
      </w:r>
      <w:hyperlink r:id="rId37">
        <w:r>
          <w:rPr>
            <w:rStyle w:val="Hyperlink"/>
          </w:rPr>
          <w:t xml:space="preserve">doi:10.1371/journal.pone.0038180</w:t>
        </w:r>
      </w:hyperlink>
      <w:r>
        <w:t xml:space="preserve">.</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Norman, S.A., Bowlby, C.E., Brancato, M.S., Calambokidis, J., Duffield, D., Gearin, P.J., Gornall, T.A.... &amp; Scordino, J.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Calambokidis, J.... Klope, M.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&amp;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w:t>
      </w:r>
      <w:r>
        <w:t xml:space="preserve"> </w:t>
      </w:r>
      <w:hyperlink r:id="rId38">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Williams, R., E. Ashe, &amp; O'Hara, P.D. (2011).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rsidR="00C0469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4a385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38" Target="http://dx.doi.org/10.1017/S0025315411000464"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38" Target="http://dx.doi.org/10.1017/S0025315411000464"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135</Words>
  <Characters>775</Characters>
  <Application>Microsoft Macintosh Word</Application>
  <DocSecurity>0</DocSecurity>
  <Lines>6</Lines>
  <Paragraphs>1</Paragraphs>
  <ScaleCrop>false</ScaleCrop>
  <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2017-03-13T14:20:42Z</dcterms:created>
  <dcterms:modified xsi:type="dcterms:W3CDTF">2017-03-13T14:20:42Z</dcterms:modified>
</cp:coreProperties>
</file>