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31.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A Spatio-Temporal Characterization of Pinniped Strandings and Human Interaction Cases along the Oregon and Washington Coasts, 1989 - 2016</w:t>
      </w:r>
    </w:p>
    <w:p>
      <w:pPr>
        <w:pStyle w:val="BodyText"/>
      </w:pPr>
      <w:r>
        <w:t xml:space="preserve">Amanda J. Warlick,</w:t>
      </w:r>
      <w:r>
        <w:rPr>
          <w:vertAlign w:val="superscript"/>
        </w:rPr>
        <w:t xml:space="preserve">1</w:t>
      </w:r>
      <w:r>
        <w:t xml:space="preserve"> </w:t>
      </w:r>
      <w:r>
        <w:t xml:space="preserve">Stephanie A. Norman,</w:t>
      </w:r>
      <w:r>
        <w:rPr>
          <w:vertAlign w:val="superscript"/>
        </w:rPr>
        <w:t xml:space="preserve">2</w:t>
      </w:r>
      <w:r>
        <w:t xml:space="preserve"> </w:t>
      </w:r>
      <w:r>
        <w:t xml:space="preserve">Lesanna L. Lahner,</w:t>
      </w:r>
      <w:r>
        <w:rPr>
          <w:vertAlign w:val="superscript"/>
        </w:rPr>
        <w:t xml:space="preserve">3</w:t>
      </w:r>
      <w:r>
        <w:t xml:space="preserve"> </w:t>
      </w:r>
      <w:r>
        <w:t xml:space="preserve">Jessica L. Huggins,</w:t>
      </w:r>
      <w:r>
        <w:rPr>
          <w:vertAlign w:val="superscript"/>
        </w:rPr>
        <w:t xml:space="preserve">4</w:t>
      </w:r>
      <w:r>
        <w:t xml:space="preserve"> </w:t>
      </w:r>
      <w:r>
        <w:t xml:space="preserve">Erin D'agnese,</w:t>
      </w:r>
      <w:r>
        <w:rPr>
          <w:vertAlign w:val="superscript"/>
        </w:rPr>
        <w:t xml:space="preserve">5</w:t>
      </w:r>
      <w:r>
        <w:t xml:space="preserve"> </w:t>
      </w:r>
      <w:r>
        <w:t xml:space="preserve">James M. Rice,</w:t>
      </w:r>
      <w:r>
        <w:rPr>
          <w:vertAlign w:val="superscript"/>
        </w:rPr>
        <w:t xml:space="preserve">6</w:t>
      </w:r>
      <w:r>
        <w:t xml:space="preserve"> </w:t>
      </w:r>
      <w:r>
        <w:t xml:space="preserve">Jennifer Oleson,</w:t>
      </w:r>
      <w:r>
        <w:rPr>
          <w:vertAlign w:val="superscript"/>
        </w:rPr>
        <w:t xml:space="preserve">7</w:t>
      </w:r>
      <w:r>
        <w:t xml:space="preserve"> </w:t>
      </w:r>
      <w:r>
        <w:t xml:space="preserve">Joseph K. Gaydos,</w:t>
      </w:r>
      <w:r>
        <w:rPr>
          <w:vertAlign w:val="superscript"/>
        </w:rPr>
        <w:t xml:space="preserve">8</w:t>
      </w:r>
      <w:r>
        <w:t xml:space="preserve"> </w:t>
      </w:r>
      <w:r>
        <w:t xml:space="preserve">Victoria Souze</w:t>
      </w:r>
      <w:r>
        <w:rPr>
          <w:vertAlign w:val="superscript"/>
        </w:rPr>
        <w:t xml:space="preserve">9</w:t>
      </w:r>
      <w:r>
        <w:t xml:space="preserve">, Alysha Elsby</w:t>
      </w:r>
      <w:r>
        <w:rPr>
          <w:vertAlign w:val="superscript"/>
        </w:rPr>
        <w:t xml:space="preserve">9</w:t>
      </w:r>
      <w:r>
        <w:t xml:space="preserve">, Deborah A. Duffield,</w:t>
      </w:r>
      <w:r>
        <w:rPr>
          <w:vertAlign w:val="superscript"/>
        </w:rPr>
        <w:t xml:space="preserve">10</w:t>
      </w:r>
      <w:r>
        <w:t xml:space="preserve"> </w:t>
      </w:r>
      <w:r>
        <w:t xml:space="preserve">Dyanna M. Lambourn</w:t>
      </w:r>
      <w:r>
        <w:rPr>
          <w:vertAlign w:val="superscript"/>
        </w:rPr>
        <w:t xml:space="preserve">11</w:t>
      </w:r>
      <w:r>
        <w:t xml:space="preserve">, and John Calambokidis</w:t>
      </w:r>
      <w:r>
        <w:rPr>
          <w:vertAlign w:val="superscript"/>
        </w:rPr>
        <w:t xml:space="preserve">4</w:t>
      </w:r>
    </w:p>
    <w:p>
      <w:pPr>
        <w:pStyle w:val="BodyText"/>
      </w:pPr>
      <w:r>
        <w:rPr>
          <w:i/>
        </w:rPr>
        <w:t xml:space="preserve">1. ECS Federal, LLC, 6520 24th Ave NE, Seattle, WA 98115, USA E-mail:</w:t>
      </w:r>
      <w:r>
        <w:rPr>
          <w:i/>
        </w:rPr>
        <w:t xml:space="preserve"> </w:t>
      </w:r>
      <w:hyperlink r:id="rId21">
        <w:r>
          <w:rPr>
            <w:rStyle w:val="Hyperlink"/>
            <w:i/>
          </w:rPr>
          <w:t xml:space="preserve">amandajwarlick@gmail.com</w:t>
        </w:r>
      </w:hyperlink>
      <w:r>
        <w:br w:type="textWrapping"/>
      </w:r>
      <w:r>
        <w:rPr>
          <w:i/>
        </w:rPr>
        <w:t xml:space="preserve">2. Marine-Med: Marine Research, Epidemiology, and Veterinary Medicine, 24255 15th Place SE, Bothell, WA 98021 USA</w:t>
      </w:r>
      <w:r>
        <w:br w:type="textWrapping"/>
      </w:r>
      <w:r>
        <w:rPr>
          <w:i/>
        </w:rPr>
        <w:t xml:space="preserve">3. SR</w:t>
      </w:r>
      <w:r>
        <w:rPr>
          <w:vertAlign w:val="superscript"/>
          <w:i/>
        </w:rPr>
        <w:t xml:space="preserve">3</w:t>
      </w:r>
      <w:r>
        <w:rPr>
          <w:i/>
        </w:rPr>
        <w:t xml:space="preserve">: Sealife Response, Rehab, and Research, P.O. Box 1404 Mukilteo, WA 98275, USA</w:t>
      </w:r>
      <w:r>
        <w:br w:type="textWrapping"/>
      </w:r>
      <w:r>
        <w:rPr>
          <w:i/>
        </w:rPr>
        <w:t xml:space="preserve">4. Cascadia Research Collective, 218 1/2 W 4th Ave, Olympia, Washington 98501, USA</w:t>
      </w:r>
      <w:r>
        <w:br w:type="textWrapping"/>
      </w:r>
      <w:r>
        <w:rPr>
          <w:i/>
        </w:rPr>
        <w:t xml:space="preserve">5. University of California, Davis, California USA</w:t>
      </w:r>
      <w:r>
        <w:br w:type="textWrapping"/>
      </w:r>
      <w:r>
        <w:rPr>
          <w:i/>
        </w:rPr>
        <w:t xml:space="preserve">6. Marine Mammal Institute, Oregon State University, 2030 SE Marine Science Drive, Newport, Oregon 97365, USA</w:t>
      </w:r>
      <w:r>
        <w:br w:type="textWrapping"/>
      </w:r>
      <w:r>
        <w:rPr>
          <w:i/>
        </w:rPr>
        <w:t xml:space="preserve">7. The Whale Museum, PO Box 945, Friday Harbor, WA 98250, USA</w:t>
      </w:r>
      <w:r>
        <w:br w:type="textWrapping"/>
      </w:r>
      <w:r>
        <w:rPr>
          <w:i/>
        </w:rPr>
        <w:t xml:space="preserve">8. University of California Davis, UC Davis Wildlife Health Center–Orcas Island Office, 942 Deer Harbor Road, Eastsound, Washington 98245, USA</w:t>
      </w:r>
      <w:r>
        <w:br w:type="textWrapping"/>
      </w:r>
      <w:r>
        <w:rPr>
          <w:i/>
        </w:rPr>
        <w:t xml:space="preserve">9. Whatcom Marine Mammal Stranding Network, Washington USA</w:t>
      </w:r>
      <w:r>
        <w:br w:type="textWrapping"/>
      </w:r>
      <w:r>
        <w:rPr>
          <w:i/>
        </w:rPr>
        <w:t xml:space="preserve">9. Biology Department, Portland State University, P.O. Box 751, Portland, Oregon 97207, USA</w:t>
      </w:r>
      <w:r>
        <w:br w:type="textWrapping"/>
      </w:r>
      <w:r>
        <w:rPr>
          <w:i/>
        </w:rPr>
        <w:t xml:space="preserve">10. Washington Department of Fish and Wildlife, Marine Mammal Investigations, 7801 Phillips Rd, Lakewood, Washington, USA</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were reported stranded along the coasts of Washington and Oregon, 11% of which were documented as human interaction cases. Gunshot wounds and fisheries entanglements constituted the majority of human interaction cases (37% and 21%, respectively), though the prevalence of these cases varied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Males constituted 34% of total cases, though the proportion of human interaction cases was similar for both sexes. Stranding hotspots were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t xml:space="preserve">Keywords: pinnipeds, stranding, human interactions, spatio-temporal hotspots, Pacific Northwest,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are often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marine mammal life history, biology, and changes in their environment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U.S.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Niño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killer whale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(including remote beaches) and a large number of response groups. In this region, stranding response effort relies heavily on reports from the public, which can vary by region due to the degree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Despite these caveats, however,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expected that strandings for different species would not be uniformly distributed along the coast, with hotspots for human interaction cases likely occurring in areas with higher levels of human activity.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rocky intertidal zones, sandy beaches, estuarine embayments), public accessibility, and degree of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w:t>
      </w:r>
    </w:p>
    <w:p>
      <w:pPr>
        <w:pStyle w:val="BodyText"/>
      </w:pPr>
      <w:r>
        <w:t xml:space="preserve">Harbor seals are the most abundant and widely distributed pinniped in Washington State waters and are found along the entire West Coast of the United States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numbering nearly 300,000 individuals and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Eastern population has an estimated 60,000 to 75,000 individuals with breeding and haul-out sites located along the coast of southeast Alaska, British Columbia, Washington, Oregon, and California (DeMaster, 2014; Carretta et al., 2016).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Individuals can also be found hauled out during molting in the Pacific Northwest.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in the Bering Sea,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are onshore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Niño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with females remaining close to the rookeries and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p>
    <w:p>
      <w:pPr>
        <w:pStyle w:val="BodyText"/>
      </w:pP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illness, or human interaction. A pinniped is defined as being stranded when it is either dead or still alive on the beach but in need of medical attention or unable to return to the water on its own (Marine Mammal Protection Act of 1972). Animals are also reported by the public when they are simply resting or molting, and responders frequently monitor these situations (particularly if the animal is located in a populated area) and document the case in the stranding database. Therefore, reported strandings for some species in some areas (particularly for elephant seals and harbor seal pups in inland Washington waters) may over-represent the true number of stranded animals that are sick or injured. We have not excluded these in this analysis because such cases are inconsistently documented across networks and are therefore difficult to systematically extract from such a large sample size. Furthermore, they do represent the true number of cases that require time and resources from response networks.</w:t>
      </w:r>
    </w:p>
    <w:p>
      <w:pPr>
        <w:pStyle w:val="BodyText"/>
      </w:pPr>
      <w:r>
        <w:t xml:space="preserve">The total number of pinnipeds reported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life history traits of the species that live and strand in these two sub-regions are very different. For this analysis, we assume stranding location can be used as a relative approximation for where strandings and human interactions actually took place, though carcasses can drift for some time before making landfall, and entangled animals can migrate with entangling debris from a different region.</w:t>
      </w:r>
    </w:p>
    <w:p>
      <w:pPr>
        <w:pStyle w:val="BodyText"/>
      </w:pPr>
      <w:r>
        <w:t xml:space="preserve">In addition to examining total stranding cases, the number of human interaction (HI) cases were also examined. Human interaction cases are recorded on the Level A stranding intake form, with "Yes," "No," or "could not be determined (CBD)" designations for whether there is evidence of fisheries entanglements, gunshot wounds, boat collisions, or "other" human interactions. Descriptions of "other" human interactions can include indeterminate blunt trauma,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specification in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useful information at a broader regional level despite network differences.</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the number of stranding cases as the dependent variable. The classification of “yearling” has changed over time, and results must therefore be interpreted with this inconsistency in mind.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explanatory and response variables over time, which could arise from changes in stranding network capacity and reporting effort over the study period, among other things. Annual timeseries trends were also explored using Chow's breakpoint test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was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account for the fact that strandings occur only on the coast, these maps are intended as a qualitative visualization rather than a statistical probability for predicting the spatial distribution of stranding cases.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John H. Prescott Marine Mammal Rescue Assistance Grant Program</w:t>
      </w:r>
      <w:r>
        <w:rPr>
          <w:rStyle w:val="FootnoteReference"/>
        </w:rPr>
        <w:footnoteReference w:id="22"/>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t>
      </w:r>
      <w:r>
        <w:rPr>
          <w:i/>
        </w:rPr>
        <w:t xml:space="preserve">n</w:t>
      </w:r>
      <w:r>
        <w:t xml:space="preserve"> </w:t>
      </w:r>
      <w:r>
        <w:t xml:space="preserve">= 4,222) were alive and 31% (</w:t>
      </w:r>
      <w:r>
        <w:rPr>
          <w:i/>
        </w:rPr>
        <w:t xml:space="preserve">n</w:t>
      </w:r>
      <w:r>
        <w:t xml:space="preserve"> </w:t>
      </w:r>
      <w:r>
        <w:t xml:space="preserve">= 4,557) were freshly dead at the time of recovery, with the remaining being in various states of decomposition. Evidence of human interaction was noted in 11% (</w:t>
      </w:r>
      <w:r>
        <w:rPr>
          <w:i/>
        </w:rPr>
        <w:t xml:space="preserve">n</w:t>
      </w:r>
      <w:r>
        <w:t xml:space="preserve"> </w:t>
      </w:r>
      <w:r>
        <w:t xml:space="preserve">= 1,628)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w:t>
      </w:r>
      <w:r>
        <w:t xml:space="preserve"> </w:t>
      </w:r>
      <w:r>
        <w:rPr>
          <w:i/>
        </w:rPr>
        <w:t xml:space="preserve">p</w:t>
      </w:r>
      <w:r>
        <w:t xml:space="preserve"> </w:t>
      </w:r>
      <w:r>
        <w:t xml:space="preserve">&lt; 0.001) and age class (</w:t>
      </w:r>
      <w:r>
        <w:rPr>
          <w:i/>
        </w:rPr>
        <w:t xml:space="preserve">χ</w:t>
      </w:r>
      <w:r>
        <w:rPr>
          <w:vertAlign w:val="superscript"/>
        </w:rPr>
        <w:t xml:space="preserve">2</w:t>
      </w:r>
      <w:r>
        <w:t xml:space="preserve"> </w:t>
      </w:r>
      <w:r>
        <w:t xml:space="preserve">= 232.6,</w:t>
      </w:r>
      <w:r>
        <w:t xml:space="preserve"> </w:t>
      </w:r>
      <w:r>
        <w:rPr>
          <w:i/>
        </w:rPr>
        <w:t xml:space="preserve">p</w:t>
      </w:r>
      <w:r>
        <w:t xml:space="preserve"> </w:t>
      </w:r>
      <w:r>
        <w:t xml:space="preserve">&lt; 0.001), but remained relatively consistent throughout the study period. From 1989-2016, 34% of all stranding cases were male, 17% female, and 49% unidentified (Table 1). Across all strandings, the majority were pups (28%) and adults (23%), with significantly fewer yearlings (7%) and subadults (6%), and the remainder unidentified (Table 1).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For California sea lions, 77% were male, while the sex composition was more equal for the other species (Table 2). For California sea lions and Steller sea lions, more than half of identified strandings were adults, while the majority for the other four species were pups and yearlings (92% for Guadalupe fur seals) (Table 2).</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w:t>
      </w:r>
      <w:r>
        <w:t xml:space="preserve"> </w:t>
      </w:r>
      <w:r>
        <w:rPr>
          <w:i/>
        </w:rPr>
        <w:t xml:space="preserve">p</w:t>
      </w:r>
      <w:r>
        <w:t xml:space="preserve"> </w:t>
      </w:r>
      <w:r>
        <w:t xml:space="preserve">&lt; 0.001), but the proportions are similar for both sexes (~ 16%; Table 1). The prevalence of fisheries interactions and boat injuries is similar between males and females, though gunshot wounds are more prevalent for males (Table 1). For specific age classes, the number of HI cases is significantly higher than average in pups (t = 2.9,</w:t>
      </w:r>
      <w:r>
        <w:t xml:space="preserve"> </w:t>
      </w:r>
      <w:r>
        <w:rPr>
          <w:i/>
        </w:rPr>
        <w:t xml:space="preserve">p</w:t>
      </w:r>
      <w:r>
        <w:t xml:space="preserve"> </w:t>
      </w:r>
      <w:r>
        <w:t xml:space="preserve">&lt; 0.01) and adults (t = 5.9,</w:t>
      </w:r>
      <w:r>
        <w:t xml:space="preserve"> </w:t>
      </w:r>
      <w:r>
        <w:rPr>
          <w:i/>
        </w:rPr>
        <w:t xml:space="preserve">p</w:t>
      </w:r>
      <w:r>
        <w:t xml:space="preserve"> </w:t>
      </w:r>
      <w:r>
        <w:t xml:space="preserve">&lt; 0.001) and lower in yearlings (t = -3.7,</w:t>
      </w:r>
      <w:r>
        <w:t xml:space="preserve"> </w:t>
      </w:r>
      <w:r>
        <w:rPr>
          <w:i/>
        </w:rPr>
        <w:t xml:space="preserve">p</w:t>
      </w:r>
      <w:r>
        <w:t xml:space="preserve"> </w:t>
      </w:r>
      <w:r>
        <w:t xml:space="preserve">&lt; 0.001) and subadults (t = -2.8,</w:t>
      </w:r>
      <w:r>
        <w:t xml:space="preserve"> </w:t>
      </w:r>
      <w:r>
        <w:rPr>
          <w:i/>
        </w:rPr>
        <w:t xml:space="preserve">p</w:t>
      </w:r>
      <w:r>
        <w:t xml:space="preserve"> </w:t>
      </w:r>
      <w:r>
        <w:t xml:space="preserve">&lt; 0.01) (Table 1). Fisheries interactions are the most common type of HI case for yearlings (39% of all yearling HI cases) and significantly less for pups and adults (18%). Gunshot wounds, however, are most prevalent in adults (58% of adult HI cases) and subadults (51%) and less so for pups (4%). Boat collisions comprise a small proportion (5-7%) of HI cases for all age classes (Table 1).</w:t>
      </w:r>
    </w:p>
    <w:p>
      <w:pPr>
        <w:pStyle w:val="BodyText"/>
      </w:pPr>
      <w:r>
        <w:rPr>
          <w:i/>
        </w:rPr>
        <w:t xml:space="preserve">Species</w:t>
      </w:r>
      <w:r>
        <w:br w:type="textWrapping"/>
      </w:r>
      <w:r>
        <w:t xml:space="preserve">The majority of total strandings were harbor seals (58% of all cases) and California sea lions (19%), followed by smaller numbers of Steller sea lions (7%), northern elephant seals (3%), Guadalupe fur seals (1%), and northern fur seals (1%) (Table 3). Average annual strandings were significantly different across species over the study period (</w:t>
      </w:r>
      <w:r>
        <w:rPr>
          <w:i/>
        </w:rPr>
        <w:t xml:space="preserve">χ</w:t>
      </w:r>
      <w:r>
        <w:rPr>
          <w:vertAlign w:val="superscript"/>
        </w:rPr>
        <w:t xml:space="preserve">2</w:t>
      </w:r>
      <w:r>
        <w:t xml:space="preserve"> </w:t>
      </w:r>
      <w:r>
        <w:t xml:space="preserve">= 9.8,</w:t>
      </w:r>
      <w:r>
        <w:t xml:space="preserve"> </w:t>
      </w:r>
      <w:r>
        <w:rPr>
          <w:i/>
        </w:rPr>
        <w:t xml:space="preserve">p</w:t>
      </w:r>
      <w:r>
        <w:t xml:space="preserve"> </w:t>
      </w:r>
      <w:r>
        <w:t xml:space="preserve">&lt; 0.01), ranging from 5 per year for northern fur seals to 312 per year for harbor seals (Figure 1a, Table 3).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the number of cases with evidence of human interaction divided by total number of cases), and the composition of HI cases (</w:t>
      </w:r>
      <w:r>
        <w:rPr>
          <w:i/>
        </w:rPr>
        <w:t xml:space="preserve">i.e.</w:t>
      </w:r>
      <w:r>
        <w:t xml:space="preserve">, the number of human interaction cases involving gunshot wounds versus fisheries entanglements) differs between species. The proportion of HI cases ranges from 8% for northern elephant seals up to 18% for Steller sea lions and 25% for northern fur seals, the latter species occurring in lowest numbers in the study area (Table 3).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3). Boat collision injuries are encountered much less frequently than the other types of HI cases but are most prevalent in northern elephant seals, amounting to 11% of HI cases (Table 3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(z = 5.4,</w:t>
      </w:r>
      <w:r>
        <w:t xml:space="preserve"> </w:t>
      </w:r>
      <w:r>
        <w:rPr>
          <w:i/>
        </w:rPr>
        <w:t xml:space="preserve">p</w:t>
      </w:r>
      <w:r>
        <w:t xml:space="preserve"> </w:t>
      </w:r>
      <w:r>
        <w:t xml:space="preserve">&lt; 0.001). An annual average of 329 individuals stranded per year throughout the 1990s and 666 per year since 2000. However, annual strandings are changing differently over the study period for each species; significantly increasing for harbor seals (z = 6.2,</w:t>
      </w:r>
      <w:r>
        <w:t xml:space="preserve"> </w:t>
      </w:r>
      <w:r>
        <w:rPr>
          <w:i/>
        </w:rPr>
        <w:t xml:space="preserve">p</w:t>
      </w:r>
      <w:r>
        <w:t xml:space="preserve"> </w:t>
      </w:r>
      <w:r>
        <w:t xml:space="preserve">&lt; 0.001), California sea lions (z = 7.7,</w:t>
      </w:r>
      <w:r>
        <w:t xml:space="preserve"> </w:t>
      </w:r>
      <w:r>
        <w:rPr>
          <w:i/>
        </w:rPr>
        <w:t xml:space="preserve">p</w:t>
      </w:r>
      <w:r>
        <w:t xml:space="preserve"> </w:t>
      </w:r>
      <w:r>
        <w:t xml:space="preserve">&lt; 0.001), Steller sea lions (z = 8.3,</w:t>
      </w:r>
      <w:r>
        <w:t xml:space="preserve"> </w:t>
      </w:r>
      <w:r>
        <w:rPr>
          <w:i/>
        </w:rPr>
        <w:t xml:space="preserve">p</w:t>
      </w:r>
      <w:r>
        <w:t xml:space="preserve"> </w:t>
      </w:r>
      <w:r>
        <w:t xml:space="preserve">&lt; 0.001), Guadalupe fur seals (z = 2.0,</w:t>
      </w:r>
      <w:r>
        <w:t xml:space="preserve"> </w:t>
      </w:r>
      <w:r>
        <w:rPr>
          <w:i/>
        </w:rPr>
        <w:t xml:space="preserve">p</w:t>
      </w:r>
      <w:r>
        <w:t xml:space="preserve"> </w:t>
      </w:r>
      <w:r>
        <w:t xml:space="preserve">&lt; 0.05), and northern fur seals (z = 2.2,</w:t>
      </w:r>
      <w:r>
        <w:t xml:space="preserve"> </w:t>
      </w:r>
      <w:r>
        <w:rPr>
          <w:i/>
        </w:rPr>
        <w:t xml:space="preserve">p</w:t>
      </w:r>
      <w:r>
        <w:t xml:space="preserve"> </w:t>
      </w:r>
      <w:r>
        <w:t xml:space="preserve">&lt; 0.05) (Figure 2a), and no significant change detected for northern elephant seals.</w:t>
      </w:r>
    </w:p>
    <w:p>
      <w:pPr>
        <w:pStyle w:val="BodyText"/>
      </w:pPr>
      <w:r>
        <w:t xml:space="preserve">Human interaction cases - The overall number of HI cases increased significantly from 1989-2016 (z = 7.8,</w:t>
      </w:r>
      <w:r>
        <w:t xml:space="preserve"> </w:t>
      </w:r>
      <w:r>
        <w:rPr>
          <w:i/>
        </w:rPr>
        <w:t xml:space="preserve">p</w:t>
      </w:r>
      <w:r>
        <w:t xml:space="preserve"> </w:t>
      </w:r>
      <w:r>
        <w:t xml:space="preserve">&lt; 0.001). An annual average of 21 cases were documented throughout the 1990s and 82 per year since 2000. Specifically, there was an increasing number of gunshot wounds (z = 4.6,</w:t>
      </w:r>
      <w:r>
        <w:t xml:space="preserve"> </w:t>
      </w:r>
      <w:r>
        <w:rPr>
          <w:i/>
        </w:rPr>
        <w:t xml:space="preserve">p</w:t>
      </w:r>
      <w:r>
        <w:t xml:space="preserve"> </w:t>
      </w:r>
      <w:r>
        <w:t xml:space="preserve">&lt; 0.001), fisheries entanglements (z = 8.3,</w:t>
      </w:r>
      <w:r>
        <w:t xml:space="preserve"> </w:t>
      </w:r>
      <w:r>
        <w:rPr>
          <w:i/>
        </w:rPr>
        <w:t xml:space="preserve">p</w:t>
      </w:r>
      <w:r>
        <w:t xml:space="preserve"> </w:t>
      </w:r>
      <w:r>
        <w:t xml:space="preserve">&lt; 0.001), and boat injuries (z = 3.3,</w:t>
      </w:r>
      <w:r>
        <w:t xml:space="preserve"> </w:t>
      </w:r>
      <w:r>
        <w:rPr>
          <w:i/>
        </w:rPr>
        <w:t xml:space="preserve">p</w:t>
      </w:r>
      <w:r>
        <w:t xml:space="preserve"> </w:t>
      </w:r>
      <w:r>
        <w:t xml:space="preserve">&lt; 0.01) over the study period (Figure 3b). The prevalence of HI cases has also increased overall (z = 15.5,</w:t>
      </w:r>
      <w:r>
        <w:t xml:space="preserve"> </w:t>
      </w:r>
      <w:r>
        <w:rPr>
          <w:i/>
        </w:rPr>
        <w:t xml:space="preserve">p</w:t>
      </w:r>
      <w:r>
        <w:t xml:space="preserve"> </w:t>
      </w:r>
      <w:r>
        <w:t xml:space="preserve">&lt; 0.001) and specifically for gunshot wounds (z = 6.4,</w:t>
      </w:r>
      <w:r>
        <w:t xml:space="preserve"> </w:t>
      </w:r>
      <w:r>
        <w:rPr>
          <w:i/>
        </w:rPr>
        <w:t xml:space="preserve">p</w:t>
      </w:r>
      <w:r>
        <w:t xml:space="preserve"> </w:t>
      </w:r>
      <w:r>
        <w:t xml:space="preserve">&lt; 0.001), fisheries entanglements (z = 5.3,</w:t>
      </w:r>
      <w:r>
        <w:t xml:space="preserve"> </w:t>
      </w:r>
      <w:r>
        <w:rPr>
          <w:i/>
        </w:rPr>
        <w:t xml:space="preserve">p</w:t>
      </w:r>
      <w:r>
        <w:t xml:space="preserve"> </w:t>
      </w:r>
      <w:r>
        <w:t xml:space="preserve">&lt; 0.001), and boat injuries (z = 4.2,</w:t>
      </w:r>
      <w:r>
        <w:t xml:space="preserve"> </w:t>
      </w:r>
      <w:r>
        <w:rPr>
          <w:i/>
        </w:rPr>
        <w:t xml:space="preserve">p</w:t>
      </w:r>
      <w:r>
        <w:t xml:space="preserve"> </w:t>
      </w:r>
      <w:r>
        <w:t xml:space="preserve">&lt; 0.001) (Figure 4b). The prevalence of combined HI case types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(z = 8.7,</w:t>
      </w:r>
      <w:r>
        <w:t xml:space="preserve"> </w:t>
      </w:r>
      <w:r>
        <w:rPr>
          <w:i/>
        </w:rPr>
        <w:t xml:space="preserve">p</w:t>
      </w:r>
      <w:r>
        <w:t xml:space="preserve"> </w:t>
      </w:r>
      <w:r>
        <w:t xml:space="preserve">&lt; 0.001), California sea lions (z = 6.3,</w:t>
      </w:r>
      <w:r>
        <w:t xml:space="preserve"> </w:t>
      </w:r>
      <w:r>
        <w:rPr>
          <w:i/>
        </w:rPr>
        <w:t xml:space="preserve">p</w:t>
      </w:r>
      <w:r>
        <w:t xml:space="preserve"> </w:t>
      </w:r>
      <w:r>
        <w:t xml:space="preserve">&lt; 0.001), Steller sea lions (z = 5.3,</w:t>
      </w:r>
      <w:r>
        <w:t xml:space="preserve"> </w:t>
      </w:r>
      <w:r>
        <w:rPr>
          <w:i/>
        </w:rPr>
        <w:t xml:space="preserve">p</w:t>
      </w:r>
      <w:r>
        <w:t xml:space="preserve"> </w:t>
      </w:r>
      <w:r>
        <w:t xml:space="preserve">&lt; 0.001), and Guadalupe fur seals (z = 2.1,</w:t>
      </w:r>
      <w:r>
        <w:t xml:space="preserve"> </w:t>
      </w:r>
      <w:r>
        <w:rPr>
          <w:i/>
        </w:rPr>
        <w:t xml:space="preserve">p</w:t>
      </w:r>
      <w:r>
        <w:t xml:space="preserve"> </w:t>
      </w:r>
      <w:r>
        <w:t xml:space="preserve">&lt; 0.05) (Figure 3a). The prevalence of HI cases increased for harbor seals (z = 11.4,</w:t>
      </w:r>
      <w:r>
        <w:t xml:space="preserve"> </w:t>
      </w:r>
      <w:r>
        <w:rPr>
          <w:i/>
        </w:rPr>
        <w:t xml:space="preserve">p</w:t>
      </w:r>
      <w:r>
        <w:t xml:space="preserve"> </w:t>
      </w:r>
      <w:r>
        <w:t xml:space="preserve">&lt; 0.001), California sea lions (z = 3.8,</w:t>
      </w:r>
      <w:r>
        <w:t xml:space="preserve"> </w:t>
      </w:r>
      <w:r>
        <w:rPr>
          <w:i/>
        </w:rPr>
        <w:t xml:space="preserve">p</w:t>
      </w:r>
      <w:r>
        <w:t xml:space="preserve"> </w:t>
      </w:r>
      <w:r>
        <w:t xml:space="preserve">&lt; 0.001), and northern elephant seals (z = 3.5,</w:t>
      </w:r>
      <w:r>
        <w:t xml:space="preserve"> </w:t>
      </w:r>
      <w:r>
        <w:rPr>
          <w:i/>
        </w:rPr>
        <w:t xml:space="preserve">p</w:t>
      </w:r>
      <w:r>
        <w:t xml:space="preserve"> </w:t>
      </w:r>
      <w:r>
        <w:t xml:space="preserve">&lt; 0.001), and decreased for Guadalupe fur seals largely due to the increase in overall strandings of the species (Figure 4a). In terms of specific HI types, the prevalence of gunshot wound cases increased significantly for California sea lions (z = 2.8,</w:t>
      </w:r>
      <w:r>
        <w:t xml:space="preserve"> </w:t>
      </w:r>
      <w:r>
        <w:rPr>
          <w:i/>
        </w:rPr>
        <w:t xml:space="preserve">p</w:t>
      </w:r>
      <w:r>
        <w:t xml:space="preserve"> </w:t>
      </w:r>
      <w:r>
        <w:t xml:space="preserve">&lt; 0.05), fisheries entanglement cases decreased for California sea lions (z = -2.1,</w:t>
      </w:r>
      <w:r>
        <w:t xml:space="preserve"> </w:t>
      </w:r>
      <w:r>
        <w:rPr>
          <w:i/>
        </w:rPr>
        <w:t xml:space="preserve">p</w:t>
      </w:r>
      <w:r>
        <w:t xml:space="preserve"> </w:t>
      </w:r>
      <w:r>
        <w:t xml:space="preserve">&lt; 0.05) and increased for harbor seals (z = 5.4,</w:t>
      </w:r>
      <w:r>
        <w:t xml:space="preserve"> </w:t>
      </w:r>
      <w:r>
        <w:rPr>
          <w:i/>
        </w:rPr>
        <w:t xml:space="preserve">p</w:t>
      </w:r>
      <w:r>
        <w:t xml:space="preserve"> </w:t>
      </w:r>
      <w:r>
        <w:t xml:space="preserve">&lt; 0.001), and boat-related injuries increased for harbor seals (z = 3.4,</w:t>
      </w:r>
      <w:r>
        <w:t xml:space="preserve"> </w:t>
      </w:r>
      <w:r>
        <w:rPr>
          <w:i/>
        </w:rPr>
        <w:t xml:space="preserve">p</w:t>
      </w:r>
      <w:r>
        <w:t xml:space="preserve"> </w:t>
      </w:r>
      <w:r>
        <w:t xml:space="preserve">&lt; 0.001).</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w:t>
      </w:r>
      <w:r>
        <w:t xml:space="preserve"> </w:t>
      </w:r>
      <w:r>
        <w:rPr>
          <w:i/>
        </w:rPr>
        <w:t xml:space="preserve">p</w:t>
      </w:r>
      <w:r>
        <w:t xml:space="preserve"> </w:t>
      </w:r>
      <w:r>
        <w:t xml:space="preserve">&lt; 0.001) and highest from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(just over 90% of which were harbor seals) stranding in higher numbers from June through September (</w:t>
      </w:r>
      <w:r>
        <w:rPr>
          <w:i/>
        </w:rPr>
        <w:t xml:space="preserve">χ</w:t>
      </w:r>
      <w:r>
        <w:rPr>
          <w:vertAlign w:val="superscript"/>
        </w:rPr>
        <w:t xml:space="preserve">2</w:t>
      </w:r>
      <w:r>
        <w:t xml:space="preserve"> </w:t>
      </w:r>
      <w:r>
        <w:t xml:space="preserve">= 503.8,</w:t>
      </w:r>
      <w:r>
        <w:t xml:space="preserve"> </w:t>
      </w:r>
      <w:r>
        <w:rPr>
          <w:i/>
        </w:rPr>
        <w:t xml:space="preserve">p</w:t>
      </w:r>
      <w:r>
        <w:t xml:space="preserve"> </w:t>
      </w:r>
      <w:r>
        <w:t xml:space="preserve">&lt; 0.001). None of the other age classes exhibited statistically significant seasonal stranding patterns. Seasonal patterns were similar across male and female strandings.</w:t>
      </w:r>
    </w:p>
    <w:p>
      <w:pPr>
        <w:pStyle w:val="BodyText"/>
      </w:pPr>
      <w:r>
        <w:t xml:space="preserve">The number of combined HI cases is significantly higher in the summer (July) for harbor seals and pups (Figure 5a, b). Though not statistically significant, the different HI case types exhibit seasonal patterns depending on sub-region. Boat collision cases only occur from April to October in inland Washington waters and are highest in August. Fisheries entanglements are highest in May and June in Oregon and highest in August in inland Washington waters. Gunshot wound cases exhibit a discrete peak in March on the Washington coast and in August in inland Washington waters. Gunshot wounds account for an average of 13% of all cases in March compared to an average of 4% of all monthly cases the rest of the year.</w:t>
      </w:r>
    </w:p>
    <w:p>
      <w:pPr>
        <w:pStyle w:val="BodyText"/>
      </w:pPr>
      <w:r>
        <w:rPr>
          <w:i/>
        </w:rPr>
        <w:t xml:space="preserve">Spatial Patterns</w:t>
      </w:r>
      <w:r>
        <w:br w:type="textWrapping"/>
      </w:r>
      <w:r>
        <w:t xml:space="preserve">Over the study period, a higher volume and increasing number of strandings occurred in inland Washington and along the Oregon coast compared to the Washington coast (Figure 2b). The proportion of total annual strandings occurring in Oregon ranged from 8% to 58%, averaging 35% for the whole study period. The proportion of annual strandings occurring along the Washington coast ranged from 2% to 23%, averaging 8% for the whole study period. The proportion of annual strandings occurring along the shores of inland Washington waters ranged from 38% to 83%, averaging 57% for the whole study period.</w:t>
      </w:r>
    </w:p>
    <w:p>
      <w:pPr>
        <w:pStyle w:val="BodyText"/>
      </w:pPr>
      <w:r>
        <w:t xml:space="preserve">The distribution of HI cases between these three sub-regions is similar to that of overall strandings, with 34% of all HI cases occurring in Oregon, 50% in inland Washington waters, and the remaining 16% along the Washington coast. However, the distribution of specific types of HI cases is different between the three sub-regions, with only 31% of boat collisions and 16% of "other" cases occurring in Oregon and 68% and 72% occurring in inland Washington waters, respectively. Approximately 25% of gunshot wounds reported during the study period occurred along the Washington coast.</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w:t>
      </w:r>
      <w:r>
        <w:t xml:space="preserve"> </w:t>
      </w:r>
      <w:r>
        <w:rPr>
          <w:i/>
        </w:rPr>
        <w:t xml:space="preserve">p</w:t>
      </w:r>
      <w:r>
        <w:t xml:space="preserve"> </w:t>
      </w:r>
      <w:r>
        <w:t xml:space="preserve">&lt;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(z = 3.0,</w:t>
      </w:r>
      <w:r>
        <w:t xml:space="preserve"> </w:t>
      </w:r>
      <w:r>
        <w:rPr>
          <w:i/>
        </w:rPr>
        <w:t xml:space="preserve">p</w:t>
      </w:r>
      <w:r>
        <w:t xml:space="preserve"> </w:t>
      </w:r>
      <w:r>
        <w:t xml:space="preserve">&lt; 0.01), Pacific (z = 2.7,</w:t>
      </w:r>
      <w:r>
        <w:t xml:space="preserve"> </w:t>
      </w:r>
      <w:r>
        <w:rPr>
          <w:i/>
        </w:rPr>
        <w:t xml:space="preserve">p</w:t>
      </w:r>
      <w:r>
        <w:t xml:space="preserve"> </w:t>
      </w:r>
      <w:r>
        <w:t xml:space="preserve">&lt; 0.01), King (z = 2.7,</w:t>
      </w:r>
      <w:r>
        <w:t xml:space="preserve"> </w:t>
      </w:r>
      <w:r>
        <w:rPr>
          <w:i/>
        </w:rPr>
        <w:t xml:space="preserve">p</w:t>
      </w:r>
      <w:r>
        <w:t xml:space="preserve"> </w:t>
      </w:r>
      <w:r>
        <w:t xml:space="preserve">&lt; 0.01), Whatcom (z = 3.0,</w:t>
      </w:r>
      <w:r>
        <w:t xml:space="preserve"> </w:t>
      </w:r>
      <w:r>
        <w:rPr>
          <w:i/>
        </w:rPr>
        <w:t xml:space="preserve">p</w:t>
      </w:r>
      <w:r>
        <w:t xml:space="preserve"> </w:t>
      </w:r>
      <w:r>
        <w:t xml:space="preserve">&lt; 0.001), and Jefferson (z = 2.2,</w:t>
      </w:r>
      <w:r>
        <w:t xml:space="preserve"> </w:t>
      </w:r>
      <w:r>
        <w:rPr>
          <w:i/>
        </w:rPr>
        <w:t xml:space="preserve">p</w:t>
      </w:r>
      <w:r>
        <w:t xml:space="preserve"> </w:t>
      </w:r>
      <w:r>
        <w:t xml:space="preserve">&lt; 0.05) counties. In Oregon, the majority of strandings occurred in Clatsop, Tillamook, Coos, and Lincoln counties (Figure 6a). These counties were also where the majority of HI cases occurred, though a disproportionately higher number occurred in Clatsop, the majority of which were gunshot wounds. Combined human interaction cases increased in Clatsop county (z = 3.9,</w:t>
      </w:r>
      <w:r>
        <w:t xml:space="preserve"> </w:t>
      </w:r>
      <w:r>
        <w:rPr>
          <w:i/>
        </w:rPr>
        <w:t xml:space="preserve">p</w:t>
      </w:r>
      <w:r>
        <w:t xml:space="preserve"> </w:t>
      </w:r>
      <w:r>
        <w:t xml:space="preserve">&lt; 0.001). Kernel density plots show different hotspot areas for different human interaction types, with boat collision injuries and fisheries interactions largely occurring throughout inland Washington waters and around the mouth of the Columbia River, while the most significant hotspot for gunshot wounds centered around the Columbia River (Figure 7).</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Similarly, approximately 70% of California and Steller sea lions occurred in Oregon and 30% in Washington. In contrast, approximately 15% of harbor seal strandings occurred in Oregon and 85% in Washington (Table 3). Stranding hotspots were apparent throughout inland Washington waters for harbor seals, and distributed along the coast for the other species (Figure 8). In varying degrees for all species except northern fur seals, kernel density hotspots are slightly different for all strandings versus human interaction cases (Figure 8). For example, northern elephant seal human interaction cases are centered further north than overall strandings and exhibit a hotspot in inland Washington waters. Harbor seal human interactions exhibit an additional cluster near the mouth of the Columbia River and HI cases for both Steller sea lions and Guadalupe fur seals are more tightly clustered around the mouth of the Columbia River relative to the distribution of overall strandings (Figure 8).</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and species.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stranding records compared to females for northern elephant seals (Colegrove et al., 2005), California sea lions (Greig et al., 2005), and harp seals (</w:t>
      </w:r>
      <w:r>
        <w:rPr>
          <w:i/>
        </w:rPr>
        <w:t xml:space="preserve">Pagophilus groenlandicus</w:t>
      </w:r>
      <w:r>
        <w:t xml:space="preserve">) (Soulen et al., 2013). Many studies have found a higher number or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a combination of factors, including public perception of certain species as nuissance animals, more adults migrating through or hauling out in the region, and some species not having rookeries in the area compared to other study regions (such as California where there is a higher prevalence of pups). Similarly, the slightly higher proportion of HI cases in adults and subadults rather than pups and yearlings (16% versus 8-11%) as in other studies is likely due to the spatial distribution of different age classes for each species.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and occurred in May as well as the fall, reflecting the fact that males are making migrations through the area while many females largely stay around the rookeries in California. Similarly, harbor seal strandings are highest throughout the pupping season from June through October.</w:t>
      </w:r>
    </w:p>
    <w:p>
      <w:pPr>
        <w:pStyle w:val="BodyText"/>
      </w:pPr>
      <w:r>
        <w:t xml:space="preserve">Our finding that California sea lion strandings were primarily males while Steller sea lion strandings were more equitably distributed between the sexes was consistent with the findings of other studies in the Oregon and southern Washington area (Lee, 2016). The prevalence of harbor seal pups in inland Washington waters is similarly attributable to the presence of haul-outs in the area and a population that has grown to carrying capacity in recent decades.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species in this study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number and prevalence of HI cases varies across species (Table 3 and Table 1), similar to the variation noted by others (Moore et al., 2009; Bogomolni et al., 2010). For example, species that forage further offshore would be least likely to encounter vessel traffic, those that haulout at popular beaches might have a higher prevalence of public harassment cases, and those whose foraging overlaps with a particular fishing season or area might have a higher prevalence of entanglements and gunshot wounds.</w:t>
      </w:r>
    </w:p>
    <w:p>
      <w:pPr>
        <w:pStyle w:val="BodyText"/>
      </w:pPr>
      <w:r>
        <w:t xml:space="preserve">California sea lions and male pups have been cited as being particularly inquisitive and therefore more likely to become entangled, though entanglement rates of California sea lions were second to northern fur seals and Steller sea lions in this study. Anecdotal observations made by response practitioners suggest that these three species are affected by different types of entangling materials. In Oregon, plastic packing bands and rubber bands (likely from fish bait boxes and crab pots) account for most California sea lion and Steller sea lion entanglements, respectively, while trawl nets are the most prominent in northern fur seal entanglements (</w:t>
      </w:r>
      <w:r>
        <w:rPr>
          <w:i/>
        </w:rPr>
        <w:t xml:space="preserve">pers comms</w:t>
      </w:r>
      <w:r>
        <w:t xml:space="preserve">, J. Rice 2017).</w:t>
      </w:r>
    </w:p>
    <w:p>
      <w:pPr>
        <w:pStyle w:val="BodyText"/>
      </w:pPr>
      <w:r>
        <w:t xml:space="preserve">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(3-16%)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Endangered Species Act-listed and infrequently stranded species such as the northern fur seals might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The noticeable and extended seasonal peak in harbor seal strandings likely reflects that these strandings are primarily pups, and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in 20XX followed by a rise shortly thereafter. Such events could also explain the noticeable spike in gunshot wound cases in the early 1990s.</w:t>
      </w:r>
    </w:p>
    <w:p>
      <w:pPr>
        <w:pStyle w:val="BodyText"/>
      </w:pPr>
      <w:r>
        <w:t xml:space="preserve">The prevalence of HI cases has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in inland waters and along the coasts of Oregon and Washington (Table 3)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in the area (Norman et al., 2004; Lee, 2016). In Washington, harbor seals primarily stranded throughout inland waters due to the area having a large number of haul-outs, rookeries, and public reporting. In contrast, fewer harbor seal strandings are reported along the Washington coast, largely due to the fact that many beaches are isolated or inaccessible. Guadalupe fur seal stranding hotspots occur around the mouth of the Columbia River and Willapa Bay on the outer coast (Figure 8), likely reflecting the fact that few individuals range into inland Washington waters given their highly pelagic nature. Similarly, northern fur seal strandings did not exhibit clustering in northern or inland Washington,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Over the study area, kernel density plots show that human interaction cases are more concentrated in specific places compared to overall strandings. 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(blunt trauma, missing appendages, dog bites, oil staining, animal harassment) in inland Washington is likely due to the fact that the majority of thosethe result of a higher number of HI cases areinvolving harbor seal pups in this region, and a the disproportional number of harbor seal stranding that occurs in Washington, as described above. The higher percentage of boat-related injuries in inland Washington could be attributed to the presence of ferry and shipping traffic and recreational boating opportunities throughout inland waters.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Further refining the parameters of the kernel density function or using saTScan analysis (Kulldorff &amp; Nagarwalla, 1995; Kulldorff, 2001, Kreuder et al., 2003; Kulldorf et al., 2005; Norman et al., 2011) could be explored in the future to refine these hotspot maps. Additioinally, more refined spatio-temporal predictive modeling that includes measures of pinniped abundance, prey distribution, and proxies for oceanographic conditions (as in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varied for each of the six species in the study area. Patterns in the distribution and number of strandings along the coast and throughout the year are likely due to the local abundance and demographic characteristics of each species, with harbor seal pups stranding primarily throughout inland Washington waters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Identifying and monitoring stranding hotspots can be helpful in a variety of contexts, including detecting and investigating unusual mortality events, informing disentanglement response or beach clean-up efforts, implementing targeted outreach about non-lethal deterrents in areas where gunshot wounds are prevalent, establishing baseline health information, and evaluating whether human-related mortalities approach or exceed established limits under the Marine Mammal Protection Act. Stranding data may contain gaps, biases, and inconsistencies, but are an invaluable resource for conservation and management of these marine mammal species.</w:t>
      </w:r>
    </w:p>
    <w:p>
      <w:pPr>
        <w:pStyle w:val="BodyText"/>
      </w:pPr>
      <w:r>
        <w:rPr>
          <w:b/>
        </w:rPr>
        <w:t xml:space="preserve">Acknowledgements</w:t>
      </w:r>
      <w:r>
        <w:br w:type="textWrapping"/>
      </w:r>
      <w:r>
        <w:t xml:space="preserve">This research was made possible through the hard work and dedication of all stranding response network work members in the Pacific Northwest, including Cascadia Research Collective, Central Puget Sound Marine Mammal Stranding Network, Dungeness National Wildlife Refuge &amp; Protection Island, Feiro Marine Life Center, Makah Tribe, Marine Animal Rescue Center, MaST Center Stranding Team, Olympic Coast National Marine Sanctuary, Oregon State University Marine Mammal Institute, Port Townsend Marine Science Center, Portland State University, San Juan County Marine Mammal Stranding Network,</w:t>
      </w:r>
      <w:r>
        <w:t xml:space="preserve"> </w:t>
      </w:r>
      <w:r>
        <w:t xml:space="preserve">Seal Sitters, Seaside Aquarium, Sno-King Marine Mammal Response, The Whale Museum, Vashon Hydrophone Project, Washington Dept of Fish and Wildlife Marine Mammal Investigations, and Whatcom Marine Mammal Stranding Network.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Boxplots of (a) annual stranding cases for each species, and (b) annual human interactions by case type.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2: (a) Increasing total reported strandings across all species (</w:t>
      </w:r>
      <w:r>
        <w:rPr>
          <w:i/>
        </w:rPr>
        <w:t xml:space="preserve">n</w:t>
      </w:r>
      <w:r>
        <w:t xml:space="preserve"> </w:t>
      </w:r>
      <w:r>
        <w:t xml:space="preserve">= 14,939) (black dotted loess regression line) and increasing for harbor seals (y = 1.057</w:t>
      </w:r>
      <w:r>
        <w:rPr>
          <w:vertAlign w:val="superscript"/>
        </w:rPr>
        <w:t xml:space="preserve">x</w:t>
      </w:r>
      <w:r>
        <w:t xml:space="preserve">, z = 6.2,</w:t>
      </w:r>
      <w:r>
        <w:t xml:space="preserve"> </w:t>
      </w:r>
      <w:r>
        <w:rPr>
          <w:i/>
        </w:rPr>
        <w:t xml:space="preserve">p</w:t>
      </w:r>
      <w:r>
        <w:t xml:space="preserve"> </w:t>
      </w:r>
      <w:r>
        <w:t xml:space="preserve">&lt; 0.001), California sea lions (y = 1.098</w:t>
      </w:r>
      <w:r>
        <w:rPr>
          <w:vertAlign w:val="superscript"/>
        </w:rPr>
        <w:t xml:space="preserve">x</w:t>
      </w:r>
      <w:r>
        <w:t xml:space="preserve">, z = 7.7,</w:t>
      </w:r>
      <w:r>
        <w:t xml:space="preserve"> </w:t>
      </w:r>
      <w:r>
        <w:rPr>
          <w:i/>
        </w:rPr>
        <w:t xml:space="preserve">p</w:t>
      </w:r>
      <w:r>
        <w:t xml:space="preserve"> </w:t>
      </w:r>
      <w:r>
        <w:t xml:space="preserve">&lt; 0.001), Steller sea lions (y = 1.143</w:t>
      </w:r>
      <w:r>
        <w:rPr>
          <w:vertAlign w:val="superscript"/>
        </w:rPr>
        <w:t xml:space="preserve">x</w:t>
      </w:r>
      <w:r>
        <w:t xml:space="preserve">, z = 8.3,</w:t>
      </w:r>
      <w:r>
        <w:t xml:space="preserve"> </w:t>
      </w:r>
      <w:r>
        <w:rPr>
          <w:i/>
        </w:rPr>
        <w:t xml:space="preserve">p</w:t>
      </w:r>
      <w:r>
        <w:t xml:space="preserve"> </w:t>
      </w:r>
      <w:r>
        <w:t xml:space="preserve">&lt; 0.001), Guadalupe fur seals (y = 1.159</w:t>
      </w:r>
      <w:r>
        <w:rPr>
          <w:vertAlign w:val="superscript"/>
        </w:rPr>
        <w:t xml:space="preserve">x</w:t>
      </w:r>
      <w:r>
        <w:t xml:space="preserve">, z = 2.0,</w:t>
      </w:r>
      <w:r>
        <w:t xml:space="preserve"> </w:t>
      </w:r>
      <w:r>
        <w:rPr>
          <w:i/>
        </w:rPr>
        <w:t xml:space="preserve">p</w:t>
      </w:r>
      <w:r>
        <w:t xml:space="preserve"> </w:t>
      </w:r>
      <w:r>
        <w:t xml:space="preserve">&lt; 0.05), and northern fur seals (y = 1.044</w:t>
      </w:r>
      <w:r>
        <w:rPr>
          <w:vertAlign w:val="superscript"/>
        </w:rPr>
        <w:t xml:space="preserve">x</w:t>
      </w:r>
      <w:r>
        <w:t xml:space="preserve">, z = 2.2,</w:t>
      </w:r>
      <w:r>
        <w:t xml:space="preserve"> </w:t>
      </w:r>
      <w:r>
        <w:rPr>
          <w:i/>
        </w:rPr>
        <w:t xml:space="preserve">p</w:t>
      </w:r>
      <w:r>
        <w:t xml:space="preserve"> </w:t>
      </w:r>
      <w:r>
        <w:t xml:space="preserve">&lt; 0.05); (b) annual strandings increasing in Oregon (y = 1.052</w:t>
      </w:r>
      <w:r>
        <w:rPr>
          <w:vertAlign w:val="superscript"/>
        </w:rPr>
        <w:t xml:space="preserve">x</w:t>
      </w:r>
      <w:r>
        <w:t xml:space="preserve">, z = 3.78,</w:t>
      </w:r>
      <w:r>
        <w:t xml:space="preserve"> </w:t>
      </w:r>
      <w:r>
        <w:rPr>
          <w:i/>
        </w:rPr>
        <w:t xml:space="preserve">p</w:t>
      </w:r>
      <w:r>
        <w:t xml:space="preserve"> </w:t>
      </w:r>
      <w:r>
        <w:t xml:space="preserve">&lt; 0.001), inland Washington waters (y = 1.040</w:t>
      </w:r>
      <w:r>
        <w:rPr>
          <w:vertAlign w:val="superscript"/>
        </w:rPr>
        <w:t xml:space="preserve">x</w:t>
      </w:r>
      <w:r>
        <w:t xml:space="preserve">, z = 4.95,</w:t>
      </w:r>
      <w:r>
        <w:t xml:space="preserve"> </w:t>
      </w:r>
      <w:r>
        <w:rPr>
          <w:i/>
        </w:rPr>
        <w:t xml:space="preserve">p</w:t>
      </w:r>
      <w:r>
        <w:t xml:space="preserve"> </w:t>
      </w:r>
      <w:r>
        <w:t xml:space="preserve">&lt; 0.001), and, though in smaller numbers, along Washington coast (y = 1.074</w:t>
      </w:r>
      <w:r>
        <w:rPr>
          <w:vertAlign w:val="superscript"/>
        </w:rPr>
        <w:t xml:space="preserve">x</w:t>
      </w:r>
      <w:r>
        <w:t xml:space="preserve">, z = 3.62,</w:t>
      </w:r>
      <w:r>
        <w:t xml:space="preserve"> </w:t>
      </w:r>
      <w:r>
        <w:rPr>
          <w:i/>
        </w:rPr>
        <w:t xml:space="preserve">p</w:t>
      </w:r>
      <w:r>
        <w:t xml:space="preserve"> </w:t>
      </w:r>
      <w:r>
        <w:t xml:space="preserve">&lt;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HI cases combined (black loess regression line) and for each species illustrate increasing cases for harbor seals (y = 1.114</w:t>
      </w:r>
      <w:r>
        <w:rPr>
          <w:vertAlign w:val="superscript"/>
        </w:rPr>
        <w:t xml:space="preserve">x</w:t>
      </w:r>
      <w:r>
        <w:t xml:space="preserve">, z = 8.7,</w:t>
      </w:r>
      <w:r>
        <w:t xml:space="preserve"> </w:t>
      </w:r>
      <w:r>
        <w:rPr>
          <w:i/>
        </w:rPr>
        <w:t xml:space="preserve">p</w:t>
      </w:r>
      <w:r>
        <w:t xml:space="preserve"> </w:t>
      </w:r>
      <w:r>
        <w:t xml:space="preserve">&lt; 0.001), California sea lions (y = 1.099</w:t>
      </w:r>
      <w:r>
        <w:rPr>
          <w:vertAlign w:val="superscript"/>
        </w:rPr>
        <w:t xml:space="preserve">x</w:t>
      </w:r>
      <w:r>
        <w:t xml:space="preserve">, z = 6.3,</w:t>
      </w:r>
      <w:r>
        <w:t xml:space="preserve"> </w:t>
      </w:r>
      <w:r>
        <w:rPr>
          <w:i/>
        </w:rPr>
        <w:t xml:space="preserve">p</w:t>
      </w:r>
      <w:r>
        <w:t xml:space="preserve"> </w:t>
      </w:r>
      <w:r>
        <w:t xml:space="preserve">&lt; 0.001), Steller sea lions (y = 1.095</w:t>
      </w:r>
      <w:r>
        <w:rPr>
          <w:vertAlign w:val="superscript"/>
        </w:rPr>
        <w:t xml:space="preserve">x</w:t>
      </w:r>
      <w:r>
        <w:t xml:space="preserve">, z = 5.3,</w:t>
      </w:r>
      <w:r>
        <w:t xml:space="preserve"> </w:t>
      </w:r>
      <w:r>
        <w:rPr>
          <w:i/>
        </w:rPr>
        <w:t xml:space="preserve">p</w:t>
      </w:r>
      <w:r>
        <w:t xml:space="preserve"> </w:t>
      </w:r>
      <w:r>
        <w:t xml:space="preserve">&lt; 0.001), and Guadalupe fur seals (y = 1.173</w:t>
      </w:r>
      <w:r>
        <w:rPr>
          <w:vertAlign w:val="superscript"/>
        </w:rPr>
        <w:t xml:space="preserve">x</w:t>
      </w:r>
      <w:r>
        <w:t xml:space="preserve">, z = 2.1,</w:t>
      </w:r>
      <w:r>
        <w:t xml:space="preserve"> </w:t>
      </w:r>
      <w:r>
        <w:rPr>
          <w:i/>
        </w:rPr>
        <w:t xml:space="preserve">p</w:t>
      </w:r>
      <w:r>
        <w:t xml:space="preserve"> </w:t>
      </w:r>
      <w:r>
        <w:t xml:space="preserve">&lt; 0.05) and (b) increasing number of gunshot wounds (y = 1.073</w:t>
      </w:r>
      <w:r>
        <w:rPr>
          <w:vertAlign w:val="superscript"/>
        </w:rPr>
        <w:t xml:space="preserve">x</w:t>
      </w:r>
      <w:r>
        <w:t xml:space="preserve">, z = 4.6,</w:t>
      </w:r>
      <w:r>
        <w:t xml:space="preserve"> </w:t>
      </w:r>
      <w:r>
        <w:rPr>
          <w:i/>
        </w:rPr>
        <w:t xml:space="preserve">p</w:t>
      </w:r>
      <w:r>
        <w:t xml:space="preserve"> </w:t>
      </w:r>
      <w:r>
        <w:t xml:space="preserve">&lt; 0.001), fisheries entanglements (y = 1.090</w:t>
      </w:r>
      <w:r>
        <w:rPr>
          <w:vertAlign w:val="superscript"/>
        </w:rPr>
        <w:t xml:space="preserve">x</w:t>
      </w:r>
      <w:r>
        <w:t xml:space="preserve">, z = 8.3,</w:t>
      </w:r>
      <w:r>
        <w:t xml:space="preserve"> </w:t>
      </w:r>
      <w:r>
        <w:rPr>
          <w:i/>
        </w:rPr>
        <w:t xml:space="preserve">p</w:t>
      </w:r>
      <w:r>
        <w:t xml:space="preserve"> </w:t>
      </w:r>
      <w:r>
        <w:t xml:space="preserve">&lt; 0.001), and boat injuries (y = 1.087</w:t>
      </w:r>
      <w:r>
        <w:rPr>
          <w:vertAlign w:val="superscript"/>
        </w:rPr>
        <w:t xml:space="preserve">x</w:t>
      </w:r>
      <w:r>
        <w:t xml:space="preserve">, z = 3.3,</w:t>
      </w:r>
      <w:r>
        <w:t xml:space="preserve"> </w:t>
      </w:r>
      <w:r>
        <w:rPr>
          <w:i/>
        </w:rPr>
        <w:t xml:space="preserve">p</w:t>
      </w:r>
      <w:r>
        <w:t xml:space="preserve"> </w:t>
      </w:r>
      <w:r>
        <w:t xml:space="preserve">&lt;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significantly increasing for all combined species (black dotted regression line, y = 0.06x, z = 15.5,</w:t>
      </w:r>
      <w:r>
        <w:t xml:space="preserve"> </w:t>
      </w:r>
      <w:r>
        <w:rPr>
          <w:i/>
        </w:rPr>
        <w:t xml:space="preserve">p</w:t>
      </w:r>
      <w:r>
        <w:t xml:space="preserve"> </w:t>
      </w:r>
      <w:r>
        <w:t xml:space="preserve">&lt; 0.001) and for harbor seals (y = 0.06x, z = 11.4,</w:t>
      </w:r>
      <w:r>
        <w:t xml:space="preserve"> </w:t>
      </w:r>
      <w:r>
        <w:rPr>
          <w:i/>
        </w:rPr>
        <w:t xml:space="preserve">p</w:t>
      </w:r>
      <w:r>
        <w:t xml:space="preserve"> </w:t>
      </w:r>
      <w:r>
        <w:t xml:space="preserve">&lt; 0.001), California sea lions (y = 0.03x, z = 3.8,</w:t>
      </w:r>
      <w:r>
        <w:t xml:space="preserve"> </w:t>
      </w:r>
      <w:r>
        <w:rPr>
          <w:i/>
        </w:rPr>
        <w:t xml:space="preserve">p</w:t>
      </w:r>
      <w:r>
        <w:t xml:space="preserve"> </w:t>
      </w:r>
      <w:r>
        <w:t xml:space="preserve">&lt; 0.001), and northern elephant seals (y = 0.09x, z = 3.5,</w:t>
      </w:r>
      <w:r>
        <w:t xml:space="preserve"> </w:t>
      </w:r>
      <w:r>
        <w:rPr>
          <w:i/>
        </w:rPr>
        <w:t xml:space="preserve">p</w:t>
      </w:r>
      <w:r>
        <w:t xml:space="preserve"> </w:t>
      </w:r>
      <w:r>
        <w:t xml:space="preserve">&lt; 0.001); (b) increasing for all HI types combined (black dotted regression line, y = 0.06x, z = 15.5,</w:t>
      </w:r>
      <w:r>
        <w:t xml:space="preserve"> </w:t>
      </w:r>
      <w:r>
        <w:rPr>
          <w:i/>
        </w:rPr>
        <w:t xml:space="preserve">p</w:t>
      </w:r>
      <w:r>
        <w:t xml:space="preserve"> </w:t>
      </w:r>
      <w:r>
        <w:t xml:space="preserve">&lt; 0.001) and for each HI case type: gunshot wounds (y = 0.039x, z = 6.4,</w:t>
      </w:r>
      <w:r>
        <w:t xml:space="preserve"> </w:t>
      </w:r>
      <w:r>
        <w:rPr>
          <w:i/>
        </w:rPr>
        <w:t xml:space="preserve">p</w:t>
      </w:r>
      <w:r>
        <w:t xml:space="preserve"> </w:t>
      </w:r>
      <w:r>
        <w:t xml:space="preserve">&lt; 0.001), fisheries entanglements (y = 0.043x, z = 5.3,</w:t>
      </w:r>
      <w:r>
        <w:t xml:space="preserve"> </w:t>
      </w:r>
      <w:r>
        <w:rPr>
          <w:i/>
        </w:rPr>
        <w:t xml:space="preserve">p</w:t>
      </w:r>
      <w:r>
        <w:t xml:space="preserve"> </w:t>
      </w:r>
      <w:r>
        <w:t xml:space="preserve">&lt; 0.001), and boat injuries (y = 0.087x, z = 4.2,</w:t>
      </w:r>
      <w:r>
        <w:t xml:space="preserve"> </w:t>
      </w:r>
      <w:r>
        <w:rPr>
          <w:i/>
        </w:rPr>
        <w:t xml:space="preserve">p</w:t>
      </w:r>
      <w:r>
        <w:t xml:space="preserve"> </w:t>
      </w:r>
      <w:r>
        <w:t xml:space="preserve">&lt;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and (c) human interaction type.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in Washington (left of dashed line) and Oregon (right of dashed line); and (b) total human interaction cases by type. Asterisks indicate counties where counts of total strandings or HI cases are significantly higher than the mean across all counties (</w:t>
      </w:r>
      <w:r>
        <w:rPr>
          <w:i/>
        </w:rPr>
        <w:t xml:space="preserve">p</w:t>
      </w:r>
      <w:r>
        <w:t xml:space="preserve"> </w:t>
      </w:r>
      <w:r>
        <w:t xml:space="preserve">&lt;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Strandings (grey points) and kernel density hotspot contour lines showing hotspots of human interaction cases, with fisheries and boat collisions distributed throughout inland Washington waters and at the mouth of the Columbia River, and a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Strandings (grey points) and kernel density hotspot contour lines showing overlapping hotspots for all strandings (black) and human interaction cases (red) for all species, with hotspots occurring throughout inland Washington for harbor seals and along the outer coast near the mouth of the Columbia River for the other species.</w:t>
      </w:r>
    </w:p>
    <w:p>
      <w:pPr>
        <w:pStyle w:val="BodyText"/>
      </w:pPr>
      <w:r>
        <w:t xml:space="preserve">Table 1: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Coast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2,570</w:t>
            </w:r>
          </w:p>
        </w:tc>
        <w:tc>
          <w:p>
            <w:pPr>
              <w:pStyle w:val="Compact"/>
              <w:jc w:val="center"/>
            </w:pPr>
            <w:r>
              <w:t xml:space="preserve">17.2</w:t>
            </w:r>
          </w:p>
        </w:tc>
        <w:tc>
          <w:p>
            <w:pPr>
              <w:pStyle w:val="Compact"/>
              <w:jc w:val="center"/>
            </w:pPr>
            <w:r>
              <w:t xml:space="preserve">22.8</w:t>
            </w:r>
          </w:p>
        </w:tc>
        <w:tc>
          <w:p>
            <w:pPr>
              <w:pStyle w:val="Compact"/>
              <w:jc w:val="center"/>
            </w:pPr>
            <w:r>
              <w:t xml:space="preserve">10.6</w:t>
            </w:r>
          </w:p>
        </w:tc>
        <w:tc>
          <w:p>
            <w:pPr>
              <w:pStyle w:val="Compact"/>
              <w:jc w:val="center"/>
            </w:pPr>
            <w:r>
              <w:t xml:space="preserve">66.6</w:t>
            </w:r>
          </w:p>
        </w:tc>
        <w:tc>
          <w:p>
            <w:pPr>
              <w:pStyle w:val="Compact"/>
              <w:jc w:val="center"/>
            </w:pPr>
            <w:r>
              <w:t xml:space="preserve">16.2</w:t>
            </w:r>
          </w:p>
        </w:tc>
        <w:tc>
          <w:p>
            <w:pPr>
              <w:pStyle w:val="Compact"/>
              <w:jc w:val="center"/>
            </w:pPr>
            <w:r>
              <w:t xml:space="preserve">18.3</w:t>
            </w:r>
          </w:p>
        </w:tc>
        <w:tc>
          <w:p>
            <w:pPr>
              <w:pStyle w:val="Compact"/>
              <w:jc w:val="center"/>
            </w:pPr>
            <w:r>
              <w:t xml:space="preserve">32.4</w:t>
            </w:r>
          </w:p>
        </w:tc>
        <w:tc>
          <w:p>
            <w:pPr>
              <w:pStyle w:val="Compact"/>
              <w:jc w:val="center"/>
            </w:pPr>
            <w:r>
              <w:t xml:space="preserve">5.4</w:t>
            </w:r>
          </w:p>
        </w:tc>
        <w:tc>
          <w:p>
            <w:pPr>
              <w:pStyle w:val="Compact"/>
              <w:jc w:val="center"/>
            </w:pPr>
            <w:r>
              <w:t xml:space="preserve">43.8</w:t>
            </w:r>
          </w:p>
        </w:tc>
      </w:tr>
      <w:tr>
        <w:tc>
          <w:p>
            <w:pPr>
              <w:pStyle w:val="Compact"/>
              <w:jc w:val="center"/>
            </w:pPr>
            <w:r>
              <w:t xml:space="preserve">Male</w:t>
            </w:r>
          </w:p>
        </w:tc>
        <w:tc>
          <w:p>
            <w:pPr>
              <w:pStyle w:val="Compact"/>
              <w:jc w:val="center"/>
            </w:pPr>
            <w:r>
              <w:t xml:space="preserve">5,021</w:t>
            </w:r>
          </w:p>
        </w:tc>
        <w:tc>
          <w:p>
            <w:pPr>
              <w:pStyle w:val="Compact"/>
              <w:jc w:val="center"/>
            </w:pPr>
            <w:r>
              <w:t xml:space="preserve">33.6</w:t>
            </w:r>
          </w:p>
        </w:tc>
        <w:tc>
          <w:p>
            <w:pPr>
              <w:pStyle w:val="Compact"/>
              <w:jc w:val="center"/>
            </w:pPr>
            <w:r>
              <w:t xml:space="preserve">41.5</w:t>
            </w:r>
          </w:p>
        </w:tc>
        <w:tc>
          <w:p>
            <w:pPr>
              <w:pStyle w:val="Compact"/>
              <w:jc w:val="center"/>
            </w:pPr>
            <w:r>
              <w:t xml:space="preserve">11.5</w:t>
            </w:r>
          </w:p>
        </w:tc>
        <w:tc>
          <w:p>
            <w:pPr>
              <w:pStyle w:val="Compact"/>
              <w:jc w:val="center"/>
            </w:pPr>
            <w:r>
              <w:t xml:space="preserve">47.1</w:t>
            </w:r>
          </w:p>
        </w:tc>
        <w:tc>
          <w:p>
            <w:pPr>
              <w:pStyle w:val="Compact"/>
              <w:jc w:val="center"/>
            </w:pPr>
            <w:r>
              <w:t xml:space="preserve">16.8</w:t>
            </w:r>
          </w:p>
        </w:tc>
        <w:tc>
          <w:p>
            <w:pPr>
              <w:pStyle w:val="Compact"/>
              <w:jc w:val="center"/>
            </w:pPr>
            <w:r>
              <w:t xml:space="preserve">15.4</w:t>
            </w:r>
          </w:p>
        </w:tc>
        <w:tc>
          <w:p>
            <w:pPr>
              <w:pStyle w:val="Compact"/>
              <w:jc w:val="center"/>
            </w:pPr>
            <w:r>
              <w:t xml:space="preserve">47.2</w:t>
            </w:r>
          </w:p>
        </w:tc>
        <w:tc>
          <w:p>
            <w:pPr>
              <w:pStyle w:val="Compact"/>
              <w:jc w:val="center"/>
            </w:pPr>
            <w:r>
              <w:t xml:space="preserve">4.9</w:t>
            </w:r>
          </w:p>
        </w:tc>
        <w:tc>
          <w:p>
            <w:pPr>
              <w:pStyle w:val="Compact"/>
              <w:jc w:val="center"/>
            </w:pPr>
            <w:r>
              <w:t xml:space="preserve">32.5</w:t>
            </w:r>
          </w:p>
        </w:tc>
      </w:tr>
      <w:tr>
        <w:tc>
          <w:p>
            <w:pPr>
              <w:pStyle w:val="Compact"/>
              <w:jc w:val="center"/>
            </w:pPr>
            <w:r>
              <w:t xml:space="preserve">Unid. Sex</w:t>
            </w:r>
          </w:p>
        </w:tc>
        <w:tc>
          <w:p>
            <w:pPr>
              <w:pStyle w:val="Compact"/>
              <w:jc w:val="center"/>
            </w:pPr>
            <w:r>
              <w:t xml:space="preserve">7,348</w:t>
            </w:r>
          </w:p>
        </w:tc>
        <w:tc>
          <w:p>
            <w:pPr>
              <w:pStyle w:val="Compact"/>
              <w:jc w:val="center"/>
            </w:pPr>
            <w:r>
              <w:t xml:space="preserve">49.2</w:t>
            </w:r>
          </w:p>
        </w:tc>
        <w:tc>
          <w:p>
            <w:pPr>
              <w:pStyle w:val="Compact"/>
              <w:jc w:val="center"/>
            </w:pPr>
            <w:r>
              <w:t xml:space="preserve">38.3</w:t>
            </w:r>
          </w:p>
        </w:tc>
        <w:tc>
          <w:p>
            <w:pPr>
              <w:pStyle w:val="Compact"/>
              <w:jc w:val="center"/>
            </w:pPr>
            <w:r>
              <w:t xml:space="preserve">6.5</w:t>
            </w:r>
          </w:p>
        </w:tc>
        <w:tc>
          <w:p>
            <w:pPr>
              <w:pStyle w:val="Compact"/>
              <w:jc w:val="center"/>
            </w:pPr>
            <w:r>
              <w:t xml:space="preserve">55.2</w:t>
            </w:r>
          </w:p>
        </w:tc>
        <w:tc>
          <w:p>
            <w:pPr>
              <w:pStyle w:val="Compact"/>
              <w:jc w:val="center"/>
            </w:pPr>
            <w:r>
              <w:t xml:space="preserve">5.0</w:t>
            </w:r>
          </w:p>
        </w:tc>
        <w:tc>
          <w:p>
            <w:pPr>
              <w:pStyle w:val="Compact"/>
              <w:jc w:val="center"/>
            </w:pPr>
            <w:r>
              <w:t xml:space="preserve">34.7</w:t>
            </w:r>
          </w:p>
        </w:tc>
        <w:tc>
          <w:p>
            <w:pPr>
              <w:pStyle w:val="Compact"/>
              <w:jc w:val="center"/>
            </w:pPr>
            <w:r>
              <w:t xml:space="preserve">19.4</w:t>
            </w:r>
          </w:p>
        </w:tc>
        <w:tc>
          <w:p>
            <w:pPr>
              <w:pStyle w:val="Compact"/>
              <w:jc w:val="center"/>
            </w:pPr>
            <w:r>
              <w:t xml:space="preserve">3.3</w:t>
            </w:r>
          </w:p>
        </w:tc>
        <w:tc>
          <w:p>
            <w:pPr>
              <w:pStyle w:val="Compact"/>
              <w:jc w:val="center"/>
            </w:pPr>
            <w:r>
              <w:t xml:space="preserve">42.5</w:t>
            </w:r>
          </w:p>
        </w:tc>
      </w:tr>
      <w:tr>
        <w:tc>
          <w:p>
            <w:pPr>
              <w:pStyle w:val="Compact"/>
              <w:jc w:val="center"/>
            </w:pPr>
            <w:r>
              <w:t xml:space="preserve">Pup</w:t>
            </w:r>
          </w:p>
        </w:tc>
        <w:tc>
          <w:p>
            <w:pPr>
              <w:pStyle w:val="Compact"/>
              <w:jc w:val="center"/>
            </w:pPr>
            <w:r>
              <w:t xml:space="preserve">4,242</w:t>
            </w:r>
          </w:p>
        </w:tc>
        <w:tc>
          <w:p>
            <w:pPr>
              <w:pStyle w:val="Compact"/>
              <w:jc w:val="center"/>
            </w:pPr>
            <w:r>
              <w:t xml:space="preserve">28.0</w:t>
            </w:r>
          </w:p>
        </w:tc>
        <w:tc>
          <w:p>
            <w:pPr>
              <w:pStyle w:val="Compact"/>
              <w:jc w:val="center"/>
            </w:pPr>
            <w:r>
              <w:t xml:space="preserve">15.7</w:t>
            </w:r>
          </w:p>
        </w:tc>
        <w:tc>
          <w:p>
            <w:pPr>
              <w:pStyle w:val="Compact"/>
              <w:jc w:val="center"/>
            </w:pPr>
            <w:r>
              <w:t xml:space="preserve">4.6</w:t>
            </w:r>
          </w:p>
        </w:tc>
        <w:tc>
          <w:p>
            <w:pPr>
              <w:pStyle w:val="Compact"/>
              <w:jc w:val="center"/>
            </w:pPr>
            <w:r>
              <w:t xml:space="preserve">79.8</w:t>
            </w:r>
          </w:p>
        </w:tc>
        <w:tc>
          <w:p>
            <w:pPr>
              <w:pStyle w:val="Compact"/>
              <w:jc w:val="center"/>
            </w:pPr>
            <w:r>
              <w:t xml:space="preserve">10.8</w:t>
            </w:r>
          </w:p>
        </w:tc>
        <w:tc>
          <w:p>
            <w:pPr>
              <w:pStyle w:val="Compact"/>
              <w:jc w:val="center"/>
            </w:pPr>
            <w:r>
              <w:t xml:space="preserve">17.5</w:t>
            </w:r>
          </w:p>
        </w:tc>
        <w:tc>
          <w:p>
            <w:pPr>
              <w:pStyle w:val="Compact"/>
              <w:jc w:val="center"/>
            </w:pPr>
            <w:r>
              <w:t xml:space="preserve">4.2</w:t>
            </w:r>
          </w:p>
        </w:tc>
        <w:tc>
          <w:p>
            <w:pPr>
              <w:pStyle w:val="Compact"/>
              <w:jc w:val="center"/>
            </w:pPr>
            <w:r>
              <w:t xml:space="preserve">6.8</w:t>
            </w:r>
          </w:p>
        </w:tc>
        <w:tc>
          <w:p>
            <w:pPr>
              <w:pStyle w:val="Compact"/>
              <w:jc w:val="center"/>
            </w:pPr>
            <w:r>
              <w:t xml:space="preserve">71.6</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7.0</w:t>
            </w:r>
          </w:p>
        </w:tc>
        <w:tc>
          <w:p>
            <w:pPr>
              <w:pStyle w:val="Compact"/>
              <w:jc w:val="center"/>
            </w:pPr>
            <w:r>
              <w:t xml:space="preserve">58.6</w:t>
            </w:r>
          </w:p>
        </w:tc>
        <w:tc>
          <w:p>
            <w:pPr>
              <w:pStyle w:val="Compact"/>
              <w:jc w:val="center"/>
            </w:pPr>
            <w:r>
              <w:t xml:space="preserve">11.5</w:t>
            </w:r>
          </w:p>
        </w:tc>
        <w:tc>
          <w:p>
            <w:pPr>
              <w:pStyle w:val="Compact"/>
              <w:jc w:val="center"/>
            </w:pPr>
            <w:r>
              <w:t xml:space="preserve">29.9</w:t>
            </w:r>
          </w:p>
        </w:tc>
        <w:tc>
          <w:p>
            <w:pPr>
              <w:pStyle w:val="Compact"/>
              <w:jc w:val="center"/>
            </w:pPr>
            <w:r>
              <w:t xml:space="preserve">8.2</w:t>
            </w:r>
          </w:p>
        </w:tc>
        <w:tc>
          <w:p>
            <w:pPr>
              <w:pStyle w:val="Compact"/>
              <w:jc w:val="center"/>
            </w:pPr>
            <w:r>
              <w:t xml:space="preserve">38.8</w:t>
            </w:r>
          </w:p>
        </w:tc>
        <w:tc>
          <w:p>
            <w:pPr>
              <w:pStyle w:val="Compact"/>
              <w:jc w:val="center"/>
            </w:pPr>
            <w:r>
              <w:t xml:space="preserve">21.2</w:t>
            </w:r>
          </w:p>
        </w:tc>
        <w:tc>
          <w:p>
            <w:pPr>
              <w:pStyle w:val="Compact"/>
              <w:jc w:val="center"/>
            </w:pPr>
            <w:r>
              <w:t xml:space="preserve">5.0</w:t>
            </w:r>
          </w:p>
        </w:tc>
        <w:tc>
          <w:p>
            <w:pPr>
              <w:pStyle w:val="Compact"/>
              <w:jc w:val="center"/>
            </w:pPr>
            <w:r>
              <w:t xml:space="preserve">35.0</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6.0</w:t>
            </w:r>
          </w:p>
        </w:tc>
        <w:tc>
          <w:p>
            <w:pPr>
              <w:pStyle w:val="Compact"/>
              <w:jc w:val="center"/>
            </w:pPr>
            <w:r>
              <w:t xml:space="preserve">53.7</w:t>
            </w:r>
          </w:p>
        </w:tc>
        <w:tc>
          <w:p>
            <w:pPr>
              <w:pStyle w:val="Compact"/>
              <w:jc w:val="center"/>
            </w:pPr>
            <w:r>
              <w:t xml:space="preserve">17.7</w:t>
            </w:r>
          </w:p>
        </w:tc>
        <w:tc>
          <w:p>
            <w:pPr>
              <w:pStyle w:val="Compact"/>
              <w:jc w:val="center"/>
            </w:pPr>
            <w:r>
              <w:t xml:space="preserve">28.6</w:t>
            </w:r>
          </w:p>
        </w:tc>
        <w:tc>
          <w:p>
            <w:pPr>
              <w:pStyle w:val="Compact"/>
              <w:jc w:val="center"/>
            </w:pPr>
            <w:r>
              <w:t xml:space="preserve">15.9</w:t>
            </w:r>
          </w:p>
        </w:tc>
        <w:tc>
          <w:p>
            <w:pPr>
              <w:pStyle w:val="Compact"/>
              <w:jc w:val="center"/>
            </w:pPr>
            <w:r>
              <w:t xml:space="preserve">20.9</w:t>
            </w:r>
          </w:p>
        </w:tc>
        <w:tc>
          <w:p>
            <w:pPr>
              <w:pStyle w:val="Compact"/>
              <w:jc w:val="center"/>
            </w:pPr>
            <w:r>
              <w:t xml:space="preserve">51.4</w:t>
            </w:r>
          </w:p>
        </w:tc>
        <w:tc>
          <w:p>
            <w:pPr>
              <w:pStyle w:val="Compact"/>
              <w:jc w:val="center"/>
            </w:pPr>
            <w:r>
              <w:t xml:space="preserve">4.7</w:t>
            </w:r>
          </w:p>
        </w:tc>
        <w:tc>
          <w:p>
            <w:pPr>
              <w:pStyle w:val="Compact"/>
              <w:jc w:val="center"/>
            </w:pPr>
            <w:r>
              <w:t xml:space="preserve">23.0</w:t>
            </w:r>
          </w:p>
        </w:tc>
      </w:tr>
      <w:tr>
        <w:tc>
          <w:p>
            <w:pPr>
              <w:pStyle w:val="Compact"/>
              <w:jc w:val="center"/>
            </w:pPr>
            <w:r>
              <w:t xml:space="preserve">Adult</w:t>
            </w:r>
          </w:p>
        </w:tc>
        <w:tc>
          <w:p>
            <w:pPr>
              <w:pStyle w:val="Compact"/>
              <w:jc w:val="center"/>
            </w:pPr>
            <w:r>
              <w:t xml:space="preserve">3,444</w:t>
            </w:r>
          </w:p>
        </w:tc>
        <w:tc>
          <w:p>
            <w:pPr>
              <w:pStyle w:val="Compact"/>
              <w:jc w:val="center"/>
            </w:pPr>
            <w:r>
              <w:t xml:space="preserve">23.0</w:t>
            </w:r>
          </w:p>
        </w:tc>
        <w:tc>
          <w:p>
            <w:pPr>
              <w:pStyle w:val="Compact"/>
              <w:jc w:val="center"/>
            </w:pPr>
            <w:r>
              <w:t xml:space="preserve">52.6</w:t>
            </w:r>
          </w:p>
        </w:tc>
        <w:tc>
          <w:p>
            <w:pPr>
              <w:pStyle w:val="Compact"/>
              <w:jc w:val="center"/>
            </w:pPr>
            <w:r>
              <w:t xml:space="preserve">14.1</w:t>
            </w:r>
          </w:p>
        </w:tc>
        <w:tc>
          <w:p>
            <w:pPr>
              <w:pStyle w:val="Compact"/>
              <w:jc w:val="center"/>
            </w:pPr>
            <w:r>
              <w:t xml:space="preserve">33.3</w:t>
            </w:r>
          </w:p>
        </w:tc>
        <w:tc>
          <w:p>
            <w:pPr>
              <w:pStyle w:val="Compact"/>
              <w:jc w:val="center"/>
            </w:pPr>
            <w:r>
              <w:t xml:space="preserve">16.8</w:t>
            </w:r>
          </w:p>
        </w:tc>
        <w:tc>
          <w:p>
            <w:pPr>
              <w:pStyle w:val="Compact"/>
              <w:jc w:val="center"/>
            </w:pPr>
            <w:r>
              <w:t xml:space="preserve">16.4</w:t>
            </w:r>
          </w:p>
        </w:tc>
        <w:tc>
          <w:p>
            <w:pPr>
              <w:pStyle w:val="Compact"/>
              <w:jc w:val="center"/>
            </w:pPr>
            <w:r>
              <w:t xml:space="preserve">57.9</w:t>
            </w:r>
          </w:p>
        </w:tc>
        <w:tc>
          <w:p>
            <w:pPr>
              <w:pStyle w:val="Compact"/>
              <w:jc w:val="center"/>
            </w:pPr>
            <w:r>
              <w:t xml:space="preserve">4.7</w:t>
            </w:r>
          </w:p>
        </w:tc>
        <w:tc>
          <w:p>
            <w:pPr>
              <w:pStyle w:val="Compact"/>
              <w:jc w:val="center"/>
            </w:pPr>
            <w:r>
              <w:t xml:space="preserve">20.9</w:t>
            </w:r>
          </w:p>
        </w:tc>
      </w:tr>
      <w:tr>
        <w:tc>
          <w:p>
            <w:pPr>
              <w:pStyle w:val="Compact"/>
              <w:jc w:val="center"/>
            </w:pPr>
            <w:r>
              <w:t xml:space="preserve">Unid. Age</w:t>
            </w:r>
          </w:p>
        </w:tc>
        <w:tc>
          <w:p>
            <w:pPr>
              <w:pStyle w:val="Compact"/>
              <w:jc w:val="center"/>
            </w:pPr>
            <w:r>
              <w:t xml:space="preserve">5,319</w:t>
            </w:r>
          </w:p>
        </w:tc>
        <w:tc>
          <w:p>
            <w:pPr>
              <w:pStyle w:val="Compact"/>
              <w:jc w:val="center"/>
            </w:pPr>
            <w:r>
              <w:t xml:space="preserve">36.0</w:t>
            </w:r>
          </w:p>
        </w:tc>
        <w:tc>
          <w:p>
            <w:pPr>
              <w:pStyle w:val="Compact"/>
              <w:jc w:val="center"/>
            </w:pPr>
            <w:r>
              <w:t xml:space="preserve">36.1</w:t>
            </w:r>
          </w:p>
        </w:tc>
        <w:tc>
          <w:p>
            <w:pPr>
              <w:pStyle w:val="Compact"/>
              <w:jc w:val="center"/>
            </w:pPr>
            <w:r>
              <w:t xml:space="preserve">6.9</w:t>
            </w:r>
          </w:p>
        </w:tc>
        <w:tc>
          <w:p>
            <w:pPr>
              <w:pStyle w:val="Compact"/>
              <w:jc w:val="center"/>
            </w:pPr>
            <w:r>
              <w:t xml:space="preserve">57.0</w:t>
            </w:r>
          </w:p>
        </w:tc>
        <w:tc>
          <w:p>
            <w:pPr>
              <w:pStyle w:val="Compact"/>
              <w:jc w:val="center"/>
            </w:pPr>
            <w:r>
              <w:t xml:space="preserve">6.7</w:t>
            </w:r>
          </w:p>
        </w:tc>
        <w:tc>
          <w:p>
            <w:pPr>
              <w:pStyle w:val="Compact"/>
              <w:jc w:val="center"/>
            </w:pPr>
            <w:r>
              <w:t xml:space="preserve">26.7</w:t>
            </w:r>
          </w:p>
        </w:tc>
        <w:tc>
          <w:p>
            <w:pPr>
              <w:pStyle w:val="Compact"/>
              <w:jc w:val="center"/>
            </w:pPr>
            <w:r>
              <w:t xml:space="preserve">40.9</w:t>
            </w:r>
          </w:p>
        </w:tc>
        <w:tc>
          <w:p>
            <w:pPr>
              <w:pStyle w:val="Compact"/>
              <w:jc w:val="center"/>
            </w:pPr>
            <w:r>
              <w:t xml:space="preserve">2.0</w:t>
            </w:r>
          </w:p>
        </w:tc>
        <w:tc>
          <w:p>
            <w:pPr>
              <w:pStyle w:val="Compact"/>
              <w:jc w:val="center"/>
            </w:pPr>
            <w:r>
              <w:t xml:space="preserve">30.4</w:t>
            </w:r>
          </w:p>
        </w:tc>
      </w:tr>
    </w:tbl>
    <w:p>
      <w:pPr>
        <w:pStyle w:val="BodyText"/>
      </w:pPr>
      <w:r>
        <w:t xml:space="preserve">Table 2: Age and sex composition and weighted averages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r>
        <w:tc>
          <w:p>
            <w:pPr>
              <w:pStyle w:val="Compact"/>
              <w:jc w:val="center"/>
            </w:pPr>
            <w:r>
              <w:t xml:space="preserve">Average</w:t>
            </w:r>
          </w:p>
        </w:tc>
        <w:tc>
          <w:p>
            <w:pPr>
              <w:pStyle w:val="Compact"/>
              <w:jc w:val="center"/>
            </w:pPr>
            <w:r>
              <w:t xml:space="preserve">--</w:t>
            </w:r>
          </w:p>
        </w:tc>
        <w:tc>
          <w:p>
            <w:pPr>
              <w:pStyle w:val="Compact"/>
              <w:jc w:val="center"/>
            </w:pPr>
            <w:r>
              <w:t xml:space="preserve">17.2</w:t>
            </w:r>
          </w:p>
        </w:tc>
        <w:tc>
          <w:p>
            <w:pPr>
              <w:pStyle w:val="Compact"/>
              <w:jc w:val="center"/>
            </w:pPr>
            <w:r>
              <w:t xml:space="preserve">33.6</w:t>
            </w:r>
          </w:p>
        </w:tc>
        <w:tc>
          <w:p>
            <w:pPr>
              <w:pStyle w:val="Compact"/>
              <w:jc w:val="center"/>
            </w:pPr>
            <w:r>
              <w:t xml:space="preserve">49.2</w:t>
            </w:r>
          </w:p>
        </w:tc>
        <w:tc>
          <w:p>
            <w:pPr>
              <w:pStyle w:val="Compact"/>
              <w:jc w:val="center"/>
            </w:pPr>
            <w:r>
              <w:t xml:space="preserve">28.4</w:t>
            </w:r>
          </w:p>
        </w:tc>
        <w:tc>
          <w:p>
            <w:pPr>
              <w:pStyle w:val="Compact"/>
              <w:jc w:val="center"/>
            </w:pPr>
            <w:r>
              <w:t xml:space="preserve">6.7</w:t>
            </w:r>
          </w:p>
        </w:tc>
        <w:tc>
          <w:p>
            <w:pPr>
              <w:pStyle w:val="Compact"/>
              <w:jc w:val="center"/>
            </w:pPr>
            <w:r>
              <w:t xml:space="preserve">6.3</w:t>
            </w:r>
          </w:p>
        </w:tc>
        <w:tc>
          <w:p>
            <w:pPr>
              <w:pStyle w:val="Compact"/>
              <w:jc w:val="center"/>
            </w:pPr>
            <w:r>
              <w:t xml:space="preserve">23.1</w:t>
            </w:r>
          </w:p>
        </w:tc>
        <w:tc>
          <w:p>
            <w:pPr>
              <w:pStyle w:val="Compact"/>
              <w:jc w:val="center"/>
            </w:pPr>
            <w:r>
              <w:t xml:space="preserve">35.6</w:t>
            </w:r>
          </w:p>
        </w:tc>
      </w:tr>
    </w:tbl>
    <w:p>
      <w:pPr>
        <w:pStyle w:val="BodyText"/>
      </w:pPr>
      <w:r>
        <w:t xml:space="preserve">Table 3: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18.9</w:t>
            </w:r>
          </w:p>
        </w:tc>
        <w:tc>
          <w:p>
            <w:pPr>
              <w:pStyle w:val="Compact"/>
              <w:jc w:val="center"/>
            </w:pPr>
            <w:r>
              <w:t xml:space="preserve">69.2</w:t>
            </w:r>
          </w:p>
        </w:tc>
        <w:tc>
          <w:p>
            <w:pPr>
              <w:pStyle w:val="Compact"/>
              <w:jc w:val="center"/>
            </w:pPr>
            <w:r>
              <w:t xml:space="preserve">11.1</w:t>
            </w:r>
          </w:p>
        </w:tc>
        <w:tc>
          <w:p>
            <w:pPr>
              <w:pStyle w:val="Compact"/>
              <w:jc w:val="center"/>
            </w:pPr>
            <w:r>
              <w:t xml:space="preserve">19.7</w:t>
            </w:r>
          </w:p>
        </w:tc>
        <w:tc>
          <w:p>
            <w:pPr>
              <w:pStyle w:val="Compact"/>
              <w:jc w:val="center"/>
            </w:pPr>
            <w:r>
              <w:t xml:space="preserve">15.2</w:t>
            </w:r>
          </w:p>
        </w:tc>
        <w:tc>
          <w:p>
            <w:pPr>
              <w:pStyle w:val="Compact"/>
              <w:jc w:val="center"/>
            </w:pPr>
            <w:r>
              <w:t xml:space="preserve">18.3</w:t>
            </w:r>
          </w:p>
        </w:tc>
        <w:tc>
          <w:p>
            <w:pPr>
              <w:pStyle w:val="Compact"/>
              <w:jc w:val="center"/>
            </w:pPr>
            <w:r>
              <w:t xml:space="preserve">58.5</w:t>
            </w:r>
          </w:p>
        </w:tc>
        <w:tc>
          <w:p>
            <w:pPr>
              <w:pStyle w:val="Compact"/>
              <w:jc w:val="center"/>
            </w:pPr>
            <w:r>
              <w:t xml:space="preserve">3.5</w:t>
            </w:r>
          </w:p>
        </w:tc>
        <w:tc>
          <w:p>
            <w:pPr>
              <w:pStyle w:val="Compact"/>
              <w:jc w:val="center"/>
            </w:pPr>
            <w:r>
              <w:t xml:space="preserve">19.7</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1.1</w:t>
            </w:r>
          </w:p>
        </w:tc>
        <w:tc>
          <w:p>
            <w:pPr>
              <w:pStyle w:val="Compact"/>
              <w:jc w:val="center"/>
            </w:pPr>
            <w:r>
              <w:t xml:space="preserve">60.6</w:t>
            </w:r>
          </w:p>
        </w:tc>
        <w:tc>
          <w:p>
            <w:pPr>
              <w:pStyle w:val="Compact"/>
              <w:jc w:val="center"/>
            </w:pPr>
            <w:r>
              <w:t xml:space="preserve">33.9</w:t>
            </w:r>
          </w:p>
        </w:tc>
        <w:tc>
          <w:p>
            <w:pPr>
              <w:pStyle w:val="Compact"/>
              <w:jc w:val="center"/>
            </w:pPr>
            <w:r>
              <w:t xml:space="preserve">5.5</w:t>
            </w:r>
          </w:p>
        </w:tc>
        <w:tc>
          <w:p>
            <w:pPr>
              <w:pStyle w:val="Compact"/>
              <w:jc w:val="center"/>
            </w:pPr>
            <w:r>
              <w:t xml:space="preserve">13.9</w:t>
            </w:r>
          </w:p>
        </w:tc>
        <w:tc>
          <w:p>
            <w:pPr>
              <w:pStyle w:val="Compact"/>
              <w:jc w:val="center"/>
            </w:pPr>
            <w:r>
              <w:t xml:space="preserve">65.2</w:t>
            </w:r>
          </w:p>
        </w:tc>
        <w:tc>
          <w:p>
            <w:pPr>
              <w:pStyle w:val="Compact"/>
              <w:jc w:val="center"/>
            </w:pPr>
            <w:r>
              <w:t xml:space="preserve">4.3</w:t>
            </w:r>
          </w:p>
        </w:tc>
        <w:tc>
          <w:p>
            <w:pPr>
              <w:pStyle w:val="Compact"/>
              <w:jc w:val="center"/>
            </w:pPr>
            <w:r>
              <w:t xml:space="preserve">0.0</w:t>
            </w:r>
          </w:p>
        </w:tc>
        <w:tc>
          <w:p>
            <w:pPr>
              <w:pStyle w:val="Compact"/>
              <w:jc w:val="center"/>
            </w:pPr>
            <w:r>
              <w:t xml:space="preserve">30.4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58.4</w:t>
            </w:r>
          </w:p>
        </w:tc>
        <w:tc>
          <w:p>
            <w:pPr>
              <w:pStyle w:val="Compact"/>
              <w:jc w:val="center"/>
            </w:pPr>
            <w:r>
              <w:t xml:space="preserve">15.3</w:t>
            </w:r>
          </w:p>
        </w:tc>
        <w:tc>
          <w:p>
            <w:pPr>
              <w:pStyle w:val="Compact"/>
              <w:jc w:val="center"/>
            </w:pPr>
            <w:r>
              <w:t xml:space="preserve">6.8</w:t>
            </w:r>
          </w:p>
        </w:tc>
        <w:tc>
          <w:p>
            <w:pPr>
              <w:pStyle w:val="Compact"/>
              <w:jc w:val="center"/>
            </w:pPr>
            <w:r>
              <w:t xml:space="preserve">77.9</w:t>
            </w:r>
          </w:p>
        </w:tc>
        <w:tc>
          <w:p>
            <w:pPr>
              <w:pStyle w:val="Compact"/>
              <w:jc w:val="center"/>
            </w:pPr>
            <w:r>
              <w:t xml:space="preserve">9.9</w:t>
            </w:r>
          </w:p>
        </w:tc>
        <w:tc>
          <w:p>
            <w:pPr>
              <w:pStyle w:val="Compact"/>
              <w:jc w:val="center"/>
            </w:pPr>
            <w:r>
              <w:t xml:space="preserve">18.7</w:t>
            </w:r>
          </w:p>
        </w:tc>
        <w:tc>
          <w:p>
            <w:pPr>
              <w:pStyle w:val="Compact"/>
              <w:jc w:val="center"/>
            </w:pPr>
            <w:r>
              <w:t xml:space="preserve">20.7</w:t>
            </w:r>
          </w:p>
        </w:tc>
        <w:tc>
          <w:p>
            <w:pPr>
              <w:pStyle w:val="Compact"/>
              <w:jc w:val="center"/>
            </w:pPr>
            <w:r>
              <w:t xml:space="preserve">6.0</w:t>
            </w:r>
          </w:p>
        </w:tc>
        <w:tc>
          <w:p>
            <w:pPr>
              <w:pStyle w:val="Compact"/>
              <w:jc w:val="center"/>
            </w:pPr>
            <w:r>
              <w:t xml:space="preserve">54.5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66.3</w:t>
            </w:r>
          </w:p>
        </w:tc>
        <w:tc>
          <w:p>
            <w:pPr>
              <w:pStyle w:val="Compact"/>
              <w:jc w:val="center"/>
            </w:pPr>
            <w:r>
              <w:t xml:space="preserve">16.3</w:t>
            </w:r>
          </w:p>
        </w:tc>
        <w:tc>
          <w:p>
            <w:pPr>
              <w:pStyle w:val="Compact"/>
              <w:jc w:val="center"/>
            </w:pPr>
            <w:r>
              <w:t xml:space="preserve">17.4</w:t>
            </w:r>
          </w:p>
        </w:tc>
        <w:tc>
          <w:p>
            <w:pPr>
              <w:pStyle w:val="Compact"/>
              <w:jc w:val="center"/>
            </w:pPr>
            <w:r>
              <w:t xml:space="preserve">8.1</w:t>
            </w:r>
          </w:p>
        </w:tc>
        <w:tc>
          <w:p>
            <w:pPr>
              <w:pStyle w:val="Compact"/>
              <w:jc w:val="center"/>
            </w:pPr>
            <w:r>
              <w:t xml:space="preserve">11.1</w:t>
            </w:r>
          </w:p>
        </w:tc>
        <w:tc>
          <w:p>
            <w:pPr>
              <w:pStyle w:val="Compact"/>
              <w:jc w:val="center"/>
            </w:pPr>
            <w:r>
              <w:t xml:space="preserve">33.3</w:t>
            </w:r>
          </w:p>
        </w:tc>
        <w:tc>
          <w:p>
            <w:pPr>
              <w:pStyle w:val="Compact"/>
              <w:jc w:val="center"/>
            </w:pPr>
            <w:r>
              <w:t xml:space="preserve">11.1</w:t>
            </w:r>
          </w:p>
        </w:tc>
        <w:tc>
          <w:p>
            <w:pPr>
              <w:pStyle w:val="Compact"/>
              <w:jc w:val="center"/>
            </w:pPr>
            <w:r>
              <w:t xml:space="preserve">44.4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0.8</w:t>
            </w:r>
          </w:p>
        </w:tc>
        <w:tc>
          <w:p>
            <w:pPr>
              <w:pStyle w:val="Compact"/>
              <w:jc w:val="center"/>
            </w:pPr>
            <w:r>
              <w:t xml:space="preserve">60.7</w:t>
            </w:r>
          </w:p>
        </w:tc>
        <w:tc>
          <w:p>
            <w:pPr>
              <w:pStyle w:val="Compact"/>
              <w:jc w:val="center"/>
            </w:pPr>
            <w:r>
              <w:t xml:space="preserve">24.6</w:t>
            </w:r>
          </w:p>
        </w:tc>
        <w:tc>
          <w:p>
            <w:pPr>
              <w:pStyle w:val="Compact"/>
              <w:jc w:val="center"/>
            </w:pPr>
            <w:r>
              <w:t xml:space="preserve">14.8</w:t>
            </w:r>
          </w:p>
        </w:tc>
        <w:tc>
          <w:p>
            <w:pPr>
              <w:pStyle w:val="Compact"/>
              <w:jc w:val="center"/>
            </w:pPr>
            <w:r>
              <w:t xml:space="preserve">24.6</w:t>
            </w:r>
          </w:p>
        </w:tc>
        <w:tc>
          <w:p>
            <w:pPr>
              <w:pStyle w:val="Compact"/>
              <w:jc w:val="center"/>
            </w:pPr>
            <w:r>
              <w:t xml:space="preserve">75.0</w:t>
            </w:r>
          </w:p>
        </w:tc>
        <w:tc>
          <w:p>
            <w:pPr>
              <w:pStyle w:val="Compact"/>
              <w:jc w:val="center"/>
            </w:pPr>
            <w:r>
              <w:t xml:space="preserve">3.6</w:t>
            </w:r>
          </w:p>
        </w:tc>
        <w:tc>
          <w:p>
            <w:pPr>
              <w:pStyle w:val="Compact"/>
              <w:jc w:val="center"/>
            </w:pPr>
            <w:r>
              <w:t xml:space="preserve">0.0</w:t>
            </w:r>
          </w:p>
        </w:tc>
        <w:tc>
          <w:p>
            <w:pPr>
              <w:pStyle w:val="Compact"/>
              <w:jc w:val="center"/>
            </w:pPr>
            <w:r>
              <w:t xml:space="preserve">21.4</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67.3</w:t>
            </w:r>
          </w:p>
        </w:tc>
        <w:tc>
          <w:p>
            <w:pPr>
              <w:pStyle w:val="Compact"/>
              <w:jc w:val="center"/>
            </w:pPr>
            <w:r>
              <w:t xml:space="preserve">16.8</w:t>
            </w:r>
          </w:p>
        </w:tc>
        <w:tc>
          <w:p>
            <w:pPr>
              <w:pStyle w:val="Compact"/>
              <w:jc w:val="center"/>
            </w:pPr>
            <w:r>
              <w:t xml:space="preserve">15.9</w:t>
            </w:r>
          </w:p>
        </w:tc>
        <w:tc>
          <w:p>
            <w:pPr>
              <w:pStyle w:val="Compact"/>
              <w:jc w:val="center"/>
            </w:pPr>
            <w:r>
              <w:t xml:space="preserve">17.5</w:t>
            </w:r>
          </w:p>
        </w:tc>
        <w:tc>
          <w:p>
            <w:pPr>
              <w:pStyle w:val="Compact"/>
              <w:jc w:val="center"/>
            </w:pPr>
            <w:r>
              <w:t xml:space="preserve">15.7</w:t>
            </w:r>
          </w:p>
        </w:tc>
        <w:tc>
          <w:p>
            <w:pPr>
              <w:pStyle w:val="Compact"/>
              <w:jc w:val="center"/>
            </w:pPr>
            <w:r>
              <w:t xml:space="preserve">74.2</w:t>
            </w:r>
          </w:p>
        </w:tc>
        <w:tc>
          <w:p>
            <w:pPr>
              <w:pStyle w:val="Compact"/>
              <w:jc w:val="center"/>
            </w:pPr>
            <w:r>
              <w:t xml:space="preserve">1.7</w:t>
            </w:r>
          </w:p>
        </w:tc>
        <w:tc>
          <w:p>
            <w:pPr>
              <w:pStyle w:val="Compact"/>
              <w:jc w:val="center"/>
            </w:pPr>
            <w:r>
              <w:t xml:space="preserve">8.4</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36.7</w:t>
            </w:r>
          </w:p>
        </w:tc>
        <w:tc>
          <w:p>
            <w:pPr>
              <w:pStyle w:val="Compact"/>
              <w:jc w:val="center"/>
            </w:pPr>
            <w:r>
              <w:t xml:space="preserve">8.9</w:t>
            </w:r>
          </w:p>
        </w:tc>
        <w:tc>
          <w:p>
            <w:pPr>
              <w:pStyle w:val="Compact"/>
              <w:jc w:val="center"/>
            </w:pPr>
            <w:r>
              <w:t xml:space="preserve">54.4</w:t>
            </w:r>
          </w:p>
        </w:tc>
        <w:tc>
          <w:p>
            <w:pPr>
              <w:pStyle w:val="Compact"/>
              <w:jc w:val="center"/>
            </w:pPr>
            <w:r>
              <w:t xml:space="preserve">10.9</w:t>
            </w:r>
          </w:p>
        </w:tc>
        <w:tc>
          <w:p>
            <w:pPr>
              <w:pStyle w:val="Compact"/>
              <w:jc w:val="center"/>
            </w:pPr>
            <w:r>
              <w:t xml:space="preserve">20.5</w:t>
            </w:r>
          </w:p>
        </w:tc>
        <w:tc>
          <w:p>
            <w:pPr>
              <w:pStyle w:val="Compact"/>
              <w:jc w:val="center"/>
            </w:pPr>
            <w:r>
              <w:t xml:space="preserve">37.1</w:t>
            </w:r>
          </w:p>
        </w:tc>
        <w:tc>
          <w:p>
            <w:pPr>
              <w:pStyle w:val="Compact"/>
              <w:jc w:val="center"/>
            </w:pPr>
            <w:r>
              <w:t xml:space="preserve">4.7</w:t>
            </w:r>
          </w:p>
        </w:tc>
        <w:tc>
          <w:p>
            <w:pPr>
              <w:pStyle w:val="Compact"/>
              <w:jc w:val="center"/>
            </w:pPr>
            <w:r>
              <w:t xml:space="preserve">37.7</w:t>
            </w:r>
          </w:p>
        </w:tc>
      </w:tr>
    </w:tbl>
    <w:p>
      <w:pPr>
        <w:pStyle w:val="BodyText"/>
      </w:pPr>
      <w:r>
        <w:rPr>
          <w:b/>
        </w:rPr>
        <w:t xml:space="preserve">Supplemental Information</w:t>
      </w:r>
    </w:p>
    <w:p>
      <w:pPr>
        <w:pStyle w:val="BodyText"/>
      </w:pPr>
      <w:r>
        <w:t xml:space="preserve">Table 4: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5: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Niño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w:t>
      </w:r>
      <w:r>
        <w:rPr>
          <w:i/>
        </w:rPr>
        <w:t xml:space="preserve">Zalophus californianus</w:t>
      </w:r>
      <w:r>
        <w:t xml:space="preserve">)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3">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 (</w:t>
      </w:r>
      <w:r>
        <w:rPr>
          <w:i/>
        </w:rPr>
        <w:t xml:space="preserve">Phocoena phocoena</w:t>
      </w:r>
      <w:r>
        <w:t xml:space="preserve">) 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602016" w:rsidSect="00A31449">
      <w:headerReference w:type="default" r:id="rId8"/>
      <w:footerReference w:type="even" r:id="rId9"/>
      <w:footerReference w:type="default" r:id="rId10"/>
      <w:footerReference w:type="first" r:id="rId11"/>
      <w:pgSz w:w="12240" w:h="15840"/>
      <w:pgMar w:top="1440" w:right="1800" w:bottom="1440" w:left="1800" w:header="720" w:footer="720" w:gutter="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E2D1E" w14:textId="77777777" w:rsidR="00A81215" w:rsidRDefault="00A81215" w:rsidP="00995C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4EA84E" w14:textId="77777777" w:rsidR="00A81215" w:rsidRDefault="00A812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599E9" w14:textId="77777777" w:rsidR="00A81215" w:rsidRDefault="00A81215" w:rsidP="00995C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DEF8FBA" w14:textId="77777777" w:rsidR="00A81215" w:rsidRDefault="00A8121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437D" w14:textId="77777777" w:rsidR="00A81215" w:rsidRDefault="00A81215" w:rsidP="00A812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510D145" w14:textId="2608955E" w:rsidR="00A81215" w:rsidRDefault="00A81215" w:rsidP="00A8121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hyperlink r:id="rId23">
        <w:r>
          <w:rPr>
            <w:rStyle w:val="Hyperlink"/>
          </w:rPr>
          <w:t xml:space="preserve">http://www.nmfs.noaa.gov/pr/health/prescott/</w:t>
        </w:r>
      </w:hyperlink>
      <w:r>
        <w:t xml:space="preserve"> </w:t>
      </w:r>
      <w:r>
        <w:t xml:space="preserve">for more information.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72436" w14:textId="7BC68286" w:rsidR="00A31449" w:rsidRPr="00A31449" w:rsidRDefault="00A31449" w:rsidP="00A31449">
    <w:pPr>
      <w:pStyle w:val="Header"/>
      <w:jc w:val="center"/>
      <w:rPr>
        <w:i/>
      </w:rPr>
    </w:pPr>
    <w:r w:rsidRPr="00A31449">
      <w:rPr>
        <w:i/>
      </w:rPr>
      <w:t>Pacific Northwest Pinniped Strandings and Human Interactions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ce3c76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 w:type="paragraph" w:styleId="Header">
    <w:name w:val="header"/>
    <w:basedOn w:val="Normal"/>
    <w:link w:val="HeaderChar"/>
    <w:unhideWhenUsed/>
    <w:rsid w:val="00A31449"/>
    <w:pPr>
      <w:tabs>
        <w:tab w:val="center" w:pos="4680"/>
        <w:tab w:val="right" w:pos="9360"/>
      </w:tabs>
      <w:spacing w:after="0"/>
    </w:pPr>
  </w:style>
  <w:style w:type="character" w:customStyle="1" w:styleId="HeaderChar">
    <w:name w:val="Header Char"/>
    <w:basedOn w:val="DefaultParagraphFont"/>
    <w:link w:val="Header"/>
    <w:rsid w:val="00A31449"/>
    <w:rPr>
      <w:rFonts w:ascii="Times New Roman" w:hAnsi="Times New Roman"/>
      <w:sz w:val="22"/>
    </w:rPr>
  </w:style>
  <w:style w:type="paragraph" w:styleId="Footer">
    <w:name w:val="footer"/>
    <w:basedOn w:val="Normal"/>
    <w:link w:val="FooterChar"/>
    <w:unhideWhenUsed/>
    <w:rsid w:val="00A31449"/>
    <w:pPr>
      <w:tabs>
        <w:tab w:val="center" w:pos="4680"/>
        <w:tab w:val="right" w:pos="9360"/>
      </w:tabs>
      <w:spacing w:after="0"/>
    </w:pPr>
  </w:style>
  <w:style w:type="character" w:customStyle="1" w:styleId="FooterChar">
    <w:name w:val="Footer Char"/>
    <w:basedOn w:val="DefaultParagraphFont"/>
    <w:link w:val="Footer"/>
    <w:rsid w:val="00A31449"/>
    <w:rPr>
      <w:rFonts w:ascii="Times New Roman" w:hAnsi="Times New Roman"/>
      <w:sz w:val="22"/>
    </w:rPr>
  </w:style>
  <w:style w:type="character" w:styleId="PageNumber">
    <w:name w:val="page number"/>
    <w:basedOn w:val="DefaultParagraphFont"/>
    <w:semiHidden/>
    <w:unhideWhenUsed/>
    <w:rsid w:val="00A81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www.iucnredlist.org/details/3590/0" TargetMode="External" /><Relationship Type="http://schemas.openxmlformats.org/officeDocument/2006/relationships/hyperlink" Id="rId23" Target="http://www.nmfs.noaa.gov/pr/health/prescott/" TargetMode="External" /><Relationship Type="http://schemas.openxmlformats.org/officeDocument/2006/relationships/hyperlink" Id="rId33" Target="https://www.nwfsc.noaa.gov/research/divisions/fe/estuarine/oeip/b-latest-updates.cfm" TargetMode="External" /><Relationship Type="http://schemas.openxmlformats.org/officeDocument/2006/relationships/hyperlink" Id="rId21" Target="mailto:amandajwarlick@gmail.com" TargetMode="External" /></Relationships>
</file>

<file path=word/_rels/footnotes.xml.rels><?xml version="1.0" encoding="UTF-8"?>
<Relationships xmlns="http://schemas.openxmlformats.org/package/2006/relationships"><Relationship Type="http://schemas.openxmlformats.org/officeDocument/2006/relationships/hyperlink" Id="rId32" Target="http://www.iucnredlist.org/details/3590/0" TargetMode="External" /><Relationship Type="http://schemas.openxmlformats.org/officeDocument/2006/relationships/hyperlink" Id="rId23" Target="http://www.nmfs.noaa.gov/pr/health/prescott/" TargetMode="External" /><Relationship Type="http://schemas.openxmlformats.org/officeDocument/2006/relationships/hyperlink" Id="rId33" Target="https://www.nwfsc.noaa.gov/research/divisions/fe/estuarine/oeip/b-latest-updates.cfm" TargetMode="External" /><Relationship Type="http://schemas.openxmlformats.org/officeDocument/2006/relationships/hyperlink" Id="rId21" Target="mailto:amandajwarli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138</Words>
  <Characters>792</Characters>
  <Application>Microsoft Macintosh Word</Application>
  <DocSecurity>0</DocSecurity>
  <Lines>6</Lines>
  <Paragraphs>1</Paragraphs>
  <ScaleCrop>false</ScaleCrop>
  <Company/>
  <LinksUpToDate>false</LinksUpToDate>
  <CharactersWithSpaces>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2017-04-28T15:18:00Z</dcterms:created>
  <dcterms:modified xsi:type="dcterms:W3CDTF">2017-04-28T15:18:00Z</dcterms:modified>
</cp:coreProperties>
</file>