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Characterization of Pinniped Strandings and Human Interaction Cases in the Pacific Northwest, 1989 - 2016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Steven J. Jeffries,</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Seattle,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for pinniped health and the impacts of anthropogenic activities in the local marine environment. Stranding data from 1989-2016 were used to examine regional and temporal patterns in strandings and human interaction cases across age and sex for six species. Over the study period, 14,939 pinnipeds were reported stranded along the coasts of Washington and Oregon, 11% of which were documented as human interaction cases. Total strandings and the number and prevalence of reported human interaction cases increased over time for most species. All species stranded in higher numbers in Oregon except harbor seals (Phoca vitulina), which stranded predominantly in inland Washington waters. The composition of ages and sexes varied for each species, as did the proportion of strandings identified as human interaction cases. Gunshot wounds and fisheries entanglements constituted the majority of human interaction cases (37% and 21%, respectively), though the prevalence of these cases varied across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1989-2016,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state and national parks,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The California breeding stock has grown by 3.8% per year in recent decades and was estimated at 179,000 individuals in 2010 (Lowry et al., 2014).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w:t>
      </w:r>
      <w:r>
        <w:t xml:space="preserve"> </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w:t>
      </w:r>
      <w:r>
        <w:t xml:space="preserve"> </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(accessed February 2017) that contains standardized "Level A" information submitted by stranding responders,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1989 to 2016 (</w:t>
      </w:r>
      <w:r>
        <w:rPr>
          <w:i/>
        </w:rPr>
        <w:t xml:space="preserve">n</w:t>
      </w:r>
      <w:r>
        <w:t xml:space="preserve"> </w:t>
      </w:r>
      <w:r>
        <w:t xml:space="preserve">= 14,939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picking-up or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w:t>
      </w:r>
      <w:r>
        <w:rPr>
          <w:rStyle w:val="FootnoteReference"/>
        </w:rPr>
        <w:footnoteReference w:id="22"/>
      </w:r>
      <w:r>
        <w:t xml:space="preserve"> </w:t>
      </w:r>
      <w:r>
        <w:t xml:space="preserve">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have grown in their capacity over the study period, particularly in the mid-2000s with the implementation of the John H. Prescott Marine Mammal Rescue Assistance Grant Program,</w:t>
      </w:r>
      <w:r>
        <w:rPr>
          <w:rStyle w:val="FootnoteReference"/>
        </w:rPr>
        <w:footnoteReference w:id="23"/>
      </w:r>
      <w:r>
        <w:t xml:space="preserve"> </w:t>
      </w:r>
      <w:r>
        <w:t xml:space="preserve">which could in part account for a rise in reported strandings. Not all records from each response network are available for the whole study period, namely, records from Washington Department of Fish and Wildlife from prior to 2003 are not available to include in this sample. Because records from this entity constitute an average of 14% of strandings from 2005-2015, total strandings prior to 2003 may be under-represented by this amount. One of the challenges of using data from this compilation of stranding records is that beach coverage, response capacity, and even data-reporting protocols vary between network members and over time. However, when combined, these data illustrate what is known and what remains uncertain about strandings throughout the region.</w:t>
      </w:r>
    </w:p>
    <w:p>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b/>
        </w:rPr>
        <w:t xml:space="preserve">Results</w:t>
      </w:r>
    </w:p>
    <w:p>
      <w:pPr>
        <w:pStyle w:val="BodyText"/>
      </w:pPr>
      <w:r>
        <w:t xml:space="preserve">From 1989-2016, local stranding response networks identified and recorded 14,939 stranded pinnipeds along the coasts and inland waters of Oregon and Washington. Approximately 28% (</w:t>
      </w:r>
      <w:r>
        <w:rPr>
          <w:i/>
        </w:rPr>
        <w:t xml:space="preserve">n</w:t>
      </w:r>
      <w:r>
        <w:t xml:space="preserve"> </w:t>
      </w:r>
      <w:r>
        <w:t xml:space="preserve">= 4,222) were alive and 31% (</w:t>
      </w:r>
      <w:r>
        <w:rPr>
          <w:i/>
        </w:rPr>
        <w:t xml:space="preserve">n</w:t>
      </w:r>
      <w:r>
        <w:t xml:space="preserve"> </w:t>
      </w:r>
      <w:r>
        <w:t xml:space="preserve">= 4,557) were freshly dead at the time of recovery, with the remainder being in various states of decomposition. The majority of total strandings over the study period were harbor seals (58%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300 per year for harbor seals (Figure 1a). The sex and age composition of strandings varied depending on species, described further below.</w:t>
      </w:r>
    </w:p>
    <w:p>
      <w:pPr>
        <w:pStyle w:val="BodyText"/>
      </w:pPr>
      <w:r>
        <w:t xml:space="preserve">Evidence of human interaction was noted in 11% (</w:t>
      </w:r>
      <w:r>
        <w:rPr>
          <w:i/>
        </w:rPr>
        <w:t xml:space="preserve">n</w:t>
      </w:r>
      <w:r>
        <w:t xml:space="preserve"> </w:t>
      </w:r>
      <w:r>
        <w:t xml:space="preserve">= 1,628) of all stranding cases over the study period, including fisheries entanglements (</w:t>
      </w:r>
      <w:r>
        <w:rPr>
          <w:i/>
        </w:rPr>
        <w:t xml:space="preserve">n</w:t>
      </w:r>
      <w:r>
        <w:t xml:space="preserve"> </w:t>
      </w:r>
      <w:r>
        <w:t xml:space="preserve">= 336, 21% of all HI cases), gunshot wounds (</w:t>
      </w:r>
      <w:r>
        <w:rPr>
          <w:i/>
        </w:rPr>
        <w:t xml:space="preserve">n</w:t>
      </w:r>
      <w:r>
        <w:t xml:space="preserve"> </w:t>
      </w:r>
      <w:r>
        <w:t xml:space="preserve">= 598, 37%), boat collision injuries (</w:t>
      </w:r>
      <w:r>
        <w:rPr>
          <w:i/>
        </w:rPr>
        <w:t xml:space="preserve">n</w:t>
      </w:r>
      <w:r>
        <w:t xml:space="preserve"> </w:t>
      </w:r>
      <w:r>
        <w:t xml:space="preserve">= 76, 5%), and "other" (</w:t>
      </w:r>
      <w:r>
        <w:rPr>
          <w:i/>
        </w:rPr>
        <w:t xml:space="preserve">n</w:t>
      </w:r>
      <w:r>
        <w:t xml:space="preserve"> </w:t>
      </w:r>
      <w:r>
        <w:t xml:space="preserve">= 648, 40%). Across all species, the proportion of fisheries interactions and boat injuries is similar between males and females, though gunshot wounds are more prevalent for males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(39% of all yearling HI cases) and significantly less for pups and adults (16%-18%). Gunshot wounds, however, are most prevalent in adults (58% of adult HI cases) and subadults (51%) and less so for pups (4%). Boat collisions constitute a small proportion (5-7%) of HI cases for all age classes (Table 2). Similar to all strandings, harbor seals constituted the majority of HI cases (54%) followed by California (28%) and Steller sea lions (12%) (data not shown).</w:t>
      </w:r>
    </w:p>
    <w:p>
      <w:pPr>
        <w:pStyle w:val="BodyText"/>
      </w:pPr>
      <w:r>
        <w:rPr>
          <w:i/>
        </w:rPr>
        <w:t xml:space="preserve">Species</w:t>
      </w:r>
      <w:r>
        <w:br w:type="textWrapping"/>
      </w:r>
      <w:r>
        <w:t xml:space="preserve">Harbor seals - The sex composition of harbor seal strandings was equal between males and females, though 52% were unidentified (Table 1). Pups amounted to a greater proportion of strandings than that observed in any of the other species (45%), with adults only making up 14% of strandings (Table 1). Harbor seals are the only species that stranded in greatest numbers in Washington, with 78% occurring in inland Washington waters. Very few (7%) harbor seal strandings occurred on the outer Washington coast (Table 3). Approximately 10% of strandings were HI cases, the majority of which (54%) were "other" (exceeding that of any other species), followed by gunshot wounds (21%) and fisheries entanglements (19%). Just 6% of HI cases were boat collision injuries (Table 3).</w:t>
      </w:r>
    </w:p>
    <w:p>
      <w:pPr>
        <w:pStyle w:val="BodyText"/>
      </w:pPr>
      <w:r>
        <w:t xml:space="preserve">California sea lions - Approximately 77% were identified as male and 1% as female (Table 1), unlike the sex composition of other species strandings. Approximately 53% of strandings assigned an age class were identified as adults, unlike other species where the majority were pups and yearlings (Table 1). The majority of strandings (69%) occurred along the Oregon coast, with almost 20% in inland Washington waters and just 11% along the Washington coast (Table 3). Approximately 15% of strandings were HI cases, the majority of which (58%) were gunshot wounds. Just 4% of HI cases were boat collision injuries (Table 3).</w:t>
      </w:r>
    </w:p>
    <w:p>
      <w:pPr>
        <w:pStyle w:val="BodyText"/>
      </w:pPr>
      <w:r>
        <w:t xml:space="preserve">Steller sea lions - For Steller sea lions, 42% were identified as male and 33% as female (Table 1). Similar to California sea lions, the majority (55%)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18% of strandings were HI cases, second only to northern fur seals. Similar to California sea lions, the majority of HI cases were gunshot wounds (74%) followed by fisheries entanglements (16%). Just 2% of HI cases were boat collision injuries (Table 3).</w:t>
      </w:r>
    </w:p>
    <w:p>
      <w:pPr>
        <w:pStyle w:val="BodyText"/>
      </w:pPr>
      <w:r>
        <w:t xml:space="preserve">Northern elephant seals - Approximately 35% were identified as male and only 13% female, the lowest of any other species except California sea lions. Northern elephant seal strandings had high percentages of strandings that were not assigned sex (52%) and age classes (45%). Similar to other species, the majority of strandings (66%) occurred along the Oregon coast (17%) (Table 3). Northern elephant seals exhibited the lowest proportion of HI cases 8%. Similar only to harbor seals, the majority of HI cases were "other" (44%), followed closely by gunshot wounds (33%) (Table 3).</w:t>
      </w:r>
    </w:p>
    <w:p>
      <w:pPr>
        <w:pStyle w:val="BodyText"/>
      </w:pPr>
      <w:r>
        <w:t xml:space="preserve">Guadalupe fur seals - The sex composition of strandings was similar between males and females (31%) and the overwhelming majority (92%) were identified as yearlings (Table 1). Similar to other species, the majority of strandings (61%) occurred along the Oregon coast, followed by the other Washington coast (34%) and fewest in inland Washington waters (6%) (Table 3). Almost 14% of strandings were HI cases, the majority of which were fisheries entanglements (65%), followed by "other" (30%) (Table 3).</w:t>
      </w:r>
    </w:p>
    <w:p>
      <w:pPr>
        <w:pStyle w:val="BodyText"/>
      </w:pPr>
      <w:r>
        <w:t xml:space="preserve">Northern fur seals - Strandings exhibited the highest percentage of female strandings (39%) compared to other species (Table 1). More than half of strandings assigned an age class were identified as pups and yearlings (Table 1). Similar to other species, the majority of strandings (61%) occurred along the Oregon coast, followed by the other Washington coast (25%) and fewest in inland Washington waters (15%) (Table 3). Almost 25% of strandings were HI cases, the highest proportion among all of the species. Similar only to Guadalupe fur seals, the majority of HI cases were fisheries entanglements (75%), followed by "other" (21%) (Table 3).</w:t>
      </w:r>
    </w:p>
    <w:p>
      <w:pPr>
        <w:pStyle w:val="BodyText"/>
      </w:pPr>
      <w:r>
        <w:rPr>
          <w:i/>
        </w:rPr>
        <w:t xml:space="preserve">Temporal Patterns</w:t>
      </w:r>
      <w:r>
        <w:br w:type="textWrapping"/>
      </w:r>
      <w:r>
        <w:t xml:space="preserve">All stranding cases - Since 1989,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309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2a).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1989-2016 (z = 7.8,</w:t>
      </w:r>
      <w:r>
        <w:t xml:space="preserve"> </w:t>
      </w:r>
      <w:r>
        <w:rPr>
          <w:i/>
        </w:rPr>
        <w:t xml:space="preserve">p</w:t>
      </w:r>
      <w:r>
        <w:t xml:space="preserve"> </w:t>
      </w:r>
      <w:r>
        <w:t xml:space="preserve">&lt; 0.001) (Figure 3a). An annual average of 19 cases were documented per year throughout the 1990s up through 2002 and 97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(Figure 2b). The proportion of total annual strandings occurring in Oregon ranged from 8% to 58%, averaging 35% for the whole study period. The proportion of annual strandings occurring along the outer Washington coast ranged from 2% to 23%, averaging 8% for the whole study period. The proportion of annual strandings occurring along the shores of inland Washington waters ranged from 38% to 83%, averaging 57% for the whole study period.</w:t>
      </w:r>
    </w:p>
    <w:p>
      <w:pPr>
        <w:pStyle w:val="BodyText"/>
      </w:pPr>
      <w:r>
        <w:t xml:space="preserve">The distribution of HI cases between these three regions was similar to that of overall strandings, with 34% of all HI cases occurring in Oregon, 50% in inland Washington waters, and the remaining 16% along the outer Washington coast (data not shown). However, the distribution of specific types of HI cases was different between the three regions. Human interaction cases on the outer Washington coast were composed primarily of gunshot wounds (57%) while cases in inland Washington waters were composed primarily of "other" (54%). Cases along the Oregon coast were primarily gunshot wounds (49%) and fisheries entanglements (29%).</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(Figure 6). In Washington, strandings were highest in San Juan, Island, King, Pierce, and Grays Harbor counties. Similarly, the number of HI cases were significantly higher in Grays Harbor, Pierce, and Pacific counties, with a disproportionately higher number of cases in Pacific county compared with all strandings, the majority of which were gunshot wounds (Supplemental Table S1). In Oregon, the majority of strandings occurred in Clatsop, Tillamook, Coos, and Lincoln counties (Figure 6). These counties were also where the majority of HI cases occurred, though a disproportionately higher number occurred in Clatsop, the majority of which were gunshot wounds (Supplemental Table S2).</w:t>
      </w:r>
    </w:p>
    <w:p>
      <w:pPr>
        <w:pStyle w:val="BodyText"/>
      </w:pPr>
      <w:r>
        <w:t xml:space="preserve">Stranding hotspots were apparent throughout inland Washington waters for harbor seals, and distributed along the coast for the other species (Figure 8). These hotspots remained relatively constant across the seasons of the year. Human interaction hotspots generally overlap hotspots of overall strandings, though for some species there are additional HI case hotspots or HI cases are more constricted in space compared to overall strandings (Figure 8).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8).</w:t>
      </w:r>
    </w:p>
    <w:p>
      <w:pPr>
        <w:pStyle w:val="BodyText"/>
      </w:pPr>
      <w:r>
        <w:t xml:space="preserve">Each of the HI case types were concentrated in different areas, with boat collision injuries and fisheries interactions largely occurring throughout inland Washington waters and around the mouth of the Columbia River, while the only hotspot for gunshot wounds was centered around the Columbia River (Figure 7). These hotspots do shift seasonally. Boat collision cases during are most dense in inland Washington waters in the summer and on the coast during winter. Fisheries and gunshot wound cases are only concentrated near Newport, OR during the spring but also exhibit clusters in Puget Sound the rest of the year (Supplemental Figure S1).</w:t>
      </w:r>
    </w:p>
    <w:p>
      <w:pPr>
        <w:pStyle w:val="BodyText"/>
      </w:pPr>
      <w:r>
        <w:rPr>
          <w:b/>
        </w:rPr>
        <w:t xml:space="preserve">Discussion</w:t>
      </w:r>
    </w:p>
    <w:p>
      <w:pPr>
        <w:pStyle w:val="BodyText"/>
      </w:pPr>
      <w:r>
        <w:t xml:space="preserve">Our results highlight spatio-temporal stranding hotspots for pinnipeds in Oregon and Washington from 1989-2016. Harbor seals were the most commonly stranded species in inland Washington waters while other species stranded more frequently in Oregon. Age class and sex composition varied by species and a summer stranding peak was evident only for harbor seal pups. The number of strandings and HI cases have increased over time for almost all of the species, though the prevalence of HI cases varied for each species. Stranding and HI case hotspots were evident along the coast and varied for each species and HI case type.</w:t>
      </w:r>
    </w:p>
    <w:p>
      <w:pPr>
        <w:pStyle w:val="BodyText"/>
      </w:pPr>
      <w:r>
        <w:t xml:space="preserve">Spatio-temporal patterns in the age and sex of pinniped strandings in Oregon and Washington are different for each of the six species in the study area, as the different life history characteristics of each species largely determines when, where, and how many animals occur -- and therefore strand -- in different areas along the coast. Additionally, the different prey species, mating strategies, and adaptability to environmental changes of each species also affects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Patterns in the distribution and number of strandings along the coast and throughout the year are likely due to the local abundance and life history characteristics of each species. For example, the majority of California sea lion strandings were male and occurred in May as well as the fall, reflecting the fact that males are making foraging migrations through the area while the majority of females largely stay around the rookeries in California (Lowry &amp; Forney, 2005; Melin et al., 2008). These findings are similar to other studies that have found a higher proportion of males for California sea lions (Greig et al., 2005), northern elephant seals (Colegrove et al., 2005), and harp seals (Soulen et al., 2013). In contrast, males and females were more equally represented in Steller sea lion strandings, due to the presence of breeding and rookeries in the study area.</w:t>
      </w:r>
    </w:p>
    <w:p>
      <w:pPr>
        <w:pStyle w:val="BodyText"/>
      </w:pPr>
      <w:r>
        <w:t xml:space="preserve">California and Steller sea lion strandings had a higher proportion of adult cases while the other four species strandings were primarily pups and yearlings. Young animals have been noted as the most prominent age class in other studies, particularly in southern and central California due to the large rookeries in the area (Greig et al., 2005; Goldstein et al., 1999; Hanni &amp; Pyle, 2000; Kaplan Dau et al., 2009). The prevalence of harbor seal pup strandings in inland Washington waters can attributed to the presence of haul-outs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In terms of HI cases, many studies have found a higher number or incidence of HI cases in males of various age classes (but particularly young animals) (Greig et al., 2005, Delong et al., 1990, Kiyota &amp; Baba, 2001; Kaplan Dau et al., 2009), whereas here we found that the proportion of HI cases for combined species was similar for both males and females (~16%). California sea lions (particularly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possibly due to the higher proportion of adults, which is arguably the most likely age class to be seen as a nuissance animal in the fishing industry.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The overall prevalence of HI cases for all species over the study period was approximately 11%, similar to that observed in California (7.5-16%) and Cape Cod (10%) (Goldstein et al., 1999; Kaplan Dau et al., 2009; Moore et al., 2009; Bogomolni et al., 2010; Keledjian &amp; Mesnick, 2013). Similar to our findings, Colegrove et al. (2005) found the prevalence of HI cases in central California varied annually and was higher in harbor seals than northern elephant seals. Studies have noted northern fur seals as having a relatively high prevalence of entanglement (Fowler, 1987, Delong et al., 1990; Antonelis et al., 2006), similar to the results presented here. The composition of HI types varied considerably across species. Gunshot wounds constituted 74% of HI cases for Steller sea lions and 58% for California sea lions, but only 21% for harbor seals (Table 3). In contrast, fisheries interactions made up a lower proportion of HI cases for those three species but amounted to 65% and 75% of HI cases for Guadalupe and northern fur seals, respectively (Table 3). These observed patterns are likely a combination of the animals' behavioral ecology and the spatio-temporal distribution of human activities. However, as noted above, the prevalence and composition of HI cases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This observed increase in the number of reported strandings likely reflects increasing abundance and increasing stranding response effort rather than being symptomatic of declining population health, as noted by Huggins et al. (2015a). Additionally, it is important to note that increasing trends are likely not linear over time but are instead driven by spikes in strandings, such as the heightened strandings of California sea lions in Oregon in 2009-2010 (Figure 2) possibly due to a combination of factors, including an outbreak of leptospirosis, poor foraging conditions in California, and increased competition with fisheries.</w:t>
      </w:r>
    </w:p>
    <w:p>
      <w:pPr>
        <w:pStyle w:val="BodyText"/>
      </w:pPr>
      <w:r>
        <w:t xml:space="preserve">Seasonally, the noticeable and extended summer peak in harbor seal strandings throughout the pupping season, depending on the region, with pupping occurring in late Spring along the Oregon coast, in mid-May through June for the outer Washington coast, and July-August in inland Washington waters (Jeffries et al., 2000). Dedicated summer surveys of harbor seal haul-outs could also have contributed to these elevated seasonal strandings. Slightly higher California sea lion strandings in May and the fall reflects the timing of when males are making migratory trips to and from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The number and distribution of strandings can be largely explained by the local abundance and demographic characteristics of each species and hotsptos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strandings were most dense from the mouth of the Columbia River to Willapa Bay and Grays Harbor on the outer coast (Figure 8),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HI cases were more concentrated in specific places compared to overall strandings. In Washington, human interactions were disproportionately higher in Pacific and Pierce counties, which combined accounted for 30% of HI cases in Washington but less than 19.1% of total strandings. In Pacific county, 66% of HI cases were gunshot wounds (Supplemental Table S1).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4-1.png" id="0" name="Picture"/>
                    <pic:cNvPicPr>
                      <a:picLocks noChangeArrowheads="1" noChangeAspect="1"/>
                    </pic:cNvPicPr>
                  </pic:nvPicPr>
                  <pic:blipFill>
                    <a:blip r:embed="rId26"/>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 (b) annual strandings increasing in Oregon (y = 1.052</w:t>
      </w:r>
      <w:r>
        <w:rPr>
          <w:vertAlign w:val="superscript"/>
        </w:rPr>
        <w:t xml:space="preserve">x</w:t>
      </w:r>
      <w:r>
        <w:t xml:space="preserve">, z = 3.78,</w:t>
      </w:r>
      <w:r>
        <w:t xml:space="preserve"> </w:t>
      </w:r>
      <w:r>
        <w:rPr>
          <w:i/>
        </w:rPr>
        <w:t xml:space="preserve">p</w:t>
      </w:r>
      <w:r>
        <w:t xml:space="preserve"> </w:t>
      </w:r>
      <w:r>
        <w:t xml:space="preserve">&lt; 0.001), inland Washington waters (y = 1.040</w:t>
      </w:r>
      <w:r>
        <w:rPr>
          <w:vertAlign w:val="superscript"/>
        </w:rPr>
        <w:t xml:space="preserve">x</w:t>
      </w:r>
      <w:r>
        <w:t xml:space="preserve">, z = 4.95,</w:t>
      </w:r>
      <w:r>
        <w:t xml:space="preserve"> </w:t>
      </w:r>
      <w:r>
        <w:rPr>
          <w:i/>
        </w:rPr>
        <w:t xml:space="preserve">p</w:t>
      </w:r>
      <w:r>
        <w:t xml:space="preserve"> </w:t>
      </w:r>
      <w:r>
        <w:t xml:space="preserve">&lt; 0.001), and, though in smaller numbers, along the outer Washington coast (y = 1.074</w:t>
      </w:r>
      <w:r>
        <w:rPr>
          <w:vertAlign w:val="superscript"/>
        </w:rPr>
        <w:t xml:space="preserve">x</w:t>
      </w:r>
      <w:r>
        <w:t xml:space="preserve">, z = 3.62,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5-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6-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7-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(b) age class, and (c) human interaction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8-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Percent difference in the total number of human interaction cases in each county from the mean across all counties from 1989-2016. Points indicate locations of marine mammal stranding response networks.</w:t>
      </w:r>
      <w:r>
        <w:t xml:space="preserve"> </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9-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8: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10-1.png" id="0" name="Picture"/>
                    <pic:cNvPicPr>
                      <a:picLocks noChangeArrowheads="1" noChangeAspect="1"/>
                    </pic:cNvPicPr>
                  </pic:nvPicPr>
                  <pic:blipFill>
                    <a:blip r:embed="rId32"/>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t xml:space="preserve">Table 1: Age and sex composition and weighted averages of all strandings (</w:t>
      </w:r>
      <w:r>
        <w:rPr>
          <w:i/>
        </w:rPr>
        <w:t xml:space="preserve">n</w:t>
      </w:r>
      <w:r>
        <w:t xml:space="preserve"> </w:t>
      </w:r>
      <w:r>
        <w:t xml:space="preserve">= 14,939) by species.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19</w:t>
            </w:r>
          </w:p>
        </w:tc>
        <w:tc>
          <w:p>
            <w:pPr>
              <w:pStyle w:val="Compact"/>
              <w:jc w:val="center"/>
            </w:pPr>
            <w:r>
              <w:t xml:space="preserve">77.4</w:t>
            </w:r>
          </w:p>
        </w:tc>
        <w:tc>
          <w:p>
            <w:pPr>
              <w:pStyle w:val="Compact"/>
              <w:jc w:val="center"/>
            </w:pPr>
            <w:r>
              <w:t xml:space="preserve">1.0</w:t>
            </w:r>
          </w:p>
        </w:tc>
        <w:tc>
          <w:p>
            <w:pPr>
              <w:pStyle w:val="Compact"/>
              <w:jc w:val="center"/>
            </w:pPr>
            <w:r>
              <w:t xml:space="preserve">21.6</w:t>
            </w:r>
          </w:p>
        </w:tc>
        <w:tc>
          <w:p>
            <w:pPr>
              <w:pStyle w:val="Compact"/>
              <w:jc w:val="center"/>
            </w:pPr>
            <w:r>
              <w:t xml:space="preserve">0.2</w:t>
            </w:r>
          </w:p>
        </w:tc>
        <w:tc>
          <w:p>
            <w:pPr>
              <w:pStyle w:val="Compact"/>
              <w:jc w:val="center"/>
            </w:pPr>
            <w:r>
              <w:t xml:space="preserve">9.0</w:t>
            </w:r>
          </w:p>
        </w:tc>
        <w:tc>
          <w:p>
            <w:pPr>
              <w:pStyle w:val="Compact"/>
              <w:jc w:val="center"/>
            </w:pPr>
            <w:r>
              <w:t xml:space="preserve">14.7</w:t>
            </w:r>
          </w:p>
        </w:tc>
        <w:tc>
          <w:p>
            <w:pPr>
              <w:pStyle w:val="Compact"/>
              <w:jc w:val="center"/>
            </w:pPr>
            <w:r>
              <w:t xml:space="preserve">53.1</w:t>
            </w:r>
          </w:p>
        </w:tc>
        <w:tc>
          <w:p>
            <w:pPr>
              <w:pStyle w:val="Compact"/>
              <w:jc w:val="center"/>
            </w:pPr>
            <w:r>
              <w:t xml:space="preserve">23.0</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31.5</w:t>
            </w:r>
          </w:p>
        </w:tc>
        <w:tc>
          <w:p>
            <w:pPr>
              <w:pStyle w:val="Compact"/>
              <w:jc w:val="center"/>
            </w:pPr>
            <w:r>
              <w:t xml:space="preserve">30.9</w:t>
            </w:r>
          </w:p>
        </w:tc>
        <w:tc>
          <w:p>
            <w:pPr>
              <w:pStyle w:val="Compact"/>
              <w:jc w:val="center"/>
            </w:pPr>
            <w:r>
              <w:t xml:space="preserve">37.6</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w:t>
            </w:r>
          </w:p>
        </w:tc>
        <w:tc>
          <w:p>
            <w:pPr>
              <w:pStyle w:val="Compact"/>
              <w:jc w:val="center"/>
            </w:pPr>
            <w:r>
              <w:t xml:space="preserve">24.5</w:t>
            </w:r>
          </w:p>
        </w:tc>
        <w:tc>
          <w:p>
            <w:pPr>
              <w:pStyle w:val="Compact"/>
              <w:jc w:val="center"/>
            </w:pPr>
            <w:r>
              <w:t xml:space="preserve">23.2</w:t>
            </w:r>
          </w:p>
        </w:tc>
        <w:tc>
          <w:p>
            <w:pPr>
              <w:pStyle w:val="Compact"/>
              <w:jc w:val="center"/>
            </w:pPr>
            <w:r>
              <w:t xml:space="preserve">52.3</w:t>
            </w:r>
          </w:p>
        </w:tc>
        <w:tc>
          <w:p>
            <w:pPr>
              <w:pStyle w:val="Compact"/>
              <w:jc w:val="center"/>
            </w:pPr>
            <w:r>
              <w:t xml:space="preserve">45.3</w:t>
            </w:r>
          </w:p>
        </w:tc>
        <w:tc>
          <w:p>
            <w:pPr>
              <w:pStyle w:val="Compact"/>
              <w:jc w:val="center"/>
            </w:pPr>
            <w:r>
              <w:t xml:space="preserve">4.4</w:t>
            </w:r>
          </w:p>
        </w:tc>
        <w:tc>
          <w:p>
            <w:pPr>
              <w:pStyle w:val="Compact"/>
              <w:jc w:val="center"/>
            </w:pPr>
            <w:r>
              <w:t xml:space="preserve">3.7</w:t>
            </w:r>
          </w:p>
        </w:tc>
        <w:tc>
          <w:p>
            <w:pPr>
              <w:pStyle w:val="Compact"/>
              <w:jc w:val="center"/>
            </w:pPr>
            <w:r>
              <w:t xml:space="preserve">14.3</w:t>
            </w:r>
          </w:p>
        </w:tc>
        <w:tc>
          <w:p>
            <w:pPr>
              <w:pStyle w:val="Compact"/>
              <w:jc w:val="center"/>
            </w:pPr>
            <w:r>
              <w:t xml:space="preserve">32.3</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34.8</w:t>
            </w:r>
          </w:p>
        </w:tc>
        <w:tc>
          <w:p>
            <w:pPr>
              <w:pStyle w:val="Compact"/>
              <w:jc w:val="center"/>
            </w:pPr>
            <w:r>
              <w:t xml:space="preserve">13.3</w:t>
            </w:r>
          </w:p>
        </w:tc>
        <w:tc>
          <w:p>
            <w:pPr>
              <w:pStyle w:val="Compact"/>
              <w:jc w:val="center"/>
            </w:pPr>
            <w:r>
              <w:t xml:space="preserve">51.9</w:t>
            </w:r>
          </w:p>
        </w:tc>
        <w:tc>
          <w:p>
            <w:pPr>
              <w:pStyle w:val="Compact"/>
              <w:jc w:val="center"/>
            </w:pPr>
            <w:r>
              <w:t xml:space="preserve">19.8</w:t>
            </w:r>
          </w:p>
        </w:tc>
        <w:tc>
          <w:p>
            <w:pPr>
              <w:pStyle w:val="Compact"/>
              <w:jc w:val="center"/>
            </w:pPr>
            <w:r>
              <w:t xml:space="preserve">18.0</w:t>
            </w:r>
          </w:p>
        </w:tc>
        <w:tc>
          <w:p>
            <w:pPr>
              <w:pStyle w:val="Compact"/>
              <w:jc w:val="center"/>
            </w:pPr>
            <w:r>
              <w:t xml:space="preserve">11.9</w:t>
            </w:r>
          </w:p>
        </w:tc>
        <w:tc>
          <w:p>
            <w:pPr>
              <w:pStyle w:val="Compact"/>
              <w:jc w:val="center"/>
            </w:pPr>
            <w:r>
              <w:t xml:space="preserve">5.6</w:t>
            </w:r>
          </w:p>
        </w:tc>
        <w:tc>
          <w:p>
            <w:pPr>
              <w:pStyle w:val="Compact"/>
              <w:jc w:val="center"/>
            </w:pPr>
            <w:r>
              <w:t xml:space="preserve">44.7</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1</w:t>
            </w:r>
          </w:p>
        </w:tc>
        <w:tc>
          <w:p>
            <w:pPr>
              <w:pStyle w:val="Compact"/>
              <w:jc w:val="center"/>
            </w:pPr>
            <w:r>
              <w:t xml:space="preserve">23.8</w:t>
            </w:r>
          </w:p>
        </w:tc>
        <w:tc>
          <w:p>
            <w:pPr>
              <w:pStyle w:val="Compact"/>
              <w:jc w:val="center"/>
            </w:pPr>
            <w:r>
              <w:t xml:space="preserve">39.3</w:t>
            </w:r>
          </w:p>
        </w:tc>
        <w:tc>
          <w:p>
            <w:pPr>
              <w:pStyle w:val="Compact"/>
              <w:jc w:val="center"/>
            </w:pPr>
            <w:r>
              <w:t xml:space="preserve">36.9</w:t>
            </w:r>
          </w:p>
        </w:tc>
        <w:tc>
          <w:p>
            <w:pPr>
              <w:pStyle w:val="Compact"/>
              <w:jc w:val="center"/>
            </w:pPr>
            <w:r>
              <w:t xml:space="preserve">25.4</w:t>
            </w:r>
          </w:p>
        </w:tc>
        <w:tc>
          <w:p>
            <w:pPr>
              <w:pStyle w:val="Compact"/>
              <w:jc w:val="center"/>
            </w:pPr>
            <w:r>
              <w:t xml:space="preserve">31.1</w:t>
            </w:r>
          </w:p>
        </w:tc>
        <w:tc>
          <w:p>
            <w:pPr>
              <w:pStyle w:val="Compact"/>
              <w:jc w:val="center"/>
            </w:pPr>
            <w:r>
              <w:t xml:space="preserve">8.2</w:t>
            </w:r>
          </w:p>
        </w:tc>
        <w:tc>
          <w:p>
            <w:pPr>
              <w:pStyle w:val="Compact"/>
              <w:jc w:val="center"/>
            </w:pPr>
            <w:r>
              <w:t xml:space="preserve">4.9</w:t>
            </w:r>
          </w:p>
        </w:tc>
        <w:tc>
          <w:p>
            <w:pPr>
              <w:pStyle w:val="Compact"/>
              <w:jc w:val="center"/>
            </w:pPr>
            <w:r>
              <w:t xml:space="preserve">30.3</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41.6</w:t>
            </w:r>
          </w:p>
        </w:tc>
        <w:tc>
          <w:p>
            <w:pPr>
              <w:pStyle w:val="Compact"/>
              <w:jc w:val="center"/>
            </w:pPr>
            <w:r>
              <w:t xml:space="preserve">33.3</w:t>
            </w:r>
          </w:p>
        </w:tc>
        <w:tc>
          <w:p>
            <w:pPr>
              <w:pStyle w:val="Compact"/>
              <w:jc w:val="center"/>
            </w:pPr>
            <w:r>
              <w:t xml:space="preserve">25.1</w:t>
            </w:r>
          </w:p>
        </w:tc>
        <w:tc>
          <w:p>
            <w:pPr>
              <w:pStyle w:val="Compact"/>
              <w:jc w:val="center"/>
            </w:pPr>
            <w:r>
              <w:t xml:space="preserve">13.5</w:t>
            </w:r>
          </w:p>
        </w:tc>
        <w:tc>
          <w:p>
            <w:pPr>
              <w:pStyle w:val="Compact"/>
              <w:jc w:val="center"/>
            </w:pPr>
            <w:r>
              <w:t xml:space="preserve">7.7</w:t>
            </w:r>
          </w:p>
        </w:tc>
        <w:tc>
          <w:p>
            <w:pPr>
              <w:pStyle w:val="Compact"/>
              <w:jc w:val="center"/>
            </w:pPr>
            <w:r>
              <w:t xml:space="preserve">11.7</w:t>
            </w:r>
          </w:p>
        </w:tc>
        <w:tc>
          <w:p>
            <w:pPr>
              <w:pStyle w:val="Compact"/>
              <w:jc w:val="center"/>
            </w:pPr>
            <w:r>
              <w:t xml:space="preserve">54.7</w:t>
            </w:r>
          </w:p>
        </w:tc>
        <w:tc>
          <w:p>
            <w:pPr>
              <w:pStyle w:val="Compact"/>
              <w:jc w:val="center"/>
            </w:pPr>
            <w:r>
              <w:t xml:space="preserve">12.4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33.6</w:t>
            </w:r>
          </w:p>
        </w:tc>
        <w:tc>
          <w:p>
            <w:pPr>
              <w:pStyle w:val="Compact"/>
              <w:jc w:val="center"/>
            </w:pPr>
            <w:r>
              <w:t xml:space="preserve">17.2</w:t>
            </w:r>
          </w:p>
        </w:tc>
        <w:tc>
          <w:p>
            <w:pPr>
              <w:pStyle w:val="Compact"/>
              <w:jc w:val="center"/>
            </w:pPr>
            <w:r>
              <w:t xml:space="preserve">49.2</w:t>
            </w:r>
          </w:p>
        </w:tc>
        <w:tc>
          <w:p>
            <w:pPr>
              <w:pStyle w:val="Compact"/>
              <w:jc w:val="center"/>
            </w:pPr>
            <w:r>
              <w:t xml:space="preserve">28.4</w:t>
            </w:r>
          </w:p>
        </w:tc>
        <w:tc>
          <w:p>
            <w:pPr>
              <w:pStyle w:val="Compact"/>
              <w:jc w:val="center"/>
            </w:pPr>
            <w:r>
              <w:t xml:space="preserve">6.7</w:t>
            </w:r>
          </w:p>
        </w:tc>
        <w:tc>
          <w:p>
            <w:pPr>
              <w:pStyle w:val="Compact"/>
              <w:jc w:val="center"/>
            </w:pPr>
            <w:r>
              <w:t xml:space="preserve">6.3</w:t>
            </w:r>
          </w:p>
        </w:tc>
        <w:tc>
          <w:p>
            <w:pPr>
              <w:pStyle w:val="Compact"/>
              <w:jc w:val="center"/>
            </w:pPr>
            <w:r>
              <w:t xml:space="preserve">23.1</w:t>
            </w:r>
          </w:p>
        </w:tc>
        <w:tc>
          <w:p>
            <w:pPr>
              <w:pStyle w:val="Compact"/>
              <w:jc w:val="center"/>
            </w:pPr>
            <w:r>
              <w:t xml:space="preserve">35.6</w:t>
            </w:r>
          </w:p>
        </w:tc>
      </w:tr>
    </w:tbl>
    <w:p>
      <w:pPr>
        <w:pStyle w:val="BodyText"/>
      </w:pPr>
      <w:r>
        <w:t xml:space="preserve">Table 2: Age and sex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2,570</w:t>
            </w:r>
          </w:p>
        </w:tc>
        <w:tc>
          <w:p>
            <w:pPr>
              <w:pStyle w:val="Compact"/>
              <w:jc w:val="center"/>
            </w:pPr>
            <w:r>
              <w:t xml:space="preserve">17.2</w:t>
            </w:r>
          </w:p>
        </w:tc>
        <w:tc>
          <w:p>
            <w:pPr>
              <w:pStyle w:val="Compact"/>
              <w:jc w:val="center"/>
            </w:pPr>
            <w:r>
              <w:t xml:space="preserve">404</w:t>
            </w:r>
          </w:p>
        </w:tc>
        <w:tc>
          <w:p>
            <w:pPr>
              <w:pStyle w:val="Compact"/>
              <w:jc w:val="center"/>
            </w:pPr>
            <w:r>
              <w:t xml:space="preserve">15.7</w:t>
            </w:r>
          </w:p>
        </w:tc>
        <w:tc>
          <w:p>
            <w:pPr>
              <w:pStyle w:val="Compact"/>
              <w:jc w:val="center"/>
            </w:pPr>
            <w:r>
              <w:t xml:space="preserve">18.3</w:t>
            </w:r>
          </w:p>
        </w:tc>
        <w:tc>
          <w:p>
            <w:pPr>
              <w:pStyle w:val="Compact"/>
              <w:jc w:val="center"/>
            </w:pPr>
            <w:r>
              <w:t xml:space="preserve">32.4</w:t>
            </w:r>
          </w:p>
        </w:tc>
        <w:tc>
          <w:p>
            <w:pPr>
              <w:pStyle w:val="Compact"/>
              <w:jc w:val="center"/>
            </w:pPr>
            <w:r>
              <w:t xml:space="preserve">5.4</w:t>
            </w:r>
          </w:p>
        </w:tc>
        <w:tc>
          <w:p>
            <w:pPr>
              <w:pStyle w:val="Compact"/>
              <w:jc w:val="center"/>
            </w:pPr>
            <w:r>
              <w:t xml:space="preserve">43.8</w:t>
            </w:r>
          </w:p>
        </w:tc>
      </w:tr>
      <w:tr>
        <w:tc>
          <w:p>
            <w:pPr>
              <w:pStyle w:val="Compact"/>
              <w:jc w:val="center"/>
            </w:pPr>
            <w:r>
              <w:t xml:space="preserve">Male</w:t>
            </w:r>
          </w:p>
        </w:tc>
        <w:tc>
          <w:p>
            <w:pPr>
              <w:pStyle w:val="Compact"/>
              <w:jc w:val="center"/>
            </w:pPr>
            <w:r>
              <w:t xml:space="preserve">5,021</w:t>
            </w:r>
          </w:p>
        </w:tc>
        <w:tc>
          <w:p>
            <w:pPr>
              <w:pStyle w:val="Compact"/>
              <w:jc w:val="center"/>
            </w:pPr>
            <w:r>
              <w:t xml:space="preserve">33.6</w:t>
            </w:r>
          </w:p>
        </w:tc>
        <w:tc>
          <w:p>
            <w:pPr>
              <w:pStyle w:val="Compact"/>
              <w:jc w:val="center"/>
            </w:pPr>
            <w:r>
              <w:t xml:space="preserve">818</w:t>
            </w:r>
          </w:p>
        </w:tc>
        <w:tc>
          <w:p>
            <w:pPr>
              <w:pStyle w:val="Compact"/>
              <w:jc w:val="center"/>
            </w:pPr>
            <w:r>
              <w:t xml:space="preserve">16.3</w:t>
            </w:r>
          </w:p>
        </w:tc>
        <w:tc>
          <w:p>
            <w:pPr>
              <w:pStyle w:val="Compact"/>
              <w:jc w:val="center"/>
            </w:pPr>
            <w:r>
              <w:t xml:space="preserve">15.4</w:t>
            </w:r>
          </w:p>
        </w:tc>
        <w:tc>
          <w:p>
            <w:pPr>
              <w:pStyle w:val="Compact"/>
              <w:jc w:val="center"/>
            </w:pPr>
            <w:r>
              <w:t xml:space="preserve">47.2</w:t>
            </w:r>
          </w:p>
        </w:tc>
        <w:tc>
          <w:p>
            <w:pPr>
              <w:pStyle w:val="Compact"/>
              <w:jc w:val="center"/>
            </w:pPr>
            <w:r>
              <w:t xml:space="preserve">4.9</w:t>
            </w:r>
          </w:p>
        </w:tc>
        <w:tc>
          <w:p>
            <w:pPr>
              <w:pStyle w:val="Compact"/>
              <w:jc w:val="center"/>
            </w:pPr>
            <w:r>
              <w:t xml:space="preserve">32.5</w:t>
            </w:r>
          </w:p>
        </w:tc>
      </w:tr>
      <w:tr>
        <w:tc>
          <w:p>
            <w:pPr>
              <w:pStyle w:val="Compact"/>
              <w:jc w:val="center"/>
            </w:pPr>
            <w:r>
              <w:t xml:space="preserve">Unid. Sex</w:t>
            </w:r>
          </w:p>
        </w:tc>
        <w:tc>
          <w:p>
            <w:pPr>
              <w:pStyle w:val="Compact"/>
              <w:jc w:val="center"/>
            </w:pPr>
            <w:r>
              <w:t xml:space="preserve">7,348</w:t>
            </w:r>
          </w:p>
        </w:tc>
        <w:tc>
          <w:p>
            <w:pPr>
              <w:pStyle w:val="Compact"/>
              <w:jc w:val="center"/>
            </w:pPr>
            <w:r>
              <w:t xml:space="preserve">49.2</w:t>
            </w:r>
          </w:p>
        </w:tc>
        <w:tc>
          <w:p>
            <w:pPr>
              <w:pStyle w:val="Compact"/>
              <w:jc w:val="center"/>
            </w:pPr>
            <w:r>
              <w:t xml:space="preserve">360</w:t>
            </w:r>
          </w:p>
        </w:tc>
        <w:tc>
          <w:p>
            <w:pPr>
              <w:pStyle w:val="Compact"/>
              <w:jc w:val="center"/>
            </w:pPr>
            <w:r>
              <w:t xml:space="preserve">4.9</w:t>
            </w:r>
          </w:p>
        </w:tc>
        <w:tc>
          <w:p>
            <w:pPr>
              <w:pStyle w:val="Compact"/>
              <w:jc w:val="center"/>
            </w:pPr>
            <w:r>
              <w:t xml:space="preserve">34.7</w:t>
            </w:r>
          </w:p>
        </w:tc>
        <w:tc>
          <w:p>
            <w:pPr>
              <w:pStyle w:val="Compact"/>
              <w:jc w:val="center"/>
            </w:pPr>
            <w:r>
              <w:t xml:space="preserve">19.4</w:t>
            </w:r>
          </w:p>
        </w:tc>
        <w:tc>
          <w:p>
            <w:pPr>
              <w:pStyle w:val="Compact"/>
              <w:jc w:val="center"/>
            </w:pPr>
            <w:r>
              <w:t xml:space="preserve">3.3</w:t>
            </w:r>
          </w:p>
        </w:tc>
        <w:tc>
          <w:p>
            <w:pPr>
              <w:pStyle w:val="Compact"/>
              <w:jc w:val="center"/>
            </w:pPr>
            <w:r>
              <w:t xml:space="preserve">42.5</w:t>
            </w:r>
          </w:p>
        </w:tc>
      </w:tr>
      <w:tr>
        <w:tc>
          <w:p>
            <w:pPr>
              <w:pStyle w:val="Compact"/>
              <w:jc w:val="center"/>
            </w:pPr>
            <w:r>
              <w:t xml:space="preserve">Pup</w:t>
            </w:r>
          </w:p>
        </w:tc>
        <w:tc>
          <w:p>
            <w:pPr>
              <w:pStyle w:val="Compact"/>
              <w:jc w:val="center"/>
            </w:pPr>
            <w:r>
              <w:t xml:space="preserve">4,242</w:t>
            </w:r>
          </w:p>
        </w:tc>
        <w:tc>
          <w:p>
            <w:pPr>
              <w:pStyle w:val="Compact"/>
              <w:jc w:val="center"/>
            </w:pPr>
            <w:r>
              <w:t xml:space="preserve">28.4</w:t>
            </w:r>
          </w:p>
        </w:tc>
        <w:tc>
          <w:p>
            <w:pPr>
              <w:pStyle w:val="Compact"/>
              <w:jc w:val="center"/>
            </w:pPr>
            <w:r>
              <w:t xml:space="preserve">459</w:t>
            </w:r>
          </w:p>
        </w:tc>
        <w:tc>
          <w:p>
            <w:pPr>
              <w:pStyle w:val="Compact"/>
              <w:jc w:val="center"/>
            </w:pPr>
            <w:r>
              <w:t xml:space="preserve">10.8</w:t>
            </w:r>
          </w:p>
        </w:tc>
        <w:tc>
          <w:p>
            <w:pPr>
              <w:pStyle w:val="Compact"/>
              <w:jc w:val="center"/>
            </w:pPr>
            <w:r>
              <w:t xml:space="preserve">17.5</w:t>
            </w:r>
          </w:p>
        </w:tc>
        <w:tc>
          <w:p>
            <w:pPr>
              <w:pStyle w:val="Compact"/>
              <w:jc w:val="center"/>
            </w:pPr>
            <w:r>
              <w:t xml:space="preserve">4.2</w:t>
            </w:r>
          </w:p>
        </w:tc>
        <w:tc>
          <w:p>
            <w:pPr>
              <w:pStyle w:val="Compact"/>
              <w:jc w:val="center"/>
            </w:pPr>
            <w:r>
              <w:t xml:space="preserve">6.8</w:t>
            </w:r>
          </w:p>
        </w:tc>
        <w:tc>
          <w:p>
            <w:pPr>
              <w:pStyle w:val="Compact"/>
              <w:jc w:val="center"/>
            </w:pPr>
            <w:r>
              <w:t xml:space="preserve">71.6</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6.7</w:t>
            </w:r>
          </w:p>
        </w:tc>
        <w:tc>
          <w:p>
            <w:pPr>
              <w:pStyle w:val="Compact"/>
              <w:jc w:val="center"/>
            </w:pPr>
            <w:r>
              <w:t xml:space="preserve">82</w:t>
            </w:r>
          </w:p>
        </w:tc>
        <w:tc>
          <w:p>
            <w:pPr>
              <w:pStyle w:val="Compact"/>
              <w:jc w:val="center"/>
            </w:pPr>
            <w:r>
              <w:t xml:space="preserve">8.2</w:t>
            </w:r>
          </w:p>
        </w:tc>
        <w:tc>
          <w:p>
            <w:pPr>
              <w:pStyle w:val="Compact"/>
              <w:jc w:val="center"/>
            </w:pPr>
            <w:r>
              <w:t xml:space="preserve">38.8</w:t>
            </w:r>
          </w:p>
        </w:tc>
        <w:tc>
          <w:p>
            <w:pPr>
              <w:pStyle w:val="Compact"/>
              <w:jc w:val="center"/>
            </w:pPr>
            <w:r>
              <w:t xml:space="preserve">21.2</w:t>
            </w:r>
          </w:p>
        </w:tc>
        <w:tc>
          <w:p>
            <w:pPr>
              <w:pStyle w:val="Compact"/>
              <w:jc w:val="center"/>
            </w:pPr>
            <w:r>
              <w:t xml:space="preserve">5.0</w:t>
            </w:r>
          </w:p>
        </w:tc>
        <w:tc>
          <w:p>
            <w:pPr>
              <w:pStyle w:val="Compact"/>
              <w:jc w:val="center"/>
            </w:pPr>
            <w:r>
              <w:t xml:space="preserve">35.0</w:t>
            </w:r>
          </w:p>
        </w:tc>
      </w:tr>
      <w:tr>
        <w:tc>
          <w:p>
            <w:pPr>
              <w:pStyle w:val="Compact"/>
              <w:jc w:val="center"/>
            </w:pPr>
            <w:r>
              <w:t xml:space="preserve">Subadult</w:t>
            </w:r>
          </w:p>
        </w:tc>
        <w:tc>
          <w:p>
            <w:pPr>
              <w:pStyle w:val="Compact"/>
              <w:jc w:val="center"/>
            </w:pPr>
            <w:r>
              <w:t xml:space="preserve">936</w:t>
            </w:r>
          </w:p>
        </w:tc>
        <w:tc>
          <w:p>
            <w:pPr>
              <w:pStyle w:val="Compact"/>
              <w:jc w:val="center"/>
            </w:pPr>
            <w:r>
              <w:t xml:space="preserve">6.3</w:t>
            </w:r>
          </w:p>
        </w:tc>
        <w:tc>
          <w:p>
            <w:pPr>
              <w:pStyle w:val="Compact"/>
              <w:jc w:val="center"/>
            </w:pPr>
            <w:r>
              <w:t xml:space="preserve">149</w:t>
            </w:r>
          </w:p>
        </w:tc>
        <w:tc>
          <w:p>
            <w:pPr>
              <w:pStyle w:val="Compact"/>
              <w:jc w:val="center"/>
            </w:pPr>
            <w:r>
              <w:t xml:space="preserve">15.9</w:t>
            </w:r>
          </w:p>
        </w:tc>
        <w:tc>
          <w:p>
            <w:pPr>
              <w:pStyle w:val="Compact"/>
              <w:jc w:val="center"/>
            </w:pPr>
            <w:r>
              <w:t xml:space="preserve">20.9</w:t>
            </w:r>
          </w:p>
        </w:tc>
        <w:tc>
          <w:p>
            <w:pPr>
              <w:pStyle w:val="Compact"/>
              <w:jc w:val="center"/>
            </w:pPr>
            <w:r>
              <w:t xml:space="preserve">51.4</w:t>
            </w:r>
          </w:p>
        </w:tc>
        <w:tc>
          <w:p>
            <w:pPr>
              <w:pStyle w:val="Compact"/>
              <w:jc w:val="center"/>
            </w:pPr>
            <w:r>
              <w:t xml:space="preserve">4.7</w:t>
            </w:r>
          </w:p>
        </w:tc>
        <w:tc>
          <w:p>
            <w:pPr>
              <w:pStyle w:val="Compact"/>
              <w:jc w:val="center"/>
            </w:pPr>
            <w:r>
              <w:t xml:space="preserve">23.0</w:t>
            </w:r>
          </w:p>
        </w:tc>
      </w:tr>
      <w:tr>
        <w:tc>
          <w:p>
            <w:pPr>
              <w:pStyle w:val="Compact"/>
              <w:jc w:val="center"/>
            </w:pPr>
            <w:r>
              <w:t xml:space="preserve">Adult</w:t>
            </w:r>
          </w:p>
        </w:tc>
        <w:tc>
          <w:p>
            <w:pPr>
              <w:pStyle w:val="Compact"/>
              <w:jc w:val="center"/>
            </w:pPr>
            <w:r>
              <w:t xml:space="preserve">3,444</w:t>
            </w:r>
          </w:p>
        </w:tc>
        <w:tc>
          <w:p>
            <w:pPr>
              <w:pStyle w:val="Compact"/>
              <w:jc w:val="center"/>
            </w:pPr>
            <w:r>
              <w:t xml:space="preserve">23.1</w:t>
            </w:r>
          </w:p>
        </w:tc>
        <w:tc>
          <w:p>
            <w:pPr>
              <w:pStyle w:val="Compact"/>
              <w:jc w:val="center"/>
            </w:pPr>
            <w:r>
              <w:t xml:space="preserve">580</w:t>
            </w:r>
          </w:p>
        </w:tc>
        <w:tc>
          <w:p>
            <w:pPr>
              <w:pStyle w:val="Compact"/>
              <w:jc w:val="center"/>
            </w:pPr>
            <w:r>
              <w:t xml:space="preserve">16.8</w:t>
            </w:r>
          </w:p>
        </w:tc>
        <w:tc>
          <w:p>
            <w:pPr>
              <w:pStyle w:val="Compact"/>
              <w:jc w:val="center"/>
            </w:pPr>
            <w:r>
              <w:t xml:space="preserve">16.4</w:t>
            </w:r>
          </w:p>
        </w:tc>
        <w:tc>
          <w:p>
            <w:pPr>
              <w:pStyle w:val="Compact"/>
              <w:jc w:val="center"/>
            </w:pPr>
            <w:r>
              <w:t xml:space="preserve">57.9</w:t>
            </w:r>
          </w:p>
        </w:tc>
        <w:tc>
          <w:p>
            <w:pPr>
              <w:pStyle w:val="Compact"/>
              <w:jc w:val="center"/>
            </w:pPr>
            <w:r>
              <w:t xml:space="preserve">4.7</w:t>
            </w:r>
          </w:p>
        </w:tc>
        <w:tc>
          <w:p>
            <w:pPr>
              <w:pStyle w:val="Compact"/>
              <w:jc w:val="center"/>
            </w:pPr>
            <w:r>
              <w:t xml:space="preserve">20.9</w:t>
            </w:r>
          </w:p>
        </w:tc>
      </w:tr>
      <w:tr>
        <w:tc>
          <w:p>
            <w:pPr>
              <w:pStyle w:val="Compact"/>
              <w:jc w:val="center"/>
            </w:pPr>
            <w:r>
              <w:t xml:space="preserve">Unid. Age</w:t>
            </w:r>
          </w:p>
        </w:tc>
        <w:tc>
          <w:p>
            <w:pPr>
              <w:pStyle w:val="Compact"/>
              <w:jc w:val="center"/>
            </w:pPr>
            <w:r>
              <w:t xml:space="preserve">5,319</w:t>
            </w:r>
          </w:p>
        </w:tc>
        <w:tc>
          <w:p>
            <w:pPr>
              <w:pStyle w:val="Compact"/>
              <w:jc w:val="center"/>
            </w:pPr>
            <w:r>
              <w:t xml:space="preserve">35.6</w:t>
            </w:r>
          </w:p>
        </w:tc>
        <w:tc>
          <w:p>
            <w:pPr>
              <w:pStyle w:val="Compact"/>
              <w:jc w:val="center"/>
            </w:pPr>
            <w:r>
              <w:t xml:space="preserve">358</w:t>
            </w:r>
          </w:p>
        </w:tc>
        <w:tc>
          <w:p>
            <w:pPr>
              <w:pStyle w:val="Compact"/>
              <w:jc w:val="center"/>
            </w:pPr>
            <w:r>
              <w:t xml:space="preserve">6.7</w:t>
            </w:r>
          </w:p>
        </w:tc>
        <w:tc>
          <w:p>
            <w:pPr>
              <w:pStyle w:val="Compact"/>
              <w:jc w:val="center"/>
            </w:pPr>
            <w:r>
              <w:t xml:space="preserve">26.7</w:t>
            </w:r>
          </w:p>
        </w:tc>
        <w:tc>
          <w:p>
            <w:pPr>
              <w:pStyle w:val="Compact"/>
              <w:jc w:val="center"/>
            </w:pPr>
            <w:r>
              <w:t xml:space="preserve">40.9</w:t>
            </w:r>
          </w:p>
        </w:tc>
        <w:tc>
          <w:p>
            <w:pPr>
              <w:pStyle w:val="Compact"/>
              <w:jc w:val="center"/>
            </w:pPr>
            <w:r>
              <w:t xml:space="preserve">2.0</w:t>
            </w:r>
          </w:p>
        </w:tc>
        <w:tc>
          <w:p>
            <w:pPr>
              <w:pStyle w:val="Compact"/>
              <w:jc w:val="center"/>
            </w:pPr>
            <w:r>
              <w:t xml:space="preserve">30.4</w:t>
            </w:r>
          </w:p>
        </w:tc>
      </w:tr>
    </w:tbl>
    <w:p>
      <w:pPr>
        <w:pStyle w:val="BodyText"/>
      </w:pPr>
      <w:r>
        <w:t xml:space="preserve">Table 3: Species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18.9</w:t>
            </w:r>
          </w:p>
        </w:tc>
        <w:tc>
          <w:p>
            <w:pPr>
              <w:pStyle w:val="Compact"/>
              <w:jc w:val="center"/>
            </w:pPr>
            <w:r>
              <w:t xml:space="preserve">69.2</w:t>
            </w:r>
          </w:p>
        </w:tc>
        <w:tc>
          <w:p>
            <w:pPr>
              <w:pStyle w:val="Compact"/>
              <w:jc w:val="center"/>
            </w:pPr>
            <w:r>
              <w:t xml:space="preserve">11.1</w:t>
            </w:r>
          </w:p>
        </w:tc>
        <w:tc>
          <w:p>
            <w:pPr>
              <w:pStyle w:val="Compact"/>
              <w:jc w:val="center"/>
            </w:pPr>
            <w:r>
              <w:t xml:space="preserve">19.7</w:t>
            </w:r>
          </w:p>
        </w:tc>
        <w:tc>
          <w:p>
            <w:pPr>
              <w:pStyle w:val="Compact"/>
              <w:jc w:val="center"/>
            </w:pPr>
            <w:r>
              <w:t xml:space="preserve">428</w:t>
            </w:r>
          </w:p>
        </w:tc>
        <w:tc>
          <w:p>
            <w:pPr>
              <w:pStyle w:val="Compact"/>
              <w:jc w:val="center"/>
            </w:pPr>
            <w:r>
              <w:t xml:space="preserve">15.2</w:t>
            </w:r>
          </w:p>
        </w:tc>
        <w:tc>
          <w:p>
            <w:pPr>
              <w:pStyle w:val="Compact"/>
              <w:jc w:val="center"/>
            </w:pPr>
            <w:r>
              <w:t xml:space="preserve">18.3</w:t>
            </w:r>
          </w:p>
        </w:tc>
        <w:tc>
          <w:p>
            <w:pPr>
              <w:pStyle w:val="Compact"/>
              <w:jc w:val="center"/>
            </w:pPr>
            <w:r>
              <w:t xml:space="preserve">58.5</w:t>
            </w:r>
          </w:p>
        </w:tc>
        <w:tc>
          <w:p>
            <w:pPr>
              <w:pStyle w:val="Compact"/>
              <w:jc w:val="center"/>
            </w:pPr>
            <w:r>
              <w:t xml:space="preserve">3.5</w:t>
            </w:r>
          </w:p>
        </w:tc>
        <w:tc>
          <w:p>
            <w:pPr>
              <w:pStyle w:val="Compact"/>
              <w:jc w:val="center"/>
            </w:pPr>
            <w:r>
              <w:t xml:space="preserve">19.7</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1.1</w:t>
            </w:r>
          </w:p>
        </w:tc>
        <w:tc>
          <w:p>
            <w:pPr>
              <w:pStyle w:val="Compact"/>
              <w:jc w:val="center"/>
            </w:pPr>
            <w:r>
              <w:t xml:space="preserve">60.6</w:t>
            </w:r>
          </w:p>
        </w:tc>
        <w:tc>
          <w:p>
            <w:pPr>
              <w:pStyle w:val="Compact"/>
              <w:jc w:val="center"/>
            </w:pPr>
            <w:r>
              <w:t xml:space="preserve">33.9</w:t>
            </w:r>
          </w:p>
        </w:tc>
        <w:tc>
          <w:p>
            <w:pPr>
              <w:pStyle w:val="Compact"/>
              <w:jc w:val="center"/>
            </w:pPr>
            <w:r>
              <w:t xml:space="preserve">5.5</w:t>
            </w:r>
          </w:p>
        </w:tc>
        <w:tc>
          <w:p>
            <w:pPr>
              <w:pStyle w:val="Compact"/>
              <w:jc w:val="center"/>
            </w:pPr>
            <w:r>
              <w:t xml:space="preserve">23</w:t>
            </w:r>
          </w:p>
        </w:tc>
        <w:tc>
          <w:p>
            <w:pPr>
              <w:pStyle w:val="Compact"/>
              <w:jc w:val="center"/>
            </w:pPr>
            <w:r>
              <w:t xml:space="preserve">13.9</w:t>
            </w:r>
          </w:p>
        </w:tc>
        <w:tc>
          <w:p>
            <w:pPr>
              <w:pStyle w:val="Compact"/>
              <w:jc w:val="center"/>
            </w:pPr>
            <w:r>
              <w:t xml:space="preserve">65.2</w:t>
            </w:r>
          </w:p>
        </w:tc>
        <w:tc>
          <w:p>
            <w:pPr>
              <w:pStyle w:val="Compact"/>
              <w:jc w:val="center"/>
            </w:pPr>
            <w:r>
              <w:t xml:space="preserve">4.3</w:t>
            </w:r>
          </w:p>
        </w:tc>
        <w:tc>
          <w:p>
            <w:pPr>
              <w:pStyle w:val="Compact"/>
              <w:jc w:val="center"/>
            </w:pPr>
            <w:r>
              <w:t xml:space="preserve">0.0</w:t>
            </w:r>
          </w:p>
        </w:tc>
        <w:tc>
          <w:p>
            <w:pPr>
              <w:pStyle w:val="Compact"/>
              <w:jc w:val="center"/>
            </w:pPr>
            <w:r>
              <w:t xml:space="preserve">30.4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58.4</w:t>
            </w:r>
          </w:p>
        </w:tc>
        <w:tc>
          <w:p>
            <w:pPr>
              <w:pStyle w:val="Compact"/>
              <w:jc w:val="center"/>
            </w:pPr>
            <w:r>
              <w:t xml:space="preserve">15.3</w:t>
            </w:r>
          </w:p>
        </w:tc>
        <w:tc>
          <w:p>
            <w:pPr>
              <w:pStyle w:val="Compact"/>
              <w:jc w:val="center"/>
            </w:pPr>
            <w:r>
              <w:t xml:space="preserve">6.8</w:t>
            </w:r>
          </w:p>
        </w:tc>
        <w:tc>
          <w:p>
            <w:pPr>
              <w:pStyle w:val="Compact"/>
              <w:jc w:val="center"/>
            </w:pPr>
            <w:r>
              <w:t xml:space="preserve">77.9</w:t>
            </w:r>
          </w:p>
        </w:tc>
        <w:tc>
          <w:p>
            <w:pPr>
              <w:pStyle w:val="Compact"/>
              <w:jc w:val="center"/>
            </w:pPr>
            <w:r>
              <w:t xml:space="preserve">865</w:t>
            </w:r>
          </w:p>
        </w:tc>
        <w:tc>
          <w:p>
            <w:pPr>
              <w:pStyle w:val="Compact"/>
              <w:jc w:val="center"/>
            </w:pPr>
            <w:r>
              <w:t xml:space="preserve">9.9</w:t>
            </w:r>
          </w:p>
        </w:tc>
        <w:tc>
          <w:p>
            <w:pPr>
              <w:pStyle w:val="Compact"/>
              <w:jc w:val="center"/>
            </w:pPr>
            <w:r>
              <w:t xml:space="preserve">18.7</w:t>
            </w:r>
          </w:p>
        </w:tc>
        <w:tc>
          <w:p>
            <w:pPr>
              <w:pStyle w:val="Compact"/>
              <w:jc w:val="center"/>
            </w:pPr>
            <w:r>
              <w:t xml:space="preserve">20.7</w:t>
            </w:r>
          </w:p>
        </w:tc>
        <w:tc>
          <w:p>
            <w:pPr>
              <w:pStyle w:val="Compact"/>
              <w:jc w:val="center"/>
            </w:pPr>
            <w:r>
              <w:t xml:space="preserve">6.0</w:t>
            </w:r>
          </w:p>
        </w:tc>
        <w:tc>
          <w:p>
            <w:pPr>
              <w:pStyle w:val="Compact"/>
              <w:jc w:val="center"/>
            </w:pPr>
            <w:r>
              <w:t xml:space="preserve">54.5</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66.3</w:t>
            </w:r>
          </w:p>
        </w:tc>
        <w:tc>
          <w:p>
            <w:pPr>
              <w:pStyle w:val="Compact"/>
              <w:jc w:val="center"/>
            </w:pPr>
            <w:r>
              <w:t xml:space="preserve">16.3</w:t>
            </w:r>
          </w:p>
        </w:tc>
        <w:tc>
          <w:p>
            <w:pPr>
              <w:pStyle w:val="Compact"/>
              <w:jc w:val="center"/>
            </w:pPr>
            <w:r>
              <w:t xml:space="preserve">17.4</w:t>
            </w:r>
          </w:p>
        </w:tc>
        <w:tc>
          <w:p>
            <w:pPr>
              <w:pStyle w:val="Compact"/>
              <w:jc w:val="center"/>
            </w:pPr>
            <w:r>
              <w:t xml:space="preserve">36</w:t>
            </w:r>
          </w:p>
        </w:tc>
        <w:tc>
          <w:p>
            <w:pPr>
              <w:pStyle w:val="Compact"/>
              <w:jc w:val="center"/>
            </w:pPr>
            <w:r>
              <w:t xml:space="preserve">8.1</w:t>
            </w:r>
          </w:p>
        </w:tc>
        <w:tc>
          <w:p>
            <w:pPr>
              <w:pStyle w:val="Compact"/>
              <w:jc w:val="center"/>
            </w:pPr>
            <w:r>
              <w:t xml:space="preserve">11.1</w:t>
            </w:r>
          </w:p>
        </w:tc>
        <w:tc>
          <w:p>
            <w:pPr>
              <w:pStyle w:val="Compact"/>
              <w:jc w:val="center"/>
            </w:pPr>
            <w:r>
              <w:t xml:space="preserve">33.3</w:t>
            </w:r>
          </w:p>
        </w:tc>
        <w:tc>
          <w:p>
            <w:pPr>
              <w:pStyle w:val="Compact"/>
              <w:jc w:val="center"/>
            </w:pPr>
            <w:r>
              <w:t xml:space="preserve">11.1</w:t>
            </w:r>
          </w:p>
        </w:tc>
        <w:tc>
          <w:p>
            <w:pPr>
              <w:pStyle w:val="Compact"/>
              <w:jc w:val="center"/>
            </w:pPr>
            <w:r>
              <w:t xml:space="preserve">44.4</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0.8</w:t>
            </w:r>
          </w:p>
        </w:tc>
        <w:tc>
          <w:p>
            <w:pPr>
              <w:pStyle w:val="Compact"/>
              <w:jc w:val="center"/>
            </w:pPr>
            <w:r>
              <w:t xml:space="preserve">60.7</w:t>
            </w:r>
          </w:p>
        </w:tc>
        <w:tc>
          <w:p>
            <w:pPr>
              <w:pStyle w:val="Compact"/>
              <w:jc w:val="center"/>
            </w:pPr>
            <w:r>
              <w:t xml:space="preserve">24.6</w:t>
            </w:r>
          </w:p>
        </w:tc>
        <w:tc>
          <w:p>
            <w:pPr>
              <w:pStyle w:val="Compact"/>
              <w:jc w:val="center"/>
            </w:pPr>
            <w:r>
              <w:t xml:space="preserve">14.8</w:t>
            </w:r>
          </w:p>
        </w:tc>
        <w:tc>
          <w:p>
            <w:pPr>
              <w:pStyle w:val="Compact"/>
              <w:jc w:val="center"/>
            </w:pPr>
            <w:r>
              <w:t xml:space="preserve">30</w:t>
            </w:r>
          </w:p>
        </w:tc>
        <w:tc>
          <w:p>
            <w:pPr>
              <w:pStyle w:val="Compact"/>
              <w:jc w:val="center"/>
            </w:pPr>
            <w:r>
              <w:t xml:space="preserve">24.6</w:t>
            </w:r>
          </w:p>
        </w:tc>
        <w:tc>
          <w:p>
            <w:pPr>
              <w:pStyle w:val="Compact"/>
              <w:jc w:val="center"/>
            </w:pPr>
            <w:r>
              <w:t xml:space="preserve">75.0</w:t>
            </w:r>
          </w:p>
        </w:tc>
        <w:tc>
          <w:p>
            <w:pPr>
              <w:pStyle w:val="Compact"/>
              <w:jc w:val="center"/>
            </w:pPr>
            <w:r>
              <w:t xml:space="preserve">3.6</w:t>
            </w:r>
          </w:p>
        </w:tc>
        <w:tc>
          <w:p>
            <w:pPr>
              <w:pStyle w:val="Compact"/>
              <w:jc w:val="center"/>
            </w:pPr>
            <w:r>
              <w:t xml:space="preserve">0.0</w:t>
            </w:r>
          </w:p>
        </w:tc>
        <w:tc>
          <w:p>
            <w:pPr>
              <w:pStyle w:val="Compact"/>
              <w:jc w:val="center"/>
            </w:pPr>
            <w:r>
              <w:t xml:space="preserve">21.4</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67.3</w:t>
            </w:r>
          </w:p>
        </w:tc>
        <w:tc>
          <w:p>
            <w:pPr>
              <w:pStyle w:val="Compact"/>
              <w:jc w:val="center"/>
            </w:pPr>
            <w:r>
              <w:t xml:space="preserve">16.8</w:t>
            </w:r>
          </w:p>
        </w:tc>
        <w:tc>
          <w:p>
            <w:pPr>
              <w:pStyle w:val="Compact"/>
              <w:jc w:val="center"/>
            </w:pPr>
            <w:r>
              <w:t xml:space="preserve">15.9</w:t>
            </w:r>
          </w:p>
        </w:tc>
        <w:tc>
          <w:p>
            <w:pPr>
              <w:pStyle w:val="Compact"/>
              <w:jc w:val="center"/>
            </w:pPr>
            <w:r>
              <w:t xml:space="preserve">182</w:t>
            </w:r>
          </w:p>
        </w:tc>
        <w:tc>
          <w:p>
            <w:pPr>
              <w:pStyle w:val="Compact"/>
              <w:jc w:val="center"/>
            </w:pPr>
            <w:r>
              <w:t xml:space="preserve">17.5</w:t>
            </w:r>
          </w:p>
        </w:tc>
        <w:tc>
          <w:p>
            <w:pPr>
              <w:pStyle w:val="Compact"/>
              <w:jc w:val="center"/>
            </w:pPr>
            <w:r>
              <w:t xml:space="preserve">15.7</w:t>
            </w:r>
          </w:p>
        </w:tc>
        <w:tc>
          <w:p>
            <w:pPr>
              <w:pStyle w:val="Compact"/>
              <w:jc w:val="center"/>
            </w:pPr>
            <w:r>
              <w:t xml:space="preserve">74.2</w:t>
            </w:r>
          </w:p>
        </w:tc>
        <w:tc>
          <w:p>
            <w:pPr>
              <w:pStyle w:val="Compact"/>
              <w:jc w:val="center"/>
            </w:pPr>
            <w:r>
              <w:t xml:space="preserve">1.7</w:t>
            </w:r>
          </w:p>
        </w:tc>
        <w:tc>
          <w:p>
            <w:pPr>
              <w:pStyle w:val="Compact"/>
              <w:jc w:val="center"/>
            </w:pPr>
            <w:r>
              <w:t xml:space="preserve">8.4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36.7</w:t>
            </w:r>
          </w:p>
        </w:tc>
        <w:tc>
          <w:p>
            <w:pPr>
              <w:pStyle w:val="Compact"/>
              <w:jc w:val="center"/>
            </w:pPr>
            <w:r>
              <w:t xml:space="preserve">8.9</w:t>
            </w:r>
          </w:p>
        </w:tc>
        <w:tc>
          <w:p>
            <w:pPr>
              <w:pStyle w:val="Compact"/>
              <w:jc w:val="center"/>
            </w:pPr>
            <w:r>
              <w:t xml:space="preserve">54.4</w:t>
            </w:r>
          </w:p>
        </w:tc>
        <w:tc>
          <w:p>
            <w:pPr>
              <w:pStyle w:val="Compact"/>
              <w:jc w:val="center"/>
            </w:pPr>
            <w:r>
              <w:t xml:space="preserve">--</w:t>
            </w:r>
          </w:p>
        </w:tc>
        <w:tc>
          <w:p>
            <w:pPr>
              <w:pStyle w:val="Compact"/>
              <w:jc w:val="center"/>
            </w:pPr>
            <w:r>
              <w:t xml:space="preserve">10.9</w:t>
            </w:r>
          </w:p>
        </w:tc>
        <w:tc>
          <w:p>
            <w:pPr>
              <w:pStyle w:val="Compact"/>
              <w:jc w:val="center"/>
            </w:pPr>
            <w:r>
              <w:t xml:space="preserve">20.5</w:t>
            </w:r>
          </w:p>
        </w:tc>
        <w:tc>
          <w:p>
            <w:pPr>
              <w:pStyle w:val="Compact"/>
              <w:jc w:val="center"/>
            </w:pPr>
            <w:r>
              <w:t xml:space="preserve">37.1</w:t>
            </w:r>
          </w:p>
        </w:tc>
        <w:tc>
          <w:p>
            <w:pPr>
              <w:pStyle w:val="Compact"/>
              <w:jc w:val="center"/>
            </w:pPr>
            <w:r>
              <w:t xml:space="preserve">4.7</w:t>
            </w:r>
          </w:p>
        </w:tc>
        <w:tc>
          <w:p>
            <w:pPr>
              <w:pStyle w:val="Compact"/>
              <w:jc w:val="center"/>
            </w:pPr>
            <w:r>
              <w:t xml:space="preserve">37.7</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w:t>
      </w:r>
      <w:r>
        <w:rPr>
          <w:i/>
        </w:rPr>
        <w:t xml:space="preserve">n</w:t>
      </w:r>
      <w:r>
        <w:t xml:space="preserve"> </w:t>
      </w:r>
      <w:r>
        <w:t xml:space="preserve">= 9,413).</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523</w:t>
            </w:r>
          </w:p>
        </w:tc>
        <w:tc>
          <w:p>
            <w:pPr>
              <w:pStyle w:val="Compact"/>
              <w:jc w:val="center"/>
            </w:pPr>
            <w:r>
              <w:t xml:space="preserve">5.6</w:t>
            </w:r>
          </w:p>
        </w:tc>
        <w:tc>
          <w:p>
            <w:pPr>
              <w:pStyle w:val="Compact"/>
              <w:jc w:val="center"/>
            </w:pPr>
            <w:r>
              <w:t xml:space="preserve">58</w:t>
            </w:r>
          </w:p>
        </w:tc>
        <w:tc>
          <w:p>
            <w:pPr>
              <w:pStyle w:val="Compact"/>
              <w:jc w:val="center"/>
            </w:pPr>
            <w:r>
              <w:t xml:space="preserve">5.5</w:t>
            </w:r>
          </w:p>
        </w:tc>
        <w:tc>
          <w:p>
            <w:pPr>
              <w:pStyle w:val="Compact"/>
              <w:jc w:val="center"/>
            </w:pPr>
            <w:r>
              <w:t xml:space="preserve">14</w:t>
            </w:r>
          </w:p>
        </w:tc>
        <w:tc>
          <w:p>
            <w:pPr>
              <w:pStyle w:val="Compact"/>
              <w:jc w:val="center"/>
            </w:pPr>
            <w:r>
              <w:t xml:space="preserve">33</w:t>
            </w:r>
          </w:p>
        </w:tc>
        <w:tc>
          <w:p>
            <w:pPr>
              <w:pStyle w:val="Compact"/>
              <w:jc w:val="center"/>
            </w:pPr>
            <w:r>
              <w:t xml:space="preserve">5</w:t>
            </w:r>
          </w:p>
        </w:tc>
        <w:tc>
          <w:p>
            <w:pPr>
              <w:pStyle w:val="Compact"/>
              <w:jc w:val="center"/>
            </w:pPr>
            <w:r>
              <w:t xml:space="preserve">48</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12</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783</w:t>
            </w:r>
          </w:p>
        </w:tc>
        <w:tc>
          <w:p>
            <w:pPr>
              <w:pStyle w:val="Compact"/>
              <w:jc w:val="center"/>
            </w:pPr>
            <w:r>
              <w:t xml:space="preserve">8.3</w:t>
            </w:r>
          </w:p>
        </w:tc>
        <w:tc>
          <w:p>
            <w:pPr>
              <w:pStyle w:val="Compact"/>
              <w:jc w:val="center"/>
            </w:pPr>
            <w:r>
              <w:t xml:space="preserve">107</w:t>
            </w:r>
          </w:p>
        </w:tc>
        <w:tc>
          <w:p>
            <w:pPr>
              <w:pStyle w:val="Compact"/>
              <w:jc w:val="center"/>
            </w:pPr>
            <w:r>
              <w:t xml:space="preserve">10.2</w:t>
            </w:r>
          </w:p>
        </w:tc>
        <w:tc>
          <w:p>
            <w:pPr>
              <w:pStyle w:val="Compact"/>
              <w:jc w:val="center"/>
            </w:pPr>
            <w:r>
              <w:t xml:space="preserve">7</w:t>
            </w:r>
          </w:p>
        </w:tc>
        <w:tc>
          <w:p>
            <w:pPr>
              <w:pStyle w:val="Compact"/>
              <w:jc w:val="center"/>
            </w:pPr>
            <w:r>
              <w:t xml:space="preserve">45</w:t>
            </w:r>
          </w:p>
        </w:tc>
        <w:tc>
          <w:p>
            <w:pPr>
              <w:pStyle w:val="Compact"/>
              <w:jc w:val="center"/>
            </w:pPr>
            <w:r>
              <w:t xml:space="preserve">0</w:t>
            </w:r>
          </w:p>
        </w:tc>
        <w:tc>
          <w:p>
            <w:pPr>
              <w:pStyle w:val="Compact"/>
              <w:jc w:val="center"/>
            </w:pPr>
            <w:r>
              <w:t xml:space="preserve">49</w:t>
            </w:r>
          </w:p>
        </w:tc>
      </w:tr>
      <w:tr>
        <w:tc>
          <w:p>
            <w:pPr>
              <w:pStyle w:val="Compact"/>
              <w:jc w:val="center"/>
            </w:pPr>
            <w:r>
              <w:t xml:space="preserve">Island</w:t>
            </w:r>
          </w:p>
        </w:tc>
        <w:tc>
          <w:p>
            <w:pPr>
              <w:pStyle w:val="Compact"/>
              <w:jc w:val="center"/>
            </w:pPr>
            <w:r>
              <w:t xml:space="preserve">876</w:t>
            </w:r>
          </w:p>
        </w:tc>
        <w:tc>
          <w:p>
            <w:pPr>
              <w:pStyle w:val="Compact"/>
              <w:jc w:val="center"/>
            </w:pPr>
            <w:r>
              <w:t xml:space="preserve">9.3</w:t>
            </w:r>
          </w:p>
        </w:tc>
        <w:tc>
          <w:p>
            <w:pPr>
              <w:pStyle w:val="Compact"/>
              <w:jc w:val="center"/>
            </w:pPr>
            <w:r>
              <w:t xml:space="preserve">51</w:t>
            </w:r>
          </w:p>
        </w:tc>
        <w:tc>
          <w:p>
            <w:pPr>
              <w:pStyle w:val="Compact"/>
              <w:jc w:val="center"/>
            </w:pPr>
            <w:r>
              <w:t xml:space="preserve">4.9</w:t>
            </w:r>
          </w:p>
        </w:tc>
        <w:tc>
          <w:p>
            <w:pPr>
              <w:pStyle w:val="Compact"/>
              <w:jc w:val="center"/>
            </w:pPr>
            <w:r>
              <w:t xml:space="preserve">16</w:t>
            </w:r>
          </w:p>
        </w:tc>
        <w:tc>
          <w:p>
            <w:pPr>
              <w:pStyle w:val="Compact"/>
              <w:jc w:val="center"/>
            </w:pPr>
            <w:r>
              <w:t xml:space="preserve">43</w:t>
            </w:r>
          </w:p>
        </w:tc>
        <w:tc>
          <w:p>
            <w:pPr>
              <w:pStyle w:val="Compact"/>
              <w:jc w:val="center"/>
            </w:pPr>
            <w:r>
              <w:t xml:space="preserve">16</w:t>
            </w:r>
          </w:p>
        </w:tc>
        <w:tc>
          <w:p>
            <w:pPr>
              <w:pStyle w:val="Compact"/>
              <w:jc w:val="center"/>
            </w:pPr>
            <w:r>
              <w:t xml:space="preserve">25</w:t>
            </w:r>
          </w:p>
        </w:tc>
      </w:tr>
      <w:tr>
        <w:tc>
          <w:p>
            <w:pPr>
              <w:pStyle w:val="Compact"/>
              <w:jc w:val="center"/>
            </w:pPr>
            <w:r>
              <w:t xml:space="preserve">Jefferson</w:t>
            </w:r>
          </w:p>
        </w:tc>
        <w:tc>
          <w:p>
            <w:pPr>
              <w:pStyle w:val="Compact"/>
              <w:jc w:val="center"/>
            </w:pPr>
            <w:r>
              <w:t xml:space="preserve">332</w:t>
            </w:r>
          </w:p>
        </w:tc>
        <w:tc>
          <w:p>
            <w:pPr>
              <w:pStyle w:val="Compact"/>
              <w:jc w:val="center"/>
            </w:pPr>
            <w:r>
              <w:t xml:space="preserve">3.5</w:t>
            </w:r>
          </w:p>
        </w:tc>
        <w:tc>
          <w:p>
            <w:pPr>
              <w:pStyle w:val="Compact"/>
              <w:jc w:val="center"/>
            </w:pPr>
            <w:r>
              <w:t xml:space="preserve">38</w:t>
            </w:r>
          </w:p>
        </w:tc>
        <w:tc>
          <w:p>
            <w:pPr>
              <w:pStyle w:val="Compact"/>
              <w:jc w:val="center"/>
            </w:pPr>
            <w:r>
              <w:t xml:space="preserve">3.6</w:t>
            </w:r>
          </w:p>
        </w:tc>
        <w:tc>
          <w:p>
            <w:pPr>
              <w:pStyle w:val="Compact"/>
              <w:jc w:val="center"/>
            </w:pPr>
            <w:r>
              <w:t xml:space="preserve">26</w:t>
            </w:r>
          </w:p>
        </w:tc>
        <w:tc>
          <w:p>
            <w:pPr>
              <w:pStyle w:val="Compact"/>
              <w:jc w:val="center"/>
            </w:pPr>
            <w:r>
              <w:t xml:space="preserve">13</w:t>
            </w:r>
          </w:p>
        </w:tc>
        <w:tc>
          <w:p>
            <w:pPr>
              <w:pStyle w:val="Compact"/>
              <w:jc w:val="center"/>
            </w:pPr>
            <w:r>
              <w:t xml:space="preserve">5</w:t>
            </w:r>
          </w:p>
        </w:tc>
        <w:tc>
          <w:p>
            <w:pPr>
              <w:pStyle w:val="Compact"/>
              <w:jc w:val="center"/>
            </w:pPr>
            <w:r>
              <w:t xml:space="preserve">55</w:t>
            </w:r>
          </w:p>
        </w:tc>
      </w:tr>
      <w:tr>
        <w:tc>
          <w:p>
            <w:pPr>
              <w:pStyle w:val="Compact"/>
              <w:jc w:val="center"/>
            </w:pPr>
            <w:r>
              <w:t xml:space="preserve">King</w:t>
            </w:r>
          </w:p>
        </w:tc>
        <w:tc>
          <w:p>
            <w:pPr>
              <w:pStyle w:val="Compact"/>
              <w:jc w:val="center"/>
            </w:pPr>
            <w:r>
              <w:t xml:space="preserve">832</w:t>
            </w:r>
          </w:p>
        </w:tc>
        <w:tc>
          <w:p>
            <w:pPr>
              <w:pStyle w:val="Compact"/>
              <w:jc w:val="center"/>
            </w:pPr>
            <w:r>
              <w:t xml:space="preserve">8.9</w:t>
            </w:r>
          </w:p>
        </w:tc>
        <w:tc>
          <w:p>
            <w:pPr>
              <w:pStyle w:val="Compact"/>
              <w:jc w:val="center"/>
            </w:pPr>
            <w:r>
              <w:t xml:space="preserve">72</w:t>
            </w:r>
          </w:p>
        </w:tc>
        <w:tc>
          <w:p>
            <w:pPr>
              <w:pStyle w:val="Compact"/>
              <w:jc w:val="center"/>
            </w:pPr>
            <w:r>
              <w:t xml:space="preserve">6.9</w:t>
            </w:r>
          </w:p>
        </w:tc>
        <w:tc>
          <w:p>
            <w:pPr>
              <w:pStyle w:val="Compact"/>
              <w:jc w:val="center"/>
            </w:pPr>
            <w:r>
              <w:t xml:space="preserve">29</w:t>
            </w:r>
          </w:p>
        </w:tc>
        <w:tc>
          <w:p>
            <w:pPr>
              <w:pStyle w:val="Compact"/>
              <w:jc w:val="center"/>
            </w:pPr>
            <w:r>
              <w:t xml:space="preserve">28</w:t>
            </w:r>
          </w:p>
        </w:tc>
        <w:tc>
          <w:p>
            <w:pPr>
              <w:pStyle w:val="Compact"/>
              <w:jc w:val="center"/>
            </w:pPr>
            <w:r>
              <w:t xml:space="preserve">0</w:t>
            </w:r>
          </w:p>
        </w:tc>
        <w:tc>
          <w:p>
            <w:pPr>
              <w:pStyle w:val="Compact"/>
              <w:jc w:val="center"/>
            </w:pPr>
            <w:r>
              <w:t xml:space="preserve">43</w:t>
            </w:r>
          </w:p>
        </w:tc>
      </w:tr>
      <w:tr>
        <w:tc>
          <w:p>
            <w:pPr>
              <w:pStyle w:val="Compact"/>
              <w:jc w:val="center"/>
            </w:pPr>
            <w:r>
              <w:t xml:space="preserve">Kitsap</w:t>
            </w:r>
          </w:p>
        </w:tc>
        <w:tc>
          <w:p>
            <w:pPr>
              <w:pStyle w:val="Compact"/>
              <w:jc w:val="center"/>
            </w:pPr>
            <w:r>
              <w:t xml:space="preserve">732</w:t>
            </w:r>
          </w:p>
        </w:tc>
        <w:tc>
          <w:p>
            <w:pPr>
              <w:pStyle w:val="Compact"/>
              <w:jc w:val="center"/>
            </w:pPr>
            <w:r>
              <w:t xml:space="preserve">7.8</w:t>
            </w:r>
          </w:p>
        </w:tc>
        <w:tc>
          <w:p>
            <w:pPr>
              <w:pStyle w:val="Compact"/>
              <w:jc w:val="center"/>
            </w:pPr>
            <w:r>
              <w:t xml:space="preserve">81</w:t>
            </w:r>
          </w:p>
        </w:tc>
        <w:tc>
          <w:p>
            <w:pPr>
              <w:pStyle w:val="Compact"/>
              <w:jc w:val="center"/>
            </w:pPr>
            <w:r>
              <w:t xml:space="preserve">7.7</w:t>
            </w:r>
          </w:p>
        </w:tc>
        <w:tc>
          <w:p>
            <w:pPr>
              <w:pStyle w:val="Compact"/>
              <w:jc w:val="center"/>
            </w:pPr>
            <w:r>
              <w:t xml:space="preserve">28</w:t>
            </w:r>
          </w:p>
        </w:tc>
        <w:tc>
          <w:p>
            <w:pPr>
              <w:pStyle w:val="Compact"/>
              <w:jc w:val="center"/>
            </w:pPr>
            <w:r>
              <w:t xml:space="preserve">20</w:t>
            </w:r>
          </w:p>
        </w:tc>
        <w:tc>
          <w:p>
            <w:pPr>
              <w:pStyle w:val="Compact"/>
              <w:jc w:val="center"/>
            </w:pPr>
            <w:r>
              <w:t xml:space="preserve">0</w:t>
            </w:r>
          </w:p>
        </w:tc>
        <w:tc>
          <w:p>
            <w:pPr>
              <w:pStyle w:val="Compact"/>
              <w:jc w:val="center"/>
            </w:pPr>
            <w:r>
              <w:t xml:space="preserve">52</w:t>
            </w:r>
          </w:p>
        </w:tc>
      </w:tr>
      <w:tr>
        <w:tc>
          <w:p>
            <w:pPr>
              <w:pStyle w:val="Compact"/>
              <w:jc w:val="center"/>
            </w:pPr>
            <w:r>
              <w:t xml:space="preserve">Mason</w:t>
            </w:r>
          </w:p>
        </w:tc>
        <w:tc>
          <w:p>
            <w:pPr>
              <w:pStyle w:val="Compact"/>
              <w:jc w:val="center"/>
            </w:pPr>
            <w:r>
              <w:t xml:space="preserve">230</w:t>
            </w:r>
          </w:p>
        </w:tc>
        <w:tc>
          <w:p>
            <w:pPr>
              <w:pStyle w:val="Compact"/>
              <w:jc w:val="center"/>
            </w:pPr>
            <w:r>
              <w:t xml:space="preserve">2.5</w:t>
            </w:r>
          </w:p>
        </w:tc>
        <w:tc>
          <w:p>
            <w:pPr>
              <w:pStyle w:val="Compact"/>
              <w:jc w:val="center"/>
            </w:pPr>
            <w:r>
              <w:t xml:space="preserve">21</w:t>
            </w:r>
          </w:p>
        </w:tc>
        <w:tc>
          <w:p>
            <w:pPr>
              <w:pStyle w:val="Compact"/>
              <w:jc w:val="center"/>
            </w:pPr>
            <w:r>
              <w:t xml:space="preserve">2.0</w:t>
            </w:r>
          </w:p>
        </w:tc>
        <w:tc>
          <w:p>
            <w:pPr>
              <w:pStyle w:val="Compact"/>
              <w:jc w:val="center"/>
            </w:pPr>
            <w:r>
              <w:t xml:space="preserve">24</w:t>
            </w:r>
          </w:p>
        </w:tc>
        <w:tc>
          <w:p>
            <w:pPr>
              <w:pStyle w:val="Compact"/>
              <w:jc w:val="center"/>
            </w:pPr>
            <w:r>
              <w:t xml:space="preserve">29</w:t>
            </w:r>
          </w:p>
        </w:tc>
        <w:tc>
          <w:p>
            <w:pPr>
              <w:pStyle w:val="Compact"/>
              <w:jc w:val="center"/>
            </w:pPr>
            <w:r>
              <w:t xml:space="preserve">0</w:t>
            </w:r>
          </w:p>
        </w:tc>
        <w:tc>
          <w:p>
            <w:pPr>
              <w:pStyle w:val="Compact"/>
              <w:jc w:val="center"/>
            </w:pPr>
            <w:r>
              <w:t xml:space="preserve">48</w:t>
            </w:r>
          </w:p>
        </w:tc>
      </w:tr>
      <w:tr>
        <w:tc>
          <w:p>
            <w:pPr>
              <w:pStyle w:val="Compact"/>
              <w:jc w:val="center"/>
            </w:pPr>
            <w:r>
              <w:t xml:space="preserve">Pacific</w:t>
            </w:r>
          </w:p>
        </w:tc>
        <w:tc>
          <w:p>
            <w:pPr>
              <w:pStyle w:val="Compact"/>
              <w:jc w:val="center"/>
            </w:pPr>
            <w:r>
              <w:t xml:space="preserve">540</w:t>
            </w:r>
          </w:p>
        </w:tc>
        <w:tc>
          <w:p>
            <w:pPr>
              <w:pStyle w:val="Compact"/>
              <w:jc w:val="center"/>
            </w:pPr>
            <w:r>
              <w:t xml:space="preserve">5.8</w:t>
            </w:r>
          </w:p>
        </w:tc>
        <w:tc>
          <w:p>
            <w:pPr>
              <w:pStyle w:val="Compact"/>
              <w:jc w:val="center"/>
            </w:pPr>
            <w:r>
              <w:t xml:space="preserve">147</w:t>
            </w:r>
          </w:p>
        </w:tc>
        <w:tc>
          <w:p>
            <w:pPr>
              <w:pStyle w:val="Compact"/>
              <w:jc w:val="center"/>
            </w:pPr>
            <w:r>
              <w:t xml:space="preserve">14.0</w:t>
            </w:r>
          </w:p>
        </w:tc>
        <w:tc>
          <w:p>
            <w:pPr>
              <w:pStyle w:val="Compact"/>
              <w:jc w:val="center"/>
            </w:pPr>
            <w:r>
              <w:t xml:space="preserve">18</w:t>
            </w:r>
          </w:p>
        </w:tc>
        <w:tc>
          <w:p>
            <w:pPr>
              <w:pStyle w:val="Compact"/>
              <w:jc w:val="center"/>
            </w:pPr>
            <w:r>
              <w:t xml:space="preserve">66</w:t>
            </w:r>
          </w:p>
        </w:tc>
        <w:tc>
          <w:p>
            <w:pPr>
              <w:pStyle w:val="Compact"/>
              <w:jc w:val="center"/>
            </w:pPr>
            <w:r>
              <w:t xml:space="preserve">1</w:t>
            </w:r>
          </w:p>
        </w:tc>
        <w:tc>
          <w:p>
            <w:pPr>
              <w:pStyle w:val="Compact"/>
              <w:jc w:val="center"/>
            </w:pPr>
            <w:r>
              <w:t xml:space="preserve">16</w:t>
            </w:r>
          </w:p>
        </w:tc>
      </w:tr>
      <w:tr>
        <w:tc>
          <w:p>
            <w:pPr>
              <w:pStyle w:val="Compact"/>
              <w:jc w:val="center"/>
            </w:pPr>
            <w:r>
              <w:t xml:space="preserve">Pierce</w:t>
            </w:r>
          </w:p>
        </w:tc>
        <w:tc>
          <w:p>
            <w:pPr>
              <w:pStyle w:val="Compact"/>
              <w:jc w:val="center"/>
            </w:pPr>
            <w:r>
              <w:t xml:space="preserve">1,246</w:t>
            </w:r>
          </w:p>
        </w:tc>
        <w:tc>
          <w:p>
            <w:pPr>
              <w:pStyle w:val="Compact"/>
              <w:jc w:val="center"/>
            </w:pPr>
            <w:r>
              <w:t xml:space="preserve">13.3</w:t>
            </w:r>
          </w:p>
        </w:tc>
        <w:tc>
          <w:p>
            <w:pPr>
              <w:pStyle w:val="Compact"/>
              <w:jc w:val="center"/>
            </w:pPr>
            <w:r>
              <w:t xml:space="preserve">168</w:t>
            </w:r>
          </w:p>
        </w:tc>
        <w:tc>
          <w:p>
            <w:pPr>
              <w:pStyle w:val="Compact"/>
              <w:jc w:val="center"/>
            </w:pPr>
            <w:r>
              <w:t xml:space="preserve">16.0</w:t>
            </w:r>
          </w:p>
        </w:tc>
        <w:tc>
          <w:p>
            <w:pPr>
              <w:pStyle w:val="Compact"/>
              <w:jc w:val="center"/>
            </w:pPr>
            <w:r>
              <w:t xml:space="preserve">10</w:t>
            </w:r>
          </w:p>
        </w:tc>
        <w:tc>
          <w:p>
            <w:pPr>
              <w:pStyle w:val="Compact"/>
              <w:jc w:val="center"/>
            </w:pPr>
            <w:r>
              <w:t xml:space="preserve">13</w:t>
            </w:r>
          </w:p>
        </w:tc>
        <w:tc>
          <w:p>
            <w:pPr>
              <w:pStyle w:val="Compact"/>
              <w:jc w:val="center"/>
            </w:pPr>
            <w:r>
              <w:t xml:space="preserve">3</w:t>
            </w:r>
          </w:p>
        </w:tc>
        <w:tc>
          <w:p>
            <w:pPr>
              <w:pStyle w:val="Compact"/>
              <w:jc w:val="center"/>
            </w:pPr>
            <w:r>
              <w:t xml:space="preserve">74</w:t>
            </w:r>
          </w:p>
        </w:tc>
      </w:tr>
      <w:tr>
        <w:tc>
          <w:p>
            <w:pPr>
              <w:pStyle w:val="Compact"/>
              <w:jc w:val="center"/>
            </w:pPr>
            <w:r>
              <w:t xml:space="preserve">San Juan</w:t>
            </w:r>
          </w:p>
        </w:tc>
        <w:tc>
          <w:p>
            <w:pPr>
              <w:pStyle w:val="Compact"/>
              <w:jc w:val="center"/>
            </w:pPr>
            <w:r>
              <w:t xml:space="preserve">1,983</w:t>
            </w:r>
          </w:p>
        </w:tc>
        <w:tc>
          <w:p>
            <w:pPr>
              <w:pStyle w:val="Compact"/>
              <w:jc w:val="center"/>
            </w:pPr>
            <w:r>
              <w:t xml:space="preserve">21.1</w:t>
            </w:r>
          </w:p>
        </w:tc>
        <w:tc>
          <w:p>
            <w:pPr>
              <w:pStyle w:val="Compact"/>
              <w:jc w:val="center"/>
            </w:pPr>
            <w:r>
              <w:t xml:space="preserve">89</w:t>
            </w:r>
          </w:p>
        </w:tc>
        <w:tc>
          <w:p>
            <w:pPr>
              <w:pStyle w:val="Compact"/>
              <w:jc w:val="center"/>
            </w:pPr>
            <w:r>
              <w:t xml:space="preserve">8.5</w:t>
            </w:r>
          </w:p>
        </w:tc>
        <w:tc>
          <w:p>
            <w:pPr>
              <w:pStyle w:val="Compact"/>
              <w:jc w:val="center"/>
            </w:pPr>
            <w:r>
              <w:t xml:space="preserve">16</w:t>
            </w:r>
          </w:p>
        </w:tc>
        <w:tc>
          <w:p>
            <w:pPr>
              <w:pStyle w:val="Compact"/>
              <w:jc w:val="center"/>
            </w:pPr>
            <w:r>
              <w:t xml:space="preserve">24</w:t>
            </w:r>
          </w:p>
        </w:tc>
        <w:tc>
          <w:p>
            <w:pPr>
              <w:pStyle w:val="Compact"/>
              <w:jc w:val="center"/>
            </w:pPr>
            <w:r>
              <w:t xml:space="preserve">16</w:t>
            </w:r>
          </w:p>
        </w:tc>
        <w:tc>
          <w:p>
            <w:pPr>
              <w:pStyle w:val="Compact"/>
              <w:jc w:val="center"/>
            </w:pPr>
            <w:r>
              <w:t xml:space="preserve">45</w:t>
            </w:r>
          </w:p>
        </w:tc>
      </w:tr>
      <w:tr>
        <w:tc>
          <w:p>
            <w:pPr>
              <w:pStyle w:val="Compact"/>
              <w:jc w:val="center"/>
            </w:pPr>
            <w:r>
              <w:t xml:space="preserve">Skagit</w:t>
            </w:r>
          </w:p>
        </w:tc>
        <w:tc>
          <w:p>
            <w:pPr>
              <w:pStyle w:val="Compact"/>
              <w:jc w:val="center"/>
            </w:pPr>
            <w:r>
              <w:t xml:space="preserve">163</w:t>
            </w:r>
          </w:p>
        </w:tc>
        <w:tc>
          <w:p>
            <w:pPr>
              <w:pStyle w:val="Compact"/>
              <w:jc w:val="center"/>
            </w:pPr>
            <w:r>
              <w:t xml:space="preserve">1.7</w:t>
            </w:r>
          </w:p>
        </w:tc>
        <w:tc>
          <w:p>
            <w:pPr>
              <w:pStyle w:val="Compact"/>
              <w:jc w:val="center"/>
            </w:pPr>
            <w:r>
              <w:t xml:space="preserve">22</w:t>
            </w:r>
          </w:p>
        </w:tc>
        <w:tc>
          <w:p>
            <w:pPr>
              <w:pStyle w:val="Compact"/>
              <w:jc w:val="center"/>
            </w:pPr>
            <w:r>
              <w:t xml:space="preserve">2.1</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293</w:t>
            </w:r>
          </w:p>
        </w:tc>
        <w:tc>
          <w:p>
            <w:pPr>
              <w:pStyle w:val="Compact"/>
              <w:jc w:val="center"/>
            </w:pPr>
            <w:r>
              <w:t xml:space="preserve">3.1</w:t>
            </w:r>
          </w:p>
        </w:tc>
        <w:tc>
          <w:p>
            <w:pPr>
              <w:pStyle w:val="Compact"/>
              <w:jc w:val="center"/>
            </w:pPr>
            <w:r>
              <w:t xml:space="preserve">36</w:t>
            </w:r>
          </w:p>
        </w:tc>
        <w:tc>
          <w:p>
            <w:pPr>
              <w:pStyle w:val="Compact"/>
              <w:jc w:val="center"/>
            </w:pPr>
            <w:r>
              <w:t xml:space="preserve">3.4</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317</w:t>
            </w:r>
          </w:p>
        </w:tc>
        <w:tc>
          <w:p>
            <w:pPr>
              <w:pStyle w:val="Compact"/>
              <w:jc w:val="center"/>
            </w:pPr>
            <w:r>
              <w:t xml:space="preserve">3.4</w:t>
            </w:r>
          </w:p>
        </w:tc>
        <w:tc>
          <w:p>
            <w:pPr>
              <w:pStyle w:val="Compact"/>
              <w:jc w:val="center"/>
            </w:pPr>
            <w:r>
              <w:t xml:space="preserve">45</w:t>
            </w:r>
          </w:p>
        </w:tc>
        <w:tc>
          <w:p>
            <w:pPr>
              <w:pStyle w:val="Compact"/>
              <w:jc w:val="center"/>
            </w:pPr>
            <w:r>
              <w:t xml:space="preserve">4.3</w:t>
            </w:r>
          </w:p>
        </w:tc>
        <w:tc>
          <w:p>
            <w:pPr>
              <w:pStyle w:val="Compact"/>
              <w:jc w:val="center"/>
            </w:pPr>
            <w:r>
              <w:t xml:space="preserve">27</w:t>
            </w:r>
          </w:p>
        </w:tc>
        <w:tc>
          <w:p>
            <w:pPr>
              <w:pStyle w:val="Compact"/>
              <w:jc w:val="center"/>
            </w:pPr>
            <w:r>
              <w:t xml:space="preserve">18</w:t>
            </w:r>
          </w:p>
        </w:tc>
        <w:tc>
          <w:p>
            <w:pPr>
              <w:pStyle w:val="Compact"/>
              <w:jc w:val="center"/>
            </w:pPr>
            <w:r>
              <w:t xml:space="preserve">7</w:t>
            </w:r>
          </w:p>
        </w:tc>
        <w:tc>
          <w:p>
            <w:pPr>
              <w:pStyle w:val="Compact"/>
              <w:jc w:val="center"/>
            </w:pPr>
            <w:r>
              <w:t xml:space="preserve">49</w:t>
            </w:r>
          </w:p>
        </w:tc>
      </w:tr>
      <w:tr>
        <w:tc>
          <w:p>
            <w:pPr>
              <w:pStyle w:val="Compact"/>
              <w:jc w:val="center"/>
            </w:pPr>
            <w:r>
              <w:t xml:space="preserve">Whatcom</w:t>
            </w:r>
          </w:p>
        </w:tc>
        <w:tc>
          <w:p>
            <w:pPr>
              <w:pStyle w:val="Compact"/>
              <w:jc w:val="center"/>
            </w:pPr>
            <w:r>
              <w:t xml:space="preserve">516</w:t>
            </w:r>
          </w:p>
        </w:tc>
        <w:tc>
          <w:p>
            <w:pPr>
              <w:pStyle w:val="Compact"/>
              <w:jc w:val="center"/>
            </w:pPr>
            <w:r>
              <w:t xml:space="preserve">5.5</w:t>
            </w:r>
          </w:p>
        </w:tc>
        <w:tc>
          <w:p>
            <w:pPr>
              <w:pStyle w:val="Compact"/>
              <w:jc w:val="center"/>
            </w:pPr>
            <w:r>
              <w:t xml:space="preserve">100</w:t>
            </w:r>
          </w:p>
        </w:tc>
        <w:tc>
          <w:p>
            <w:pPr>
              <w:pStyle w:val="Compact"/>
              <w:jc w:val="center"/>
            </w:pPr>
            <w:r>
              <w:t xml:space="preserve">9.6</w:t>
            </w:r>
          </w:p>
        </w:tc>
        <w:tc>
          <w:p>
            <w:pPr>
              <w:pStyle w:val="Compact"/>
              <w:jc w:val="center"/>
            </w:pPr>
            <w:r>
              <w:t xml:space="preserve">8</w:t>
            </w:r>
          </w:p>
        </w:tc>
        <w:tc>
          <w:p>
            <w:pPr>
              <w:pStyle w:val="Compact"/>
              <w:jc w:val="center"/>
            </w:pPr>
            <w:r>
              <w:t xml:space="preserve">19</w:t>
            </w:r>
          </w:p>
        </w:tc>
        <w:tc>
          <w:p>
            <w:pPr>
              <w:pStyle w:val="Compact"/>
              <w:jc w:val="center"/>
            </w:pPr>
            <w:r>
              <w:t xml:space="preserve">11</w:t>
            </w:r>
          </w:p>
        </w:tc>
        <w:tc>
          <w:p>
            <w:pPr>
              <w:pStyle w:val="Compact"/>
              <w:jc w:val="center"/>
            </w:pPr>
            <w:r>
              <w:t xml:space="preserve">62</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5,435).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Clatsop</w:t>
            </w:r>
          </w:p>
        </w:tc>
        <w:tc>
          <w:p>
            <w:pPr>
              <w:pStyle w:val="Compact"/>
              <w:jc w:val="center"/>
            </w:pPr>
            <w:r>
              <w:t xml:space="preserve">878</w:t>
            </w:r>
          </w:p>
        </w:tc>
        <w:tc>
          <w:p>
            <w:pPr>
              <w:pStyle w:val="Compact"/>
              <w:jc w:val="center"/>
            </w:pPr>
            <w:r>
              <w:t xml:space="preserve">16.2</w:t>
            </w:r>
          </w:p>
        </w:tc>
        <w:tc>
          <w:p>
            <w:pPr>
              <w:pStyle w:val="Compact"/>
              <w:jc w:val="center"/>
            </w:pPr>
            <w:r>
              <w:t xml:space="preserve">258</w:t>
            </w:r>
          </w:p>
        </w:tc>
        <w:tc>
          <w:p>
            <w:pPr>
              <w:pStyle w:val="Compact"/>
              <w:jc w:val="center"/>
            </w:pPr>
            <w:r>
              <w:t xml:space="preserve">49.0</w:t>
            </w:r>
          </w:p>
        </w:tc>
        <w:tc>
          <w:p>
            <w:pPr>
              <w:pStyle w:val="Compact"/>
              <w:jc w:val="center"/>
            </w:pPr>
            <w:r>
              <w:t xml:space="preserve">14</w:t>
            </w:r>
          </w:p>
        </w:tc>
        <w:tc>
          <w:p>
            <w:pPr>
              <w:pStyle w:val="Compact"/>
              <w:jc w:val="center"/>
            </w:pPr>
            <w:r>
              <w:t xml:space="preserve">72</w:t>
            </w:r>
          </w:p>
        </w:tc>
        <w:tc>
          <w:p>
            <w:pPr>
              <w:pStyle w:val="Compact"/>
              <w:jc w:val="center"/>
            </w:pPr>
            <w:r>
              <w:t xml:space="preserve">5</w:t>
            </w:r>
          </w:p>
        </w:tc>
        <w:tc>
          <w:p>
            <w:pPr>
              <w:pStyle w:val="Compact"/>
              <w:jc w:val="center"/>
            </w:pPr>
            <w:r>
              <w:t xml:space="preserve">10</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0.8</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725</w:t>
            </w:r>
          </w:p>
        </w:tc>
        <w:tc>
          <w:p>
            <w:pPr>
              <w:pStyle w:val="Compact"/>
              <w:jc w:val="center"/>
            </w:pPr>
            <w:r>
              <w:t xml:space="preserve">13.4</w:t>
            </w:r>
          </w:p>
        </w:tc>
        <w:tc>
          <w:p>
            <w:pPr>
              <w:pStyle w:val="Compact"/>
              <w:jc w:val="center"/>
            </w:pPr>
            <w:r>
              <w:t xml:space="preserve">42</w:t>
            </w:r>
          </w:p>
        </w:tc>
        <w:tc>
          <w:p>
            <w:pPr>
              <w:pStyle w:val="Compact"/>
              <w:jc w:val="center"/>
            </w:pPr>
            <w:r>
              <w:t xml:space="preserve">8.0</w:t>
            </w:r>
          </w:p>
        </w:tc>
        <w:tc>
          <w:p>
            <w:pPr>
              <w:pStyle w:val="Compact"/>
              <w:jc w:val="center"/>
            </w:pPr>
            <w:r>
              <w:t xml:space="preserve">36</w:t>
            </w:r>
          </w:p>
        </w:tc>
        <w:tc>
          <w:p>
            <w:pPr>
              <w:pStyle w:val="Compact"/>
              <w:jc w:val="center"/>
            </w:pPr>
            <w:r>
              <w:t xml:space="preserve">29</w:t>
            </w:r>
          </w:p>
        </w:tc>
        <w:tc>
          <w:p>
            <w:pPr>
              <w:pStyle w:val="Compact"/>
              <w:jc w:val="center"/>
            </w:pPr>
            <w:r>
              <w:t xml:space="preserve">0</w:t>
            </w:r>
          </w:p>
        </w:tc>
        <w:tc>
          <w:p>
            <w:pPr>
              <w:pStyle w:val="Compact"/>
              <w:jc w:val="center"/>
            </w:pPr>
            <w:r>
              <w:t xml:space="preserve">36</w:t>
            </w:r>
          </w:p>
        </w:tc>
      </w:tr>
      <w:tr>
        <w:tc>
          <w:p>
            <w:pPr>
              <w:pStyle w:val="Compact"/>
              <w:jc w:val="center"/>
            </w:pPr>
            <w:r>
              <w:t xml:space="preserve">Curry</w:t>
            </w:r>
          </w:p>
        </w:tc>
        <w:tc>
          <w:p>
            <w:pPr>
              <w:pStyle w:val="Compact"/>
              <w:jc w:val="center"/>
            </w:pPr>
            <w:r>
              <w:t xml:space="preserve">415</w:t>
            </w:r>
          </w:p>
        </w:tc>
        <w:tc>
          <w:p>
            <w:pPr>
              <w:pStyle w:val="Compact"/>
              <w:jc w:val="center"/>
            </w:pPr>
            <w:r>
              <w:t xml:space="preserve">7.6</w:t>
            </w:r>
          </w:p>
        </w:tc>
        <w:tc>
          <w:p>
            <w:pPr>
              <w:pStyle w:val="Compact"/>
              <w:jc w:val="center"/>
            </w:pPr>
            <w:r>
              <w:t xml:space="preserve">12</w:t>
            </w:r>
          </w:p>
        </w:tc>
        <w:tc>
          <w:p>
            <w:pPr>
              <w:pStyle w:val="Compact"/>
              <w:jc w:val="center"/>
            </w:pPr>
            <w:r>
              <w:t xml:space="preserve">2.3</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Douglas</w:t>
            </w:r>
          </w:p>
        </w:tc>
        <w:tc>
          <w:p>
            <w:pPr>
              <w:pStyle w:val="Compact"/>
              <w:jc w:val="center"/>
            </w:pPr>
            <w:r>
              <w:t xml:space="preserve">111</w:t>
            </w:r>
          </w:p>
        </w:tc>
        <w:tc>
          <w:p>
            <w:pPr>
              <w:pStyle w:val="Compact"/>
              <w:jc w:val="center"/>
            </w:pPr>
            <w:r>
              <w:t xml:space="preserve">2.0</w:t>
            </w:r>
          </w:p>
        </w:tc>
        <w:tc>
          <w:p>
            <w:pPr>
              <w:pStyle w:val="Compact"/>
              <w:jc w:val="center"/>
            </w:pPr>
            <w:r>
              <w:t xml:space="preserve">4</w:t>
            </w:r>
          </w:p>
        </w:tc>
        <w:tc>
          <w:p>
            <w:pPr>
              <w:pStyle w:val="Compact"/>
              <w:jc w:val="center"/>
            </w:pPr>
            <w:r>
              <w:t xml:space="preserve">0.8</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385</w:t>
            </w:r>
          </w:p>
        </w:tc>
        <w:tc>
          <w:p>
            <w:pPr>
              <w:pStyle w:val="Compact"/>
              <w:jc w:val="center"/>
            </w:pPr>
            <w:r>
              <w:t xml:space="preserve">7.1</w:t>
            </w:r>
          </w:p>
        </w:tc>
        <w:tc>
          <w:p>
            <w:pPr>
              <w:pStyle w:val="Compact"/>
              <w:jc w:val="center"/>
            </w:pPr>
            <w:r>
              <w:t xml:space="preserve">22</w:t>
            </w:r>
          </w:p>
        </w:tc>
        <w:tc>
          <w:p>
            <w:pPr>
              <w:pStyle w:val="Compact"/>
              <w:jc w:val="center"/>
            </w:pPr>
            <w:r>
              <w:t xml:space="preserve">4.2</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2,380</w:t>
            </w:r>
          </w:p>
        </w:tc>
        <w:tc>
          <w:p>
            <w:pPr>
              <w:pStyle w:val="Compact"/>
              <w:jc w:val="center"/>
            </w:pPr>
            <w:r>
              <w:t xml:space="preserve">43.9</w:t>
            </w:r>
          </w:p>
        </w:tc>
        <w:tc>
          <w:p>
            <w:pPr>
              <w:pStyle w:val="Compact"/>
              <w:jc w:val="center"/>
            </w:pPr>
            <w:r>
              <w:t xml:space="preserve">145</w:t>
            </w:r>
          </w:p>
        </w:tc>
        <w:tc>
          <w:p>
            <w:pPr>
              <w:pStyle w:val="Compact"/>
              <w:jc w:val="center"/>
            </w:pPr>
            <w:r>
              <w:t xml:space="preserve">27.5</w:t>
            </w:r>
          </w:p>
        </w:tc>
        <w:tc>
          <w:p>
            <w:pPr>
              <w:pStyle w:val="Compact"/>
              <w:jc w:val="center"/>
            </w:pPr>
            <w:r>
              <w:t xml:space="preserve">46</w:t>
            </w:r>
          </w:p>
        </w:tc>
        <w:tc>
          <w:p>
            <w:pPr>
              <w:pStyle w:val="Compact"/>
              <w:jc w:val="center"/>
            </w:pPr>
            <w:r>
              <w:t xml:space="preserve">19</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513</w:t>
            </w:r>
          </w:p>
        </w:tc>
        <w:tc>
          <w:p>
            <w:pPr>
              <w:pStyle w:val="Compact"/>
              <w:jc w:val="center"/>
            </w:pPr>
            <w:r>
              <w:t xml:space="preserve">9.5</w:t>
            </w:r>
          </w:p>
        </w:tc>
        <w:tc>
          <w:p>
            <w:pPr>
              <w:pStyle w:val="Compact"/>
              <w:jc w:val="center"/>
            </w:pPr>
            <w:r>
              <w:t xml:space="preserve">34</w:t>
            </w:r>
          </w:p>
        </w:tc>
        <w:tc>
          <w:p>
            <w:pPr>
              <w:pStyle w:val="Compact"/>
              <w:jc w:val="center"/>
            </w:pPr>
            <w:r>
              <w:t xml:space="preserve">6.5</w:t>
            </w:r>
          </w:p>
        </w:tc>
        <w:tc>
          <w:p>
            <w:pPr>
              <w:pStyle w:val="Compact"/>
              <w:jc w:val="center"/>
            </w:pPr>
            <w:r>
              <w:t xml:space="preserve">44</w:t>
            </w:r>
          </w:p>
        </w:tc>
        <w:tc>
          <w:p>
            <w:pPr>
              <w:pStyle w:val="Compact"/>
              <w:jc w:val="center"/>
            </w:pPr>
            <w:r>
              <w:t xml:space="preserve">41</w:t>
            </w:r>
          </w:p>
        </w:tc>
        <w:tc>
          <w:p>
            <w:pPr>
              <w:pStyle w:val="Compact"/>
              <w:jc w:val="center"/>
            </w:pPr>
            <w:r>
              <w:t xml:space="preserve">0</w:t>
            </w:r>
          </w:p>
        </w:tc>
        <w:tc>
          <w:p>
            <w:pPr>
              <w:pStyle w:val="Compact"/>
              <w:jc w:val="center"/>
            </w:pPr>
            <w:r>
              <w:t xml:space="preserve">15</w:t>
            </w:r>
          </w:p>
        </w:tc>
      </w:tr>
    </w:tbl>
    <w:p>
      <w:pPr>
        <w:pStyle w:val="BodyText"/>
      </w:pPr>
      <w:r>
        <w:drawing>
          <wp:inline>
            <wp:extent cx="5486400" cy="5829300"/>
            <wp:effectExtent b="0" l="0" r="0" t="0"/>
            <wp:docPr descr="" id="1" name="Picture"/>
            <a:graphic>
              <a:graphicData uri="http://schemas.openxmlformats.org/drawingml/2006/picture">
                <pic:pic>
                  <pic:nvPicPr>
                    <pic:cNvPr descr="OR_WA_Strandings_draftmanuscript_files/figure-docx/unnamed-chunk-14-1.png" id="0" name="Picture"/>
                    <pic:cNvPicPr>
                      <a:picLocks noChangeArrowheads="1" noChangeAspect="1"/>
                    </pic:cNvPicPr>
                  </pic:nvPicPr>
                  <pic:blipFill>
                    <a:blip r:embed="rId33"/>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 xml:space="preserve">Figure 10: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pPr>
        <w:pStyle w:val="BodyText"/>
      </w:pPr>
      <w:r>
        <w:rPr>
          <w:b/>
        </w:rPr>
        <w:t xml:space="preserve">Literature Cited</w:t>
      </w:r>
    </w:p>
    <w:p>
      <w:pPr>
        <w:pStyle w:val="BodyText"/>
      </w:pPr>
      <w:r>
        <w:t xml:space="preserve">Aguirre A.A., &amp; Tabor G.M. (2004). Marine vertebrates as sentinels of marine ecosystem health. EcoHealth. 1: 236–238. DOI: 10.1007/s10393-004-0091-9</w:t>
      </w:r>
    </w:p>
    <w:p>
      <w:pPr>
        <w:pStyle w:val="BodyText"/>
      </w:pPr>
      <w:r>
        <w:t xml:space="preserve">Antonelis, G.A., Baker, J.D., Johanos, T.C., Braun, R.C., &amp; Harting, A.L. (2006). Hawaiian monk seal (</w:t>
      </w:r>
      <w:r>
        <w:rPr>
          <w:i/>
        </w:rPr>
        <w:t xml:space="preserve">Monachus schauinslandi</w:t>
      </w:r>
      <w:r>
        <w:t xml:space="preserve">): status and conservation issues. Atoll Research Bulletin 543: 75–101.</w:t>
      </w:r>
    </w:p>
    <w:p>
      <w:pPr>
        <w:pStyle w:val="BodyText"/>
      </w:pPr>
      <w:r>
        <w:t xml:space="preserve">Barbieri, M., Raverty, S., Hanson, M.B., Venn-Watson, S., Ford, J.K., &amp; Gaydos, J.K. (2013). Spatial and temporal analysis of killer whale (</w:t>
      </w:r>
      <w:r>
        <w:rPr>
          <w:i/>
        </w:rPr>
        <w:t xml:space="preserve">Orcinus orca</w:t>
      </w:r>
      <w:r>
        <w:t xml:space="preserve">)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w:t>
      </w:r>
      <w:r>
        <w:rPr>
          <w:i/>
        </w:rPr>
        <w:t xml:space="preserve">Kogia breviceps</w:t>
      </w:r>
      <w:r>
        <w:t xml:space="preserve">, De Blainville 1838)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p>
    <w:p>
      <w:pPr>
        <w:pStyle w:val="BodyText"/>
      </w:pP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Cleveland, W.S., &amp; Devlin, S.J. (1988). Locally weighted regression: an approach to regression analysis by local fitting. Journal of American Statistical Society 83, 596–610. DOI: 10.2307/2289282</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Figueroa-Carranza, A.L. (1994). Early lactation and attendance behavior of the Guadalupe fur seal females (</w:t>
      </w:r>
      <w:r>
        <w:rPr>
          <w:i/>
        </w:rPr>
        <w:t xml:space="preserve">Arctocephalus townsendi</w:t>
      </w:r>
      <w:r>
        <w:t xml:space="preserve">). M. Sc. Thesis. University of California, Santa Cruz.</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w:t>
      </w:r>
      <w:r>
        <w:t xml:space="preserve"> </w:t>
      </w:r>
      <w:r>
        <w:rPr>
          <w:i/>
        </w:rPr>
        <w:t xml:space="preserve">Callorhinus ursinus</w:t>
      </w:r>
      <w:r>
        <w:t xml:space="preserve">. The IUCN Red List of Threatened Species 2015:e.T3590A45224953.</w:t>
      </w:r>
      <w:r>
        <w:t xml:space="preserve"> </w:t>
      </w:r>
      <w:hyperlink r:id="rId34">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w:t>
      </w:r>
      <w:r>
        <w:rPr>
          <w:i/>
        </w:rPr>
        <w:t xml:space="preserve">Zalophus californianus</w:t>
      </w:r>
      <w:r>
        <w:t xml:space="preserve">)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Harris, D.E. &amp; S. Gupta. (2006). GIS-based Analysis of Ice-breeding Seal Strandings in the Gulf of Maine. Northeastern Naturalist 13(3): 403-420.</w:t>
      </w:r>
    </w:p>
    <w:p>
      <w:pPr>
        <w:pStyle w:val="BodyText"/>
      </w:pPr>
      <w:r>
        <w:t xml:space="preserve">Huber, H.R., Dickerson, B.R., Jeffries, S.J.&amp; Lambourn, D.M. (2012). Genetic analysis of Washington State harbor seals (</w:t>
      </w:r>
      <w:r>
        <w:rPr>
          <w:i/>
        </w:rPr>
        <w:t xml:space="preserve">Phoca vitulina richardii</w:t>
      </w:r>
      <w:r>
        <w:t xml:space="preserve">) using microsatellites. Canadian Journal of Zoology 90(12): 1361-1369. DOI: 10.1139/cjz-2012-0047</w:t>
      </w:r>
    </w:p>
    <w:p>
      <w:pPr>
        <w:pStyle w:val="BodyText"/>
      </w:pPr>
      <w:r>
        <w:t xml:space="preserve">Huggins, J.L., Leahy, C.L., Calambokidis, J., Lambourn, D., Jeffries, S.J., Norman, S.A., &amp; Raverty, S. (2013). Causes and patterns of harbor seal (</w:t>
      </w:r>
      <w:r>
        <w:rPr>
          <w:i/>
        </w:rPr>
        <w:t xml:space="preserve">Phoca vitulina</w:t>
      </w:r>
      <w:r>
        <w:t xml:space="preserve">)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w:t>
      </w:r>
      <w:r>
        <w:rPr>
          <w:i/>
        </w:rPr>
        <w:t xml:space="preserve">Enhydra lutras nereis</w:t>
      </w:r>
      <w:r>
        <w:t xml:space="preserve">)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w:t>
      </w:r>
      <w:r>
        <w:t xml:space="preserve"> </w:t>
      </w:r>
      <w:r>
        <w:rPr>
          <w:i/>
        </w:rPr>
        <w:t xml:space="preserve">Brucella pinnipedialis</w:t>
      </w:r>
      <w:r>
        <w:t xml:space="preserve"> </w:t>
      </w:r>
      <w:r>
        <w:t xml:space="preserve">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w:t>
      </w:r>
      <w:r>
        <w:rPr>
          <w:i/>
        </w:rPr>
        <w:t xml:space="preserve">Phoca vitulina</w:t>
      </w:r>
      <w:r>
        <w:t xml:space="preserve">) in Hood Canal, Washington. PLoS One 7(6): e38180.</w:t>
      </w:r>
    </w:p>
    <w:p>
      <w:pPr>
        <w:pStyle w:val="BodyText"/>
      </w:pPr>
      <w:r>
        <w:t xml:space="preserve">Lowry, M.S. &amp; Forney, K.A. (2005). Abundance and distribution of California sea lions (</w:t>
      </w:r>
      <w:r>
        <w:rPr>
          <w:i/>
        </w:rPr>
        <w:t xml:space="preserve">Zalophus californianus</w:t>
      </w:r>
      <w:r>
        <w:t xml:space="preserve">)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w:t>
      </w:r>
      <w:r>
        <w:rPr>
          <w:i/>
        </w:rPr>
        <w:t xml:space="preserve">Mirounga angustirostris</w:t>
      </w:r>
      <w:r>
        <w:t xml:space="preserve">)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w:t>
      </w:r>
      <w:r>
        <w:rPr>
          <w:i/>
        </w:rPr>
        <w:t xml:space="preserve">Zalophus californianus</w:t>
      </w:r>
      <w:r>
        <w:t xml:space="preserve">) in Alaska. Aquatic Mammals 30(3): 427-433. DOI: 10.1578/AM.30.3.2004.427</w:t>
      </w:r>
    </w:p>
    <w:p>
      <w:pPr>
        <w:pStyle w:val="BodyText"/>
      </w:pPr>
      <w:r>
        <w:t xml:space="preserve">Melin, S.R., DeLong, R.L., &amp; Thomason, J.R. (2000). Attendance patterns of California sea lion (</w:t>
      </w:r>
      <w:r>
        <w:rPr>
          <w:i/>
        </w:rPr>
        <w:t xml:space="preserve">Zalophus californianus</w:t>
      </w:r>
      <w:r>
        <w:t xml:space="preserve">)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w:t>
      </w:r>
      <w:r>
        <w:rPr>
          <w:i/>
        </w:rPr>
        <w:t xml:space="preserve">Zalophus californianus</w:t>
      </w:r>
      <w:r>
        <w:t xml:space="preserve">)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w:t>
      </w:r>
      <w:r>
        <w:rPr>
          <w:i/>
        </w:rPr>
        <w:t xml:space="preserve">Eumetopias jubatus</w:t>
      </w:r>
      <w:r>
        <w:t xml:space="preserve">). Revision. National Marine Fisheries Service, Silver Spring, MD. 325 pp.</w:t>
      </w:r>
    </w:p>
    <w:p>
      <w:pPr>
        <w:pStyle w:val="BodyText"/>
      </w:pPr>
      <w:r>
        <w:t xml:space="preserve">National Marine Fisheries Service. (2013). Status Review of The Eastern Distinct Population Segment of Steller Sea Lion (</w:t>
      </w:r>
      <w:r>
        <w:rPr>
          <w:i/>
        </w:rPr>
        <w:t xml:space="preserve">Eumetopias jubatus</w:t>
      </w:r>
      <w:r>
        <w:t xml:space="preserve">).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w:t>
      </w:r>
      <w:r>
        <w:rPr>
          <w:i/>
        </w:rPr>
        <w:t xml:space="preserve">Phoca vitulina</w:t>
      </w:r>
      <w:r>
        <w:t xml:space="preserve">) and Grey Seals (</w:t>
      </w:r>
      <w:r>
        <w:rPr>
          <w:i/>
        </w:rPr>
        <w:t xml:space="preserve">Halichoerus grypus</w:t>
      </w:r>
      <w:r>
        <w:t xml:space="preserve">)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w:t>
      </w:r>
      <w:r>
        <w:rPr>
          <w:i/>
        </w:rPr>
        <w:t xml:space="preserve">Phocoena phocoena</w:t>
      </w:r>
      <w:r>
        <w:t xml:space="preserve">) in North-Western Europe. PLoS One 8(4): e62180.</w:t>
      </w:r>
    </w:p>
    <w:p>
      <w:pPr>
        <w:pStyle w:val="BodyText"/>
      </w:pPr>
      <w:r>
        <w:t xml:space="preserve">Pikesley, S.K., Witt, M.J., Hardy, T., Loveridge, J., Loveridge, J., Williams, R., &amp; Godley, B.J. (2011).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5">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w:t>
      </w:r>
      <w:r>
        <w:rPr>
          <w:i/>
        </w:rPr>
        <w:t xml:space="preserve">Pagophilus groenlandicus</w:t>
      </w:r>
      <w:r>
        <w:t xml:space="preserve">)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(1997).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Data have not been corrected for the change in the designation of when a pup becomes a “yearling,” obfuscating the distinction between these two categories that could be combined in future analyses. Additionally, the age class categories in general are documented using responders' best judgement, and results must therefore be interpreted with this in mind.</w:t>
      </w:r>
    </w:p>
  </w:footnote>
  <w:footnote w:id="23">
    <w:p>
      <w:pPr>
        <w:pStyle w:val="FootnoteText"/>
      </w:pPr>
      <w:r>
        <w:rPr>
          <w:rStyle w:val="FootnoteReference"/>
        </w:rPr>
        <w:footnoteRef/>
      </w:r>
      <w:r>
        <w:t xml:space="preserve"> </w:t>
      </w:r>
      <w:r>
        <w:t xml:space="preserve">See</w:t>
      </w:r>
      <w:r>
        <w:t xml:space="preserve"> </w:t>
      </w:r>
      <w:hyperlink r:id="rId24">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e58b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2017-08-01T16:58:03Z</dcterms:created>
  <dcterms:modified xsi:type="dcterms:W3CDTF">2017-08-01T16:58:03Z</dcterms:modified>
</cp:coreProperties>
</file>