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Characterization of Pinniped Strandings and Human Interaction Cases in the Pacific Northwest,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P.O. Box 1404 Mukilteo,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for pinniped health and the impacts of anthropogenic activities in the local marine environment. Stranding data from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Total strandings and the number and prevalence of reported human interaction cases increased over time for most species. All species stranded in higher numbers in Oregon except harbor seals (Phoca vitulina), which stranded predominantly in inland Washington waters. The composition of ages and sexes varied for each species, as did the proportion of strandings identified as human interaction cases. Gunshot wounds and fisheries entanglements constituted the majority of human interaction cases (37% and 21%, respectively), though the prevalence of these cases varied across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1989-2016,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Not all records from each response network are available for the whole study period, namely, records from Washington Department of Fish and Wildlife from prior to 2003 are not available to include in this sample. Because records from this entity constitute an average of 14% of strandings from 2005-2015, total strandings prior to 2003 may be under-represented by this amount. One of the challenges of using data from this compilation of stranding records is that beach coverage, response capacity, and even data-reporting protocols vary between network members and over time. However, when combined, these data illustrate what is known and what remains uncertain about strandings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The majority of total strandings over the study period were harbor seals (58%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The sex and age composition of strandings varied depending on species, described further below.</w:t>
      </w:r>
    </w:p>
    <w:p>
      <w:pPr>
        <w:pStyle w:val="BodyText"/>
      </w:pPr>
      <w:r>
        <w:t xml:space="preserve">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 Across all species, the proportion of fisheries interactions and boat injuries is similar between males and females, though gunshot wounds are more prevalent for males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2). Similar to all strandings, harbor seals constituted the majority of HI cases (54%) followed by California (28%) and Steller sea lions (12%) (data not shown).</w:t>
      </w:r>
    </w:p>
    <w:p>
      <w:pPr>
        <w:pStyle w:val="BodyText"/>
      </w:pPr>
      <w:r>
        <w:rPr>
          <w:i/>
        </w:rPr>
        <w:t xml:space="preserve">Species</w:t>
      </w:r>
      <w:r>
        <w:br w:type="textWrapping"/>
      </w:r>
      <w:r>
        <w:t xml:space="preserve">Harbor seals - The sex composition of harbor seal strandings was equal between males and females, though 52% were unidentified (Table 1). Pups amounted to a greater proportion of strandings than that observed in any of the other species (45%), with adults only making up 14% of strandings (Table 1). Harbor seals are the only species that stranded in greatest numbers in Washington, with 78% occurring in inland Washington waters. Very few (7%) harbor seal strandings occurred on the outer Washington coast (Table 3). Approximately 10% of strandings were HI cases, the majority of which (54%) were "other" (exceeding that of any other species), followed by gunshot wounds (21%) and fisheries entanglements (19%). Just 6% of HI cases were boat collision injuries (Table 3).</w:t>
      </w:r>
    </w:p>
    <w:p>
      <w:pPr>
        <w:pStyle w:val="BodyText"/>
      </w:pPr>
      <w:r>
        <w:t xml:space="preserve">California sea lions - Approximately 77% were identified as male and 1% as female (Table 1), unlike the sex composition of other species strandings. Approximately 53% of strandings assigned an age class were identified as adults, unlike other species where the majority were pups and yearlings (Table 1). The majority of strandings (69%) occurred along the Oregon coast, with almost 20% in inland Washington waters and just 11% along the Washington coast (Table 3). Approximately 15% of strandings were HI cases, the majority of which (58%) were gunshot wounds. Just 4% of HI cases were boat collision injuries (Table 3).</w:t>
      </w:r>
    </w:p>
    <w:p>
      <w:pPr>
        <w:pStyle w:val="BodyText"/>
      </w:pPr>
      <w:r>
        <w:t xml:space="preserve">Steller sea lions - For Steller sea lions, 42% were identified as male and 33% as female (Table 1). Similar to California sea lions, the majority (55%)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18% of strandings were HI cases, second only to northern fur seals. Similar to California sea lions, the majority of HI cases were gunshot wounds (74%) followed by fisheries entanglements (16%). Just 2% of HI cases were boat collision injuries (Table 3).</w:t>
      </w:r>
    </w:p>
    <w:p>
      <w:pPr>
        <w:pStyle w:val="BodyText"/>
      </w:pPr>
      <w:r>
        <w:t xml:space="preserve">Northern elephant seals - Approximately 35% were identified as male and only 13% female, the lowest of any other species except California sea lions. Northern elephant seal strandings had high percentages of strandings that were not assigned sex (52%) and age classes (45%). Similar to other species, the majority of strandings (66%) occurred along the Oregon coast (17%) (Table 3). Northern elephant seals exhibited the lowest proportion of HI cases 8%. Similar only to harbor seals, the majority of HI cases were "other" (44%), followed closely by gunshot wounds (33%)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(61%) occurred along the Oregon coast, followed by the other Washington coast (34%) and fewest in inland Washington waters (6%) (Table 3). Almost 14% of strandings were HI cases, the majority of which were fisheries entanglements (65%), followed by "other" (30%) (Table 3).</w:t>
      </w:r>
    </w:p>
    <w:p>
      <w:pPr>
        <w:pStyle w:val="BodyText"/>
      </w:pPr>
      <w:r>
        <w:t xml:space="preserve">Northern fur seals - Strandings exhibited the highest percentage of female strandings (39%) compared to other species (Table 1). More than half of strandings assigned an age class were identified as pups and yearlings (Table 1). Similar to other species, the majority of strandings (61%) occurred along the Oregon coast, followed by the other Washington coast (25%) and fewest in inland Washington waters (15%) (Table 3). Almost 25% of strandings were HI cases, the highest proportion among all of the species. Similar only to Guadalupe fur seals, the majority of HI cases were fisheries entanglements (75%), followed by "other" (21%) (Table 3).</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6).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S1). In Oregon, the majority of strandings occurred in Clatsop, Tillamook, Coos, and Lincoln counties (Figure 6). These counties were also where the majority of HI cases occurred, though a disproportionately higher number occurred in Clatsop, the majority of which were gunshot wounds (Supplemental Table S2).</w:t>
      </w:r>
    </w:p>
    <w:p>
      <w:pPr>
        <w:pStyle w:val="BodyText"/>
      </w:pPr>
      <w:r>
        <w:t xml:space="preserve">Stranding hotspots were apparent throughout inland Washington waters for harbor seals, and distributed along the coast for the other species (Figure 8).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7). These hotspots do shift seasonally. Boat collision cases during are most dense in inland Washington waters in the summer and on the coast during winter. Fisheries and gunshot wound cases are only concentrated near Newport, OR during the spring but also exhibit clusters in Puget Sound the rest of the year (Supplemental Figure S1).</w:t>
      </w:r>
    </w:p>
    <w:p>
      <w:pPr>
        <w:pStyle w:val="BodyText"/>
      </w:pPr>
      <w:r>
        <w:rPr>
          <w:b/>
        </w:rPr>
        <w:t xml:space="preserve">Discussion</w:t>
      </w:r>
    </w:p>
    <w:p>
      <w:pPr>
        <w:pStyle w:val="BodyText"/>
      </w:pPr>
      <w:r>
        <w:t xml:space="preserve">Our results highlight spatio-temporal stranding hotspots for pinnipeds in Oregon and Washington from 1989-2016.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attributed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58% for California sea lions, but only 21% for harbor seals (Table 3). In contrast, fisheries interactions made up a lower proportion of HI cases for those three species but amounted to 65% and 75%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S1).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Percent difference in the total number of human interaction cases in each county from the mean across all counties from 1989-2016. Points indicate locations of marine mammal stranding response networks.</w:t>
      </w:r>
      <w:r>
        <w:t xml:space="preserve"> </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9-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MEPS_files/figure-docx/unnamed-chunk-10-1.png" id="0" name="Picture"/>
                    <pic:cNvPicPr>
                      <a:picLocks noChangeArrowheads="1" noChangeAspect="1"/>
                    </pic:cNvPicPr>
                  </pic:nvPicPr>
                  <pic:blipFill>
                    <a:blip r:embed="rId32"/>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w:t>
      </w:r>
      <w:r>
        <w:rPr>
          <w:i/>
        </w:rPr>
        <w:t xml:space="preserve">n</w:t>
      </w:r>
      <w:r>
        <w:t xml:space="preserve"> </w:t>
      </w:r>
      <w:r>
        <w:t xml:space="preserve">= 14,939) by species.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19</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1</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33.6</w:t>
            </w:r>
          </w:p>
        </w:tc>
        <w:tc>
          <w:p>
            <w:pPr>
              <w:pStyle w:val="Compact"/>
              <w:jc w:val="center"/>
            </w:pPr>
            <w:r>
              <w:t xml:space="preserve">17.2</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2: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drawing>
          <wp:inline>
            <wp:extent cx="5486400" cy="5829300"/>
            <wp:effectExtent b="0" l="0" r="0" t="0"/>
            <wp:docPr descr="" id="1" name="Picture"/>
            <a:graphic>
              <a:graphicData uri="http://schemas.openxmlformats.org/drawingml/2006/picture">
                <pic:pic>
                  <pic:nvPicPr>
                    <pic:cNvPr descr="OR_WA_Strandings_draftmanuscript_MEPS_files/figure-docx/unnamed-chunk-14-1.png" id="0" name="Picture"/>
                    <pic:cNvPicPr>
                      <a:picLocks noChangeArrowheads="1" noChangeAspect="1"/>
                    </pic:cNvPicPr>
                  </pic:nvPicPr>
                  <pic:blipFill>
                    <a:blip r:embed="rId33"/>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Literature Cited</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4">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5">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bda7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2017-08-01T16:57:15Z</dcterms:created>
  <dcterms:modified xsi:type="dcterms:W3CDTF">2017-08-01T16:57:15Z</dcterms:modified>
</cp:coreProperties>
</file>