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DAA89" w14:textId="77777777" w:rsidR="0066513E" w:rsidRPr="008C166C" w:rsidRDefault="0066513E" w:rsidP="00E52B33">
      <w:pPr>
        <w:jc w:val="center"/>
        <w:outlineLvl w:val="0"/>
        <w:rPr>
          <w:rFonts w:ascii="Times New Roman" w:hAnsi="Times New Roman" w:cs="Times New Roman"/>
          <w:b/>
        </w:rPr>
      </w:pPr>
      <w:bookmarkStart w:id="0" w:name="_GoBack"/>
      <w:bookmarkEnd w:id="0"/>
      <w:r w:rsidRPr="008C166C">
        <w:rPr>
          <w:rFonts w:ascii="Times New Roman" w:hAnsi="Times New Roman" w:cs="Times New Roman"/>
          <w:b/>
        </w:rPr>
        <w:t>Supplemental Information:</w:t>
      </w:r>
    </w:p>
    <w:p w14:paraId="0724105B" w14:textId="77777777" w:rsidR="0066513E" w:rsidRPr="008C166C" w:rsidRDefault="0066513E" w:rsidP="00E52B33">
      <w:pPr>
        <w:jc w:val="center"/>
        <w:outlineLvl w:val="0"/>
        <w:rPr>
          <w:rFonts w:ascii="Times New Roman" w:hAnsi="Times New Roman" w:cs="Times New Roman"/>
          <w:b/>
        </w:rPr>
      </w:pPr>
      <w:r w:rsidRPr="008C166C">
        <w:rPr>
          <w:rFonts w:ascii="Times New Roman" w:hAnsi="Times New Roman" w:cs="Times New Roman"/>
          <w:b/>
        </w:rPr>
        <w:t>The role of microRNA expression in cortical development during conversion to psychosis</w:t>
      </w:r>
    </w:p>
    <w:p w14:paraId="0D942A95" w14:textId="77777777" w:rsidR="0066513E" w:rsidRPr="008C166C" w:rsidRDefault="0066513E" w:rsidP="00E52B33">
      <w:pPr>
        <w:jc w:val="center"/>
        <w:rPr>
          <w:rFonts w:ascii="Times New Roman" w:hAnsi="Times New Roman" w:cs="Times New Roman"/>
          <w:b/>
        </w:rPr>
      </w:pPr>
    </w:p>
    <w:p w14:paraId="08326076" w14:textId="1F920816" w:rsidR="0066513E" w:rsidRPr="008C166C" w:rsidRDefault="0066513E" w:rsidP="00E52B33">
      <w:pPr>
        <w:jc w:val="center"/>
        <w:rPr>
          <w:rFonts w:ascii="Times New Roman" w:hAnsi="Times New Roman" w:cs="Times New Roman"/>
        </w:rPr>
      </w:pPr>
      <w:r w:rsidRPr="008C166C">
        <w:rPr>
          <w:rFonts w:ascii="Times New Roman" w:hAnsi="Times New Roman" w:cs="Times New Roman"/>
        </w:rPr>
        <w:t>Amanda B. Zheutlin, M.S., Clark D. Jeffries, Ph.D., Diana O. Perkins, M.D., Yoonho Chung, M.S., Adam M. Chekroud, M.S., Jean Addington, Ph.D., Carrie E. Bearden, Ph.D., Kristin S. Cadenhead, M.D., Barbara A. Cornblatt, Ph.D., Daniel H. Mathalon, Ph.D., M.D., Thomas H. McGlashan, M.D., Larry J. Seidman, Ph.D., Elaine F., Walker, Ph.D., Scott W. Woods, M.D., Ming Tsuang, M.D., Ph.D., &amp; Tyrone D. Cannon, Ph.D.</w:t>
      </w:r>
    </w:p>
    <w:p w14:paraId="0FAB498A" w14:textId="77777777" w:rsidR="0066513E" w:rsidRPr="008C166C" w:rsidRDefault="0066513E" w:rsidP="00E52B33">
      <w:pPr>
        <w:jc w:val="center"/>
        <w:rPr>
          <w:rFonts w:ascii="Times New Roman" w:hAnsi="Times New Roman" w:cs="Times New Roman"/>
        </w:rPr>
      </w:pPr>
    </w:p>
    <w:p w14:paraId="14AAB689" w14:textId="201EA409" w:rsidR="00AA4C3C" w:rsidRDefault="007C0D35" w:rsidP="00E52B33">
      <w:pPr>
        <w:rPr>
          <w:rFonts w:ascii="Times New Roman" w:hAnsi="Times New Roman" w:cs="Times New Roman"/>
        </w:rPr>
      </w:pPr>
      <w:r w:rsidRPr="008C166C">
        <w:rPr>
          <w:rFonts w:ascii="Times New Roman" w:hAnsi="Times New Roman" w:cs="Times New Roman"/>
        </w:rPr>
        <w:t xml:space="preserve">Table </w:t>
      </w:r>
      <w:r w:rsidR="003B6E50">
        <w:rPr>
          <w:rFonts w:ascii="Times New Roman" w:hAnsi="Times New Roman" w:cs="Times New Roman"/>
        </w:rPr>
        <w:t>S1</w:t>
      </w:r>
    </w:p>
    <w:p w14:paraId="6131BBF1" w14:textId="742956FF" w:rsidR="00C46CAA" w:rsidRPr="008C166C" w:rsidRDefault="00C46CAA" w:rsidP="00AA4C3C">
      <w:pPr>
        <w:ind w:firstLine="720"/>
        <w:rPr>
          <w:rFonts w:ascii="Times New Roman" w:hAnsi="Times New Roman" w:cs="Times New Roman"/>
        </w:rPr>
      </w:pPr>
      <w:r w:rsidRPr="008C166C">
        <w:rPr>
          <w:rFonts w:ascii="Times New Roman" w:hAnsi="Times New Roman" w:cs="Times New Roman"/>
        </w:rPr>
        <w:t>Symptom, Medication, and Substance Use Information</w:t>
      </w:r>
    </w:p>
    <w:p w14:paraId="593BA44F" w14:textId="2A249CEC" w:rsidR="00AA4C3C" w:rsidRDefault="00AA4C3C" w:rsidP="00AA4C3C">
      <w:pPr>
        <w:rPr>
          <w:rFonts w:ascii="Times New Roman" w:hAnsi="Times New Roman" w:cs="Times New Roman"/>
        </w:rPr>
      </w:pPr>
      <w:r>
        <w:rPr>
          <w:rFonts w:ascii="Times New Roman" w:hAnsi="Times New Roman" w:cs="Times New Roman"/>
        </w:rPr>
        <w:t xml:space="preserve">Supplementary </w:t>
      </w:r>
      <w:r w:rsidR="003B6E50">
        <w:rPr>
          <w:rFonts w:ascii="Times New Roman" w:hAnsi="Times New Roman" w:cs="Times New Roman"/>
        </w:rPr>
        <w:t xml:space="preserve">Materials and </w:t>
      </w:r>
      <w:r w:rsidR="00151F2D" w:rsidRPr="008C166C">
        <w:rPr>
          <w:rFonts w:ascii="Times New Roman" w:hAnsi="Times New Roman" w:cs="Times New Roman"/>
        </w:rPr>
        <w:t>Methods</w:t>
      </w:r>
    </w:p>
    <w:p w14:paraId="6412FBC0" w14:textId="4750D33C" w:rsidR="00647449" w:rsidRDefault="00647449" w:rsidP="00AA4C3C">
      <w:pPr>
        <w:rPr>
          <w:rFonts w:ascii="Times New Roman" w:hAnsi="Times New Roman" w:cs="Times New Roman"/>
        </w:rPr>
      </w:pPr>
      <w:r>
        <w:rPr>
          <w:rFonts w:ascii="Times New Roman" w:hAnsi="Times New Roman" w:cs="Times New Roman"/>
        </w:rPr>
        <w:tab/>
        <w:t>Subject Recruitment</w:t>
      </w:r>
    </w:p>
    <w:p w14:paraId="2464FFAA" w14:textId="490EB3CD" w:rsidR="003B6A0B" w:rsidRPr="006633EB" w:rsidRDefault="00151F2D" w:rsidP="006633EB">
      <w:pPr>
        <w:rPr>
          <w:rFonts w:ascii="Times New Roman" w:hAnsi="Times New Roman" w:cs="Times New Roman"/>
        </w:rPr>
      </w:pPr>
      <w:r w:rsidRPr="008C166C">
        <w:rPr>
          <w:rFonts w:ascii="Times New Roman" w:hAnsi="Times New Roman" w:cs="Times New Roman"/>
        </w:rPr>
        <w:tab/>
      </w:r>
      <w:r w:rsidR="00AA4C3C" w:rsidRPr="008C166C">
        <w:rPr>
          <w:rFonts w:ascii="Times New Roman" w:hAnsi="Times New Roman" w:cs="Times New Roman"/>
        </w:rPr>
        <w:t>RNA Sequencing</w:t>
      </w:r>
    </w:p>
    <w:p w14:paraId="31C2EF05" w14:textId="4D584AF1" w:rsidR="003E21B0" w:rsidRDefault="00AA4C3C" w:rsidP="00AA4C3C">
      <w:pPr>
        <w:rPr>
          <w:rFonts w:ascii="Times New Roman" w:hAnsi="Times New Roman" w:cs="Times New Roman"/>
        </w:rPr>
      </w:pPr>
      <w:r>
        <w:rPr>
          <w:rFonts w:ascii="Times New Roman" w:hAnsi="Times New Roman" w:cs="Times New Roman"/>
        </w:rPr>
        <w:t xml:space="preserve">Supplementary Results </w:t>
      </w:r>
    </w:p>
    <w:p w14:paraId="1C088EE1" w14:textId="1D45255F" w:rsidR="003B6A0B" w:rsidRPr="003B6A0B" w:rsidRDefault="003B6A0B" w:rsidP="003B6A0B">
      <w:pPr>
        <w:widowControl w:val="0"/>
        <w:autoSpaceDE w:val="0"/>
        <w:autoSpaceDN w:val="0"/>
        <w:adjustRightInd w:val="0"/>
        <w:rPr>
          <w:rFonts w:ascii="Times New Roman" w:hAnsi="Times New Roman"/>
        </w:rPr>
      </w:pPr>
      <w:r>
        <w:rPr>
          <w:rFonts w:ascii="Times New Roman" w:hAnsi="Times New Roman" w:cs="Times New Roman"/>
        </w:rPr>
        <w:tab/>
      </w:r>
      <w:r w:rsidRPr="003B6A0B">
        <w:rPr>
          <w:rFonts w:ascii="Times New Roman" w:hAnsi="Times New Roman"/>
        </w:rPr>
        <w:t>miRNA Classifier Related to Other Cortical Regions of Interest</w:t>
      </w:r>
    </w:p>
    <w:p w14:paraId="5BA56995" w14:textId="73D0603A" w:rsidR="003B6A0B" w:rsidRDefault="00AA4C3C" w:rsidP="003B6A0B">
      <w:pPr>
        <w:ind w:firstLine="720"/>
        <w:rPr>
          <w:rFonts w:ascii="Times New Roman" w:hAnsi="Times New Roman" w:cs="Times New Roman"/>
        </w:rPr>
      </w:pPr>
      <w:r w:rsidRPr="008C166C">
        <w:rPr>
          <w:rFonts w:ascii="Times New Roman" w:hAnsi="Times New Roman" w:cs="Times New Roman"/>
        </w:rPr>
        <w:t>Pathway Analysis Using Whole Genome Reference Set</w:t>
      </w:r>
    </w:p>
    <w:p w14:paraId="69D0CB57" w14:textId="0A15CA76" w:rsidR="007079AE" w:rsidRPr="008C166C" w:rsidRDefault="007079AE" w:rsidP="007079AE">
      <w:pPr>
        <w:rPr>
          <w:rFonts w:ascii="Times New Roman" w:hAnsi="Times New Roman" w:cs="Times New Roman"/>
        </w:rPr>
      </w:pPr>
      <w:r>
        <w:rPr>
          <w:rFonts w:ascii="Times New Roman" w:hAnsi="Times New Roman" w:cs="Times New Roman"/>
        </w:rPr>
        <w:t>Figure S1</w:t>
      </w:r>
    </w:p>
    <w:p w14:paraId="508CEF41" w14:textId="49C3638F" w:rsidR="00C46CAA" w:rsidRPr="008C166C" w:rsidRDefault="00C46CAA" w:rsidP="00E52B33">
      <w:pPr>
        <w:rPr>
          <w:rFonts w:ascii="Times New Roman" w:hAnsi="Times New Roman" w:cs="Times New Roman"/>
        </w:rPr>
      </w:pPr>
      <w:r w:rsidRPr="008C166C">
        <w:rPr>
          <w:rFonts w:ascii="Times New Roman" w:hAnsi="Times New Roman" w:cs="Times New Roman"/>
        </w:rPr>
        <w:br w:type="page"/>
      </w:r>
    </w:p>
    <w:p w14:paraId="67CF41B5" w14:textId="24EC5963" w:rsidR="00C46CAA" w:rsidRPr="0095023F" w:rsidRDefault="007C0D35" w:rsidP="00E52B33">
      <w:pPr>
        <w:outlineLvl w:val="0"/>
        <w:rPr>
          <w:rFonts w:ascii="Times New Roman" w:hAnsi="Times New Roman" w:cs="Times New Roman"/>
          <w:b/>
        </w:rPr>
      </w:pPr>
      <w:r w:rsidRPr="0095023F">
        <w:rPr>
          <w:rFonts w:ascii="Times New Roman" w:hAnsi="Times New Roman" w:cs="Times New Roman"/>
          <w:b/>
        </w:rPr>
        <w:lastRenderedPageBreak/>
        <w:t xml:space="preserve">Table </w:t>
      </w:r>
      <w:r w:rsidR="003B6E50">
        <w:rPr>
          <w:rFonts w:ascii="Times New Roman" w:hAnsi="Times New Roman" w:cs="Times New Roman"/>
          <w:b/>
        </w:rPr>
        <w:t>S</w:t>
      </w:r>
      <w:r w:rsidR="00C46CAA" w:rsidRPr="0095023F">
        <w:rPr>
          <w:rFonts w:ascii="Times New Roman" w:hAnsi="Times New Roman" w:cs="Times New Roman"/>
          <w:b/>
        </w:rPr>
        <w:t>1</w:t>
      </w:r>
    </w:p>
    <w:p w14:paraId="072F68EB" w14:textId="4743B8F6" w:rsidR="00C46CAA" w:rsidRPr="008C166C" w:rsidRDefault="00C46CAA" w:rsidP="00E52B33">
      <w:pPr>
        <w:outlineLvl w:val="0"/>
        <w:rPr>
          <w:rFonts w:ascii="Times New Roman" w:hAnsi="Times New Roman" w:cs="Times New Roman"/>
          <w:i/>
          <w:u w:val="single"/>
        </w:rPr>
      </w:pPr>
      <w:r w:rsidRPr="008C166C">
        <w:rPr>
          <w:rFonts w:ascii="Times New Roman" w:hAnsi="Times New Roman" w:cs="Times New Roman"/>
          <w:i/>
          <w:u w:val="single"/>
        </w:rPr>
        <w:t>Symptom, Medication, and Substance Use Information</w:t>
      </w:r>
      <w:r w:rsidR="00C04169" w:rsidRPr="008C166C">
        <w:rPr>
          <w:rFonts w:ascii="Times New Roman" w:hAnsi="Times New Roman" w:cs="Times New Roman"/>
          <w:i/>
          <w:u w:val="single"/>
        </w:rPr>
        <w:tab/>
      </w:r>
      <w:r w:rsidR="00C04169" w:rsidRPr="008C166C">
        <w:rPr>
          <w:rFonts w:ascii="Times New Roman" w:hAnsi="Times New Roman" w:cs="Times New Roman"/>
          <w:i/>
          <w:u w:val="single"/>
        </w:rPr>
        <w:tab/>
      </w:r>
      <w:r w:rsidR="00C04169" w:rsidRPr="008C166C">
        <w:rPr>
          <w:rFonts w:ascii="Times New Roman" w:hAnsi="Times New Roman" w:cs="Times New Roman"/>
          <w:i/>
          <w:u w:val="single"/>
        </w:rPr>
        <w:tab/>
      </w:r>
      <w:r w:rsidR="00C04169" w:rsidRPr="008C166C">
        <w:rPr>
          <w:rFonts w:ascii="Times New Roman" w:hAnsi="Times New Roman" w:cs="Times New Roman"/>
          <w:i/>
          <w:u w:val="single"/>
        </w:rPr>
        <w:tab/>
      </w:r>
      <w:r w:rsidR="00C04169" w:rsidRPr="008C166C">
        <w:rPr>
          <w:rFonts w:ascii="Times New Roman" w:hAnsi="Times New Roman" w:cs="Times New Roman"/>
          <w:i/>
          <w:u w:val="single"/>
        </w:rPr>
        <w:tab/>
      </w:r>
      <w:r w:rsidR="00C04169" w:rsidRPr="008C166C">
        <w:rPr>
          <w:rFonts w:ascii="Times New Roman" w:hAnsi="Times New Roman" w:cs="Times New Roman"/>
          <w:i/>
          <w:u w:val="single"/>
        </w:rPr>
        <w:tab/>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right w:w="115" w:type="dxa"/>
        </w:tblCellMar>
        <w:tblLook w:val="04A0" w:firstRow="1" w:lastRow="0" w:firstColumn="1" w:lastColumn="0" w:noHBand="0" w:noVBand="1"/>
      </w:tblPr>
      <w:tblGrid>
        <w:gridCol w:w="2635"/>
        <w:gridCol w:w="1821"/>
        <w:gridCol w:w="1822"/>
        <w:gridCol w:w="1822"/>
        <w:gridCol w:w="1260"/>
      </w:tblGrid>
      <w:tr w:rsidR="00117856" w:rsidRPr="008C166C" w14:paraId="5CC6E500" w14:textId="20C0A865" w:rsidTr="00117856">
        <w:trPr>
          <w:trHeight w:val="694"/>
        </w:trPr>
        <w:tc>
          <w:tcPr>
            <w:tcW w:w="2635" w:type="dxa"/>
            <w:tcBorders>
              <w:bottom w:val="single" w:sz="4" w:space="0" w:color="auto"/>
            </w:tcBorders>
          </w:tcPr>
          <w:p w14:paraId="37A61CF9" w14:textId="77777777" w:rsidR="00117856" w:rsidRPr="008C166C" w:rsidRDefault="00117856" w:rsidP="00E52B33">
            <w:pPr>
              <w:widowControl w:val="0"/>
              <w:autoSpaceDE w:val="0"/>
              <w:autoSpaceDN w:val="0"/>
              <w:adjustRightInd w:val="0"/>
              <w:rPr>
                <w:rFonts w:ascii="Times New Roman" w:hAnsi="Times New Roman" w:cs="Times New Roman"/>
              </w:rPr>
            </w:pPr>
          </w:p>
        </w:tc>
        <w:tc>
          <w:tcPr>
            <w:tcW w:w="1821" w:type="dxa"/>
            <w:tcBorders>
              <w:bottom w:val="single" w:sz="4" w:space="0" w:color="auto"/>
            </w:tcBorders>
            <w:vAlign w:val="bottom"/>
          </w:tcPr>
          <w:p w14:paraId="7AB2540C" w14:textId="30295609"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CHR, Non-Converter (N = 34)</w:t>
            </w:r>
          </w:p>
        </w:tc>
        <w:tc>
          <w:tcPr>
            <w:tcW w:w="1822" w:type="dxa"/>
            <w:tcBorders>
              <w:bottom w:val="single" w:sz="4" w:space="0" w:color="auto"/>
            </w:tcBorders>
            <w:vAlign w:val="bottom"/>
          </w:tcPr>
          <w:p w14:paraId="1B960667" w14:textId="77777777"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 xml:space="preserve">CHR, Converter </w:t>
            </w:r>
          </w:p>
          <w:p w14:paraId="264F372A" w14:textId="658058C2"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(N = 13)</w:t>
            </w:r>
          </w:p>
        </w:tc>
        <w:tc>
          <w:tcPr>
            <w:tcW w:w="1822" w:type="dxa"/>
            <w:tcBorders>
              <w:bottom w:val="single" w:sz="4" w:space="0" w:color="auto"/>
            </w:tcBorders>
            <w:vAlign w:val="bottom"/>
          </w:tcPr>
          <w:p w14:paraId="4A6835AB" w14:textId="28E32ED6"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Control</w:t>
            </w:r>
          </w:p>
          <w:p w14:paraId="480401D3" w14:textId="1ADFBEDC"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(N = 27)</w:t>
            </w:r>
          </w:p>
        </w:tc>
        <w:tc>
          <w:tcPr>
            <w:tcW w:w="1260" w:type="dxa"/>
            <w:tcBorders>
              <w:bottom w:val="single" w:sz="4" w:space="0" w:color="auto"/>
            </w:tcBorders>
            <w:vAlign w:val="bottom"/>
          </w:tcPr>
          <w:p w14:paraId="60604FC0" w14:textId="2EE7165C"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i/>
              </w:rPr>
              <w:t>p</w:t>
            </w:r>
            <w:r w:rsidRPr="008C166C">
              <w:rPr>
                <w:rFonts w:ascii="Times New Roman" w:hAnsi="Times New Roman" w:cs="Times New Roman"/>
              </w:rPr>
              <w:t>:</w:t>
            </w:r>
          </w:p>
          <w:p w14:paraId="07419456" w14:textId="7A900E1D"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CHR Contrast</w:t>
            </w:r>
          </w:p>
        </w:tc>
      </w:tr>
      <w:tr w:rsidR="00117856" w:rsidRPr="008C166C" w14:paraId="7F923205" w14:textId="65E5F3C0" w:rsidTr="00117856">
        <w:trPr>
          <w:trHeight w:val="220"/>
        </w:trPr>
        <w:tc>
          <w:tcPr>
            <w:tcW w:w="2635" w:type="dxa"/>
            <w:tcBorders>
              <w:top w:val="single" w:sz="4" w:space="0" w:color="auto"/>
            </w:tcBorders>
          </w:tcPr>
          <w:p w14:paraId="44B64EC1" w14:textId="38513FD2" w:rsidR="00117856" w:rsidRPr="008C166C" w:rsidRDefault="00117856" w:rsidP="00E52B33">
            <w:pPr>
              <w:widowControl w:val="0"/>
              <w:autoSpaceDE w:val="0"/>
              <w:autoSpaceDN w:val="0"/>
              <w:adjustRightInd w:val="0"/>
              <w:rPr>
                <w:rFonts w:ascii="Times New Roman" w:hAnsi="Times New Roman" w:cs="Times New Roman"/>
              </w:rPr>
            </w:pPr>
            <w:r w:rsidRPr="008C166C">
              <w:rPr>
                <w:rFonts w:ascii="Times New Roman" w:hAnsi="Times New Roman" w:cs="Times New Roman"/>
              </w:rPr>
              <w:t>SOPS Scores</w:t>
            </w:r>
          </w:p>
        </w:tc>
        <w:tc>
          <w:tcPr>
            <w:tcW w:w="1821" w:type="dxa"/>
            <w:tcBorders>
              <w:top w:val="single" w:sz="4" w:space="0" w:color="auto"/>
            </w:tcBorders>
          </w:tcPr>
          <w:p w14:paraId="20F82BB1"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c>
          <w:tcPr>
            <w:tcW w:w="1822" w:type="dxa"/>
            <w:tcBorders>
              <w:top w:val="single" w:sz="4" w:space="0" w:color="auto"/>
            </w:tcBorders>
          </w:tcPr>
          <w:p w14:paraId="6BB0D627"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c>
          <w:tcPr>
            <w:tcW w:w="1822" w:type="dxa"/>
            <w:tcBorders>
              <w:top w:val="single" w:sz="4" w:space="0" w:color="auto"/>
            </w:tcBorders>
          </w:tcPr>
          <w:p w14:paraId="7A14807D"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c>
          <w:tcPr>
            <w:tcW w:w="1260" w:type="dxa"/>
            <w:tcBorders>
              <w:top w:val="single" w:sz="4" w:space="0" w:color="auto"/>
            </w:tcBorders>
          </w:tcPr>
          <w:p w14:paraId="4A957E34"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r>
      <w:tr w:rsidR="00117856" w:rsidRPr="008C166C" w14:paraId="140624E7" w14:textId="3CC5DE63" w:rsidTr="00117856">
        <w:trPr>
          <w:trHeight w:val="220"/>
        </w:trPr>
        <w:tc>
          <w:tcPr>
            <w:tcW w:w="2635" w:type="dxa"/>
          </w:tcPr>
          <w:p w14:paraId="2695D856"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Total</w:t>
            </w:r>
          </w:p>
        </w:tc>
        <w:tc>
          <w:tcPr>
            <w:tcW w:w="1821" w:type="dxa"/>
          </w:tcPr>
          <w:p w14:paraId="5D993215" w14:textId="15F582E6"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36.8 (7.6)</w:t>
            </w:r>
          </w:p>
        </w:tc>
        <w:tc>
          <w:tcPr>
            <w:tcW w:w="1822" w:type="dxa"/>
          </w:tcPr>
          <w:p w14:paraId="59233D79" w14:textId="48C80EAA"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42.5 (11.3)</w:t>
            </w:r>
          </w:p>
        </w:tc>
        <w:tc>
          <w:tcPr>
            <w:tcW w:w="1822" w:type="dxa"/>
          </w:tcPr>
          <w:p w14:paraId="37FA2FBD" w14:textId="3DE760E8"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4.9 (5.5)</w:t>
            </w:r>
          </w:p>
        </w:tc>
        <w:tc>
          <w:tcPr>
            <w:tcW w:w="1260" w:type="dxa"/>
          </w:tcPr>
          <w:p w14:paraId="703B670D" w14:textId="6F256C10"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.164</w:t>
            </w:r>
          </w:p>
        </w:tc>
      </w:tr>
      <w:tr w:rsidR="00117856" w:rsidRPr="008C166C" w14:paraId="40F7F6B8" w14:textId="7C536A14" w:rsidTr="00117856">
        <w:trPr>
          <w:trHeight w:val="220"/>
        </w:trPr>
        <w:tc>
          <w:tcPr>
            <w:tcW w:w="2635" w:type="dxa"/>
          </w:tcPr>
          <w:p w14:paraId="4AC27115"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Positive</w:t>
            </w:r>
          </w:p>
        </w:tc>
        <w:tc>
          <w:tcPr>
            <w:tcW w:w="1821" w:type="dxa"/>
          </w:tcPr>
          <w:p w14:paraId="20791131" w14:textId="06AB682E"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12.4 (4.4)</w:t>
            </w:r>
          </w:p>
        </w:tc>
        <w:tc>
          <w:tcPr>
            <w:tcW w:w="1822" w:type="dxa"/>
          </w:tcPr>
          <w:p w14:paraId="5F95411E" w14:textId="34B8B237"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14.0 (3.2)</w:t>
            </w:r>
          </w:p>
        </w:tc>
        <w:tc>
          <w:tcPr>
            <w:tcW w:w="1822" w:type="dxa"/>
          </w:tcPr>
          <w:p w14:paraId="7BEFFE33" w14:textId="707D7341"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1.4 (1.9)</w:t>
            </w:r>
          </w:p>
        </w:tc>
        <w:tc>
          <w:tcPr>
            <w:tcW w:w="1260" w:type="dxa"/>
          </w:tcPr>
          <w:p w14:paraId="7B24D43D" w14:textId="308B74ED"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.245</w:t>
            </w:r>
          </w:p>
        </w:tc>
      </w:tr>
      <w:tr w:rsidR="00117856" w:rsidRPr="008C166C" w14:paraId="5FE64086" w14:textId="1513522D" w:rsidTr="00117856">
        <w:trPr>
          <w:trHeight w:val="236"/>
        </w:trPr>
        <w:tc>
          <w:tcPr>
            <w:tcW w:w="2635" w:type="dxa"/>
          </w:tcPr>
          <w:p w14:paraId="03C0C4FE"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 xml:space="preserve">Negative </w:t>
            </w:r>
          </w:p>
        </w:tc>
        <w:tc>
          <w:tcPr>
            <w:tcW w:w="1821" w:type="dxa"/>
          </w:tcPr>
          <w:p w14:paraId="1551F714" w14:textId="78C87025"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11.7 (6.0)</w:t>
            </w:r>
          </w:p>
        </w:tc>
        <w:tc>
          <w:tcPr>
            <w:tcW w:w="1822" w:type="dxa"/>
          </w:tcPr>
          <w:p w14:paraId="04807397" w14:textId="2C99A86C"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12.5 (6.0)</w:t>
            </w:r>
          </w:p>
        </w:tc>
        <w:tc>
          <w:tcPr>
            <w:tcW w:w="1822" w:type="dxa"/>
          </w:tcPr>
          <w:p w14:paraId="4EDF199B" w14:textId="17BB6FB0"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1.4 (1.9)</w:t>
            </w:r>
          </w:p>
        </w:tc>
        <w:tc>
          <w:tcPr>
            <w:tcW w:w="1260" w:type="dxa"/>
          </w:tcPr>
          <w:p w14:paraId="444053BF" w14:textId="43F570ED"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.682</w:t>
            </w:r>
          </w:p>
        </w:tc>
      </w:tr>
      <w:tr w:rsidR="00117856" w:rsidRPr="008C166C" w14:paraId="061D7FFF" w14:textId="53306E62" w:rsidTr="00117856">
        <w:trPr>
          <w:trHeight w:val="220"/>
        </w:trPr>
        <w:tc>
          <w:tcPr>
            <w:tcW w:w="2635" w:type="dxa"/>
          </w:tcPr>
          <w:p w14:paraId="1F464021"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Disorganized</w:t>
            </w:r>
          </w:p>
        </w:tc>
        <w:tc>
          <w:tcPr>
            <w:tcW w:w="1821" w:type="dxa"/>
          </w:tcPr>
          <w:p w14:paraId="6516F798" w14:textId="3C832790"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5.0 (2.7)</w:t>
            </w:r>
          </w:p>
        </w:tc>
        <w:tc>
          <w:tcPr>
            <w:tcW w:w="1822" w:type="dxa"/>
          </w:tcPr>
          <w:p w14:paraId="3D25789B" w14:textId="3C6D1D7D"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6.4 (3.4)</w:t>
            </w:r>
          </w:p>
        </w:tc>
        <w:tc>
          <w:tcPr>
            <w:tcW w:w="1822" w:type="dxa"/>
          </w:tcPr>
          <w:p w14:paraId="6190ABD9" w14:textId="0CB87C25"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0.8 (1.1)</w:t>
            </w:r>
          </w:p>
        </w:tc>
        <w:tc>
          <w:tcPr>
            <w:tcW w:w="1260" w:type="dxa"/>
          </w:tcPr>
          <w:p w14:paraId="228E3B1D" w14:textId="4796D1A3"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.155</w:t>
            </w:r>
          </w:p>
        </w:tc>
      </w:tr>
      <w:tr w:rsidR="00117856" w:rsidRPr="008C166C" w14:paraId="0A3DB758" w14:textId="2E354949" w:rsidTr="00117856">
        <w:trPr>
          <w:trHeight w:val="220"/>
        </w:trPr>
        <w:tc>
          <w:tcPr>
            <w:tcW w:w="2635" w:type="dxa"/>
          </w:tcPr>
          <w:p w14:paraId="34C41D26"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General</w:t>
            </w:r>
          </w:p>
        </w:tc>
        <w:tc>
          <w:tcPr>
            <w:tcW w:w="1821" w:type="dxa"/>
          </w:tcPr>
          <w:p w14:paraId="629F0788" w14:textId="0E919D5A"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7.6 (4.4)</w:t>
            </w:r>
          </w:p>
        </w:tc>
        <w:tc>
          <w:tcPr>
            <w:tcW w:w="1822" w:type="dxa"/>
          </w:tcPr>
          <w:p w14:paraId="09F0C640" w14:textId="41111E66"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9.5 (4.4)</w:t>
            </w:r>
          </w:p>
        </w:tc>
        <w:tc>
          <w:tcPr>
            <w:tcW w:w="1822" w:type="dxa"/>
          </w:tcPr>
          <w:p w14:paraId="74F2308E" w14:textId="1C7F5CAD"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1.3 (1.8)</w:t>
            </w:r>
          </w:p>
        </w:tc>
        <w:tc>
          <w:tcPr>
            <w:tcW w:w="1260" w:type="dxa"/>
          </w:tcPr>
          <w:p w14:paraId="24020892" w14:textId="7D64C88C"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.191</w:t>
            </w:r>
          </w:p>
        </w:tc>
      </w:tr>
      <w:tr w:rsidR="00117856" w:rsidRPr="008C166C" w14:paraId="350198D1" w14:textId="0E348817" w:rsidTr="00117856">
        <w:trPr>
          <w:trHeight w:val="236"/>
        </w:trPr>
        <w:tc>
          <w:tcPr>
            <w:tcW w:w="2635" w:type="dxa"/>
          </w:tcPr>
          <w:p w14:paraId="7CAF52E7" w14:textId="6D83F694" w:rsidR="00117856" w:rsidRPr="008C166C" w:rsidRDefault="00117856" w:rsidP="00764875">
            <w:pPr>
              <w:widowControl w:val="0"/>
              <w:autoSpaceDE w:val="0"/>
              <w:autoSpaceDN w:val="0"/>
              <w:adjustRightInd w:val="0"/>
              <w:rPr>
                <w:rFonts w:ascii="Times New Roman" w:hAnsi="Times New Roman" w:cs="Times New Roman"/>
              </w:rPr>
            </w:pPr>
            <w:r w:rsidRPr="008C166C">
              <w:rPr>
                <w:rFonts w:ascii="Times New Roman" w:hAnsi="Times New Roman" w:cs="Times New Roman"/>
              </w:rPr>
              <w:t>Medications</w:t>
            </w:r>
            <w:r w:rsidR="009755E4" w:rsidRPr="008C166C">
              <w:rPr>
                <w:rFonts w:ascii="Times New Roman" w:hAnsi="Times New Roman" w:cs="Times New Roman"/>
              </w:rPr>
              <w:t xml:space="preserve"> </w:t>
            </w:r>
          </w:p>
        </w:tc>
        <w:tc>
          <w:tcPr>
            <w:tcW w:w="1821" w:type="dxa"/>
          </w:tcPr>
          <w:p w14:paraId="6D0C6100"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c>
          <w:tcPr>
            <w:tcW w:w="1822" w:type="dxa"/>
          </w:tcPr>
          <w:p w14:paraId="0EF22B39"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c>
          <w:tcPr>
            <w:tcW w:w="1822" w:type="dxa"/>
          </w:tcPr>
          <w:p w14:paraId="7B70E4AC"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c>
          <w:tcPr>
            <w:tcW w:w="1260" w:type="dxa"/>
          </w:tcPr>
          <w:p w14:paraId="56C99E62" w14:textId="77777777" w:rsidR="00117856" w:rsidRPr="008C166C" w:rsidRDefault="00117856" w:rsidP="00E52B33">
            <w:pPr>
              <w:widowControl w:val="0"/>
              <w:autoSpaceDE w:val="0"/>
              <w:autoSpaceDN w:val="0"/>
              <w:adjustRightInd w:val="0"/>
              <w:jc w:val="center"/>
              <w:rPr>
                <w:rFonts w:ascii="Times New Roman" w:hAnsi="Times New Roman" w:cs="Times New Roman"/>
              </w:rPr>
            </w:pPr>
          </w:p>
        </w:tc>
      </w:tr>
      <w:tr w:rsidR="00117856" w:rsidRPr="008C166C" w14:paraId="6C569004" w14:textId="4084AFA4" w:rsidTr="00117856">
        <w:trPr>
          <w:trHeight w:val="220"/>
        </w:trPr>
        <w:tc>
          <w:tcPr>
            <w:tcW w:w="2635" w:type="dxa"/>
          </w:tcPr>
          <w:p w14:paraId="195046FF"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Antipsychotic</w:t>
            </w:r>
          </w:p>
        </w:tc>
        <w:tc>
          <w:tcPr>
            <w:tcW w:w="1821" w:type="dxa"/>
          </w:tcPr>
          <w:p w14:paraId="37C05989" w14:textId="783E9291"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10 (</w:t>
            </w:r>
            <w:r w:rsidR="00117856" w:rsidRPr="008C166C">
              <w:rPr>
                <w:rFonts w:ascii="Times New Roman" w:hAnsi="Times New Roman" w:cs="Times New Roman"/>
              </w:rPr>
              <w:t>29%</w:t>
            </w:r>
            <w:r w:rsidRPr="008C166C">
              <w:rPr>
                <w:rFonts w:ascii="Times New Roman" w:hAnsi="Times New Roman" w:cs="Times New Roman"/>
              </w:rPr>
              <w:t>)</w:t>
            </w:r>
          </w:p>
        </w:tc>
        <w:tc>
          <w:tcPr>
            <w:tcW w:w="1822" w:type="dxa"/>
          </w:tcPr>
          <w:p w14:paraId="6937BFBF" w14:textId="25FCACCD"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3 (</w:t>
            </w:r>
            <w:r w:rsidR="00255590" w:rsidRPr="008C166C">
              <w:rPr>
                <w:rFonts w:ascii="Times New Roman" w:hAnsi="Times New Roman" w:cs="Times New Roman"/>
              </w:rPr>
              <w:t>23</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1AC40092" w14:textId="22A793DE"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 (</w:t>
            </w:r>
            <w:r w:rsidR="00255590" w:rsidRPr="008C166C">
              <w:rPr>
                <w:rFonts w:ascii="Times New Roman" w:hAnsi="Times New Roman" w:cs="Times New Roman"/>
              </w:rPr>
              <w:t>4</w:t>
            </w:r>
            <w:r w:rsidR="00117856" w:rsidRPr="008C166C">
              <w:rPr>
                <w:rFonts w:ascii="Times New Roman" w:hAnsi="Times New Roman" w:cs="Times New Roman"/>
              </w:rPr>
              <w:t>%</w:t>
            </w:r>
            <w:r w:rsidRPr="008C166C">
              <w:rPr>
                <w:rFonts w:ascii="Times New Roman" w:hAnsi="Times New Roman" w:cs="Times New Roman"/>
              </w:rPr>
              <w:t>)</w:t>
            </w:r>
          </w:p>
        </w:tc>
        <w:tc>
          <w:tcPr>
            <w:tcW w:w="1260" w:type="dxa"/>
          </w:tcPr>
          <w:p w14:paraId="6A451546" w14:textId="1480F96D"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.944</w:t>
            </w:r>
          </w:p>
        </w:tc>
      </w:tr>
      <w:tr w:rsidR="00117856" w:rsidRPr="008C166C" w14:paraId="42ED554D" w14:textId="34BF74FC" w:rsidTr="00117856">
        <w:trPr>
          <w:trHeight w:val="220"/>
        </w:trPr>
        <w:tc>
          <w:tcPr>
            <w:tcW w:w="2635" w:type="dxa"/>
          </w:tcPr>
          <w:p w14:paraId="4FDFE562"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Antidepressant</w:t>
            </w:r>
          </w:p>
        </w:tc>
        <w:tc>
          <w:tcPr>
            <w:tcW w:w="1821" w:type="dxa"/>
          </w:tcPr>
          <w:p w14:paraId="5B6FCB39" w14:textId="05591E28"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12 (</w:t>
            </w:r>
            <w:r w:rsidR="00255590" w:rsidRPr="008C166C">
              <w:rPr>
                <w:rFonts w:ascii="Times New Roman" w:hAnsi="Times New Roman" w:cs="Times New Roman"/>
              </w:rPr>
              <w:t>35</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6AD435C0" w14:textId="170EFA27"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7 (</w:t>
            </w:r>
            <w:r w:rsidR="00255590" w:rsidRPr="008C166C">
              <w:rPr>
                <w:rFonts w:ascii="Times New Roman" w:hAnsi="Times New Roman" w:cs="Times New Roman"/>
              </w:rPr>
              <w:t>54</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6A1F041A" w14:textId="6170ADC2"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 (</w:t>
            </w:r>
            <w:r w:rsidR="00255590" w:rsidRPr="008C166C">
              <w:rPr>
                <w:rFonts w:ascii="Times New Roman" w:hAnsi="Times New Roman" w:cs="Times New Roman"/>
              </w:rPr>
              <w:t>4</w:t>
            </w:r>
            <w:r w:rsidR="00117856" w:rsidRPr="008C166C">
              <w:rPr>
                <w:rFonts w:ascii="Times New Roman" w:hAnsi="Times New Roman" w:cs="Times New Roman"/>
              </w:rPr>
              <w:t>%</w:t>
            </w:r>
            <w:r w:rsidRPr="008C166C">
              <w:rPr>
                <w:rFonts w:ascii="Times New Roman" w:hAnsi="Times New Roman" w:cs="Times New Roman"/>
              </w:rPr>
              <w:t>)</w:t>
            </w:r>
          </w:p>
        </w:tc>
        <w:tc>
          <w:tcPr>
            <w:tcW w:w="1260" w:type="dxa"/>
          </w:tcPr>
          <w:p w14:paraId="06D26E61" w14:textId="5D2703C5"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.408</w:t>
            </w:r>
          </w:p>
        </w:tc>
      </w:tr>
      <w:tr w:rsidR="00117856" w:rsidRPr="008C166C" w14:paraId="4E96B32F" w14:textId="4B224E69" w:rsidTr="00117856">
        <w:trPr>
          <w:trHeight w:val="236"/>
        </w:trPr>
        <w:tc>
          <w:tcPr>
            <w:tcW w:w="2635" w:type="dxa"/>
          </w:tcPr>
          <w:p w14:paraId="25EE4E7B"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Stimulant</w:t>
            </w:r>
          </w:p>
        </w:tc>
        <w:tc>
          <w:tcPr>
            <w:tcW w:w="1821" w:type="dxa"/>
          </w:tcPr>
          <w:p w14:paraId="4245808D" w14:textId="5C3A6BF0"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7 (</w:t>
            </w:r>
            <w:r w:rsidR="00255590" w:rsidRPr="008C166C">
              <w:rPr>
                <w:rFonts w:ascii="Times New Roman" w:hAnsi="Times New Roman" w:cs="Times New Roman"/>
              </w:rPr>
              <w:t>21</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7F618014" w14:textId="1ECBBEC1"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3 (</w:t>
            </w:r>
            <w:r w:rsidR="00255590" w:rsidRPr="008C166C">
              <w:rPr>
                <w:rFonts w:ascii="Times New Roman" w:hAnsi="Times New Roman" w:cs="Times New Roman"/>
              </w:rPr>
              <w:t>23</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5A7B7DD1" w14:textId="56BA6D10"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0</w:t>
            </w:r>
          </w:p>
        </w:tc>
        <w:tc>
          <w:tcPr>
            <w:tcW w:w="1260" w:type="dxa"/>
          </w:tcPr>
          <w:p w14:paraId="45DC79BE" w14:textId="737B8E0B"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w:t>
            </w:r>
          </w:p>
        </w:tc>
      </w:tr>
      <w:tr w:rsidR="00117856" w:rsidRPr="008C166C" w14:paraId="676F7A36" w14:textId="3469290B" w:rsidTr="00117856">
        <w:trPr>
          <w:trHeight w:val="220"/>
        </w:trPr>
        <w:tc>
          <w:tcPr>
            <w:tcW w:w="2635" w:type="dxa"/>
          </w:tcPr>
          <w:p w14:paraId="0665005F"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Mood stabilizer</w:t>
            </w:r>
          </w:p>
        </w:tc>
        <w:tc>
          <w:tcPr>
            <w:tcW w:w="1821" w:type="dxa"/>
          </w:tcPr>
          <w:p w14:paraId="6BCBFE5F" w14:textId="501A7935" w:rsidR="00117856" w:rsidRPr="008C166C" w:rsidRDefault="00984B75"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 (</w:t>
            </w:r>
            <w:r w:rsidR="00255590" w:rsidRPr="008C166C">
              <w:rPr>
                <w:rFonts w:ascii="Times New Roman" w:hAnsi="Times New Roman" w:cs="Times New Roman"/>
              </w:rPr>
              <w:t>3</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0BEA75C1" w14:textId="4267A1A7" w:rsidR="00117856" w:rsidRPr="008C166C" w:rsidRDefault="00984B75"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 (</w:t>
            </w:r>
            <w:r w:rsidR="00255590" w:rsidRPr="008C166C">
              <w:rPr>
                <w:rFonts w:ascii="Times New Roman" w:hAnsi="Times New Roman" w:cs="Times New Roman"/>
              </w:rPr>
              <w:t>8</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3CB42EAD" w14:textId="57A7AD91"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0</w:t>
            </w:r>
          </w:p>
        </w:tc>
        <w:tc>
          <w:tcPr>
            <w:tcW w:w="1260" w:type="dxa"/>
          </w:tcPr>
          <w:p w14:paraId="7F7C9598" w14:textId="6F45807B"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w:t>
            </w:r>
          </w:p>
        </w:tc>
      </w:tr>
      <w:tr w:rsidR="00117856" w:rsidRPr="008C166C" w14:paraId="19950408" w14:textId="730526BF" w:rsidTr="00117856">
        <w:trPr>
          <w:trHeight w:val="220"/>
        </w:trPr>
        <w:tc>
          <w:tcPr>
            <w:tcW w:w="2635" w:type="dxa"/>
          </w:tcPr>
          <w:p w14:paraId="3AB061E1"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Benzodiazepine</w:t>
            </w:r>
          </w:p>
        </w:tc>
        <w:tc>
          <w:tcPr>
            <w:tcW w:w="1821" w:type="dxa"/>
          </w:tcPr>
          <w:p w14:paraId="1BA7BCAC" w14:textId="44E4822C"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3 (</w:t>
            </w:r>
            <w:r w:rsidR="00255590" w:rsidRPr="008C166C">
              <w:rPr>
                <w:rFonts w:ascii="Times New Roman" w:hAnsi="Times New Roman" w:cs="Times New Roman"/>
              </w:rPr>
              <w:t>9</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0CFDD45A" w14:textId="1B52C741"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2 (</w:t>
            </w:r>
            <w:r w:rsidR="00255590" w:rsidRPr="008C166C">
              <w:rPr>
                <w:rFonts w:ascii="Times New Roman" w:hAnsi="Times New Roman" w:cs="Times New Roman"/>
              </w:rPr>
              <w:t>15</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00C82736" w14:textId="334E2329" w:rsidR="00117856" w:rsidRPr="008C166C" w:rsidRDefault="00117856" w:rsidP="00984B75">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0</w:t>
            </w:r>
          </w:p>
        </w:tc>
        <w:tc>
          <w:tcPr>
            <w:tcW w:w="1260" w:type="dxa"/>
          </w:tcPr>
          <w:p w14:paraId="0524C13A" w14:textId="49701548"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.902</w:t>
            </w:r>
          </w:p>
        </w:tc>
      </w:tr>
      <w:tr w:rsidR="00117856" w:rsidRPr="008C166C" w14:paraId="21DC1CF3" w14:textId="18F5B9A5" w:rsidTr="00117856">
        <w:trPr>
          <w:trHeight w:val="236"/>
        </w:trPr>
        <w:tc>
          <w:tcPr>
            <w:tcW w:w="2635" w:type="dxa"/>
          </w:tcPr>
          <w:p w14:paraId="04C87057" w14:textId="77777777"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NSAID</w:t>
            </w:r>
          </w:p>
        </w:tc>
        <w:tc>
          <w:tcPr>
            <w:tcW w:w="1821" w:type="dxa"/>
          </w:tcPr>
          <w:p w14:paraId="188A78E3" w14:textId="5F5B95ED"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 (</w:t>
            </w:r>
            <w:r w:rsidR="00255590" w:rsidRPr="008C166C">
              <w:rPr>
                <w:rFonts w:ascii="Times New Roman" w:hAnsi="Times New Roman" w:cs="Times New Roman"/>
              </w:rPr>
              <w:t>3</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134C4BEF" w14:textId="506E0F60" w:rsidR="00117856" w:rsidRPr="008C166C" w:rsidRDefault="00984B75"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 (</w:t>
            </w:r>
            <w:r w:rsidR="00255590" w:rsidRPr="008C166C">
              <w:rPr>
                <w:rFonts w:ascii="Times New Roman" w:hAnsi="Times New Roman" w:cs="Times New Roman"/>
              </w:rPr>
              <w:t>8</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7109D924" w14:textId="19D8F57B"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 (</w:t>
            </w:r>
            <w:r w:rsidR="00255590" w:rsidRPr="008C166C">
              <w:rPr>
                <w:rFonts w:ascii="Times New Roman" w:hAnsi="Times New Roman" w:cs="Times New Roman"/>
              </w:rPr>
              <w:t>4</w:t>
            </w:r>
            <w:r w:rsidR="00117856" w:rsidRPr="008C166C">
              <w:rPr>
                <w:rFonts w:ascii="Times New Roman" w:hAnsi="Times New Roman" w:cs="Times New Roman"/>
              </w:rPr>
              <w:t>%</w:t>
            </w:r>
            <w:r w:rsidRPr="008C166C">
              <w:rPr>
                <w:rFonts w:ascii="Times New Roman" w:hAnsi="Times New Roman" w:cs="Times New Roman"/>
              </w:rPr>
              <w:t>)</w:t>
            </w:r>
          </w:p>
        </w:tc>
        <w:tc>
          <w:tcPr>
            <w:tcW w:w="1260" w:type="dxa"/>
          </w:tcPr>
          <w:p w14:paraId="48825BC4" w14:textId="0ACFC18B"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w:t>
            </w:r>
          </w:p>
        </w:tc>
      </w:tr>
      <w:tr w:rsidR="00117856" w:rsidRPr="008C166C" w14:paraId="20E7E37A" w14:textId="11C53942" w:rsidTr="00117856">
        <w:trPr>
          <w:trHeight w:val="220"/>
        </w:trPr>
        <w:tc>
          <w:tcPr>
            <w:tcW w:w="2635" w:type="dxa"/>
          </w:tcPr>
          <w:p w14:paraId="144F5080" w14:textId="73F83494"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Antihistamine</w:t>
            </w:r>
          </w:p>
        </w:tc>
        <w:tc>
          <w:tcPr>
            <w:tcW w:w="1821" w:type="dxa"/>
          </w:tcPr>
          <w:p w14:paraId="41CFF725" w14:textId="59466648"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3 (</w:t>
            </w:r>
            <w:r w:rsidR="00255590" w:rsidRPr="008C166C">
              <w:rPr>
                <w:rFonts w:ascii="Times New Roman" w:hAnsi="Times New Roman" w:cs="Times New Roman"/>
              </w:rPr>
              <w:t>9</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62492C91" w14:textId="7CCECC11" w:rsidR="00117856" w:rsidRPr="008C166C" w:rsidRDefault="00117856" w:rsidP="00984B75">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0</w:t>
            </w:r>
          </w:p>
        </w:tc>
        <w:tc>
          <w:tcPr>
            <w:tcW w:w="1822" w:type="dxa"/>
          </w:tcPr>
          <w:p w14:paraId="2C3FA69F" w14:textId="6635B3E2"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3 (</w:t>
            </w:r>
            <w:r w:rsidR="00255590" w:rsidRPr="008C166C">
              <w:rPr>
                <w:rFonts w:ascii="Times New Roman" w:hAnsi="Times New Roman" w:cs="Times New Roman"/>
              </w:rPr>
              <w:t>11</w:t>
            </w:r>
            <w:r w:rsidR="00117856" w:rsidRPr="008C166C">
              <w:rPr>
                <w:rFonts w:ascii="Times New Roman" w:hAnsi="Times New Roman" w:cs="Times New Roman"/>
              </w:rPr>
              <w:t>%</w:t>
            </w:r>
            <w:r w:rsidRPr="008C166C">
              <w:rPr>
                <w:rFonts w:ascii="Times New Roman" w:hAnsi="Times New Roman" w:cs="Times New Roman"/>
              </w:rPr>
              <w:t>)</w:t>
            </w:r>
          </w:p>
        </w:tc>
        <w:tc>
          <w:tcPr>
            <w:tcW w:w="1260" w:type="dxa"/>
          </w:tcPr>
          <w:p w14:paraId="4F2CD69D" w14:textId="4C9B866C"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.660</w:t>
            </w:r>
          </w:p>
        </w:tc>
      </w:tr>
      <w:tr w:rsidR="00117856" w:rsidRPr="008C166C" w14:paraId="1173E95B" w14:textId="77777777" w:rsidTr="00117856">
        <w:trPr>
          <w:trHeight w:val="236"/>
        </w:trPr>
        <w:tc>
          <w:tcPr>
            <w:tcW w:w="2635" w:type="dxa"/>
          </w:tcPr>
          <w:p w14:paraId="48FC7BF3" w14:textId="7C971041"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Sedative</w:t>
            </w:r>
          </w:p>
        </w:tc>
        <w:tc>
          <w:tcPr>
            <w:tcW w:w="1821" w:type="dxa"/>
          </w:tcPr>
          <w:p w14:paraId="192C0447" w14:textId="74783000"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2 (</w:t>
            </w:r>
            <w:r w:rsidR="00255590" w:rsidRPr="008C166C">
              <w:rPr>
                <w:rFonts w:ascii="Times New Roman" w:hAnsi="Times New Roman" w:cs="Times New Roman"/>
              </w:rPr>
              <w:t>6</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48ACD9F4" w14:textId="56991AE1" w:rsidR="00117856" w:rsidRPr="008C166C" w:rsidRDefault="00984B75"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2 (</w:t>
            </w:r>
            <w:r w:rsidR="00255590" w:rsidRPr="008C166C">
              <w:rPr>
                <w:rFonts w:ascii="Times New Roman" w:hAnsi="Times New Roman" w:cs="Times New Roman"/>
              </w:rPr>
              <w:t>15</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2A324E64" w14:textId="55030802" w:rsidR="00117856" w:rsidRPr="008C166C" w:rsidRDefault="00984B75"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2 (</w:t>
            </w:r>
            <w:r w:rsidR="00255590" w:rsidRPr="008C166C">
              <w:rPr>
                <w:rFonts w:ascii="Times New Roman" w:hAnsi="Times New Roman" w:cs="Times New Roman"/>
              </w:rPr>
              <w:t>7</w:t>
            </w:r>
            <w:r w:rsidR="00117856" w:rsidRPr="008C166C">
              <w:rPr>
                <w:rFonts w:ascii="Times New Roman" w:hAnsi="Times New Roman" w:cs="Times New Roman"/>
              </w:rPr>
              <w:t>%</w:t>
            </w:r>
            <w:r w:rsidRPr="008C166C">
              <w:rPr>
                <w:rFonts w:ascii="Times New Roman" w:hAnsi="Times New Roman" w:cs="Times New Roman"/>
              </w:rPr>
              <w:t>)</w:t>
            </w:r>
          </w:p>
        </w:tc>
        <w:tc>
          <w:tcPr>
            <w:tcW w:w="1260" w:type="dxa"/>
          </w:tcPr>
          <w:p w14:paraId="66F6299E" w14:textId="38FE82EA"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.646</w:t>
            </w:r>
          </w:p>
        </w:tc>
      </w:tr>
      <w:tr w:rsidR="00117856" w:rsidRPr="008C166C" w14:paraId="5537233C" w14:textId="77777777" w:rsidTr="00117856">
        <w:trPr>
          <w:trHeight w:val="236"/>
        </w:trPr>
        <w:tc>
          <w:tcPr>
            <w:tcW w:w="2635" w:type="dxa"/>
          </w:tcPr>
          <w:p w14:paraId="109CF32E" w14:textId="3F4F8BF0"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Other</w:t>
            </w:r>
          </w:p>
        </w:tc>
        <w:tc>
          <w:tcPr>
            <w:tcW w:w="1821" w:type="dxa"/>
          </w:tcPr>
          <w:p w14:paraId="7029E3AE" w14:textId="513D0BC3" w:rsidR="00117856" w:rsidRPr="008C166C" w:rsidRDefault="00DE6577"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4 (</w:t>
            </w:r>
            <w:r w:rsidR="00255590" w:rsidRPr="008C166C">
              <w:rPr>
                <w:rFonts w:ascii="Times New Roman" w:hAnsi="Times New Roman" w:cs="Times New Roman"/>
              </w:rPr>
              <w:t>12</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12107E5A" w14:textId="48FF7CAC" w:rsidR="00117856" w:rsidRPr="008C166C" w:rsidRDefault="00DE6577"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3 (</w:t>
            </w:r>
            <w:r w:rsidR="00255590" w:rsidRPr="008C166C">
              <w:rPr>
                <w:rFonts w:ascii="Times New Roman" w:hAnsi="Times New Roman" w:cs="Times New Roman"/>
              </w:rPr>
              <w:t>23</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1DCC0B27" w14:textId="2927E541" w:rsidR="00117856" w:rsidRPr="008C166C" w:rsidRDefault="00DE6577"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9 (</w:t>
            </w:r>
            <w:r w:rsidR="00255590" w:rsidRPr="008C166C">
              <w:rPr>
                <w:rFonts w:ascii="Times New Roman" w:hAnsi="Times New Roman" w:cs="Times New Roman"/>
              </w:rPr>
              <w:t>33</w:t>
            </w:r>
            <w:r w:rsidR="00117856" w:rsidRPr="008C166C">
              <w:rPr>
                <w:rFonts w:ascii="Times New Roman" w:hAnsi="Times New Roman" w:cs="Times New Roman"/>
              </w:rPr>
              <w:t>%</w:t>
            </w:r>
            <w:r w:rsidRPr="008C166C">
              <w:rPr>
                <w:rFonts w:ascii="Times New Roman" w:hAnsi="Times New Roman" w:cs="Times New Roman"/>
              </w:rPr>
              <w:t>)</w:t>
            </w:r>
          </w:p>
        </w:tc>
        <w:tc>
          <w:tcPr>
            <w:tcW w:w="1260" w:type="dxa"/>
          </w:tcPr>
          <w:p w14:paraId="37D4A372" w14:textId="3D449D50" w:rsidR="00117856" w:rsidRPr="008C166C" w:rsidRDefault="00117856" w:rsidP="00E52B33">
            <w:pPr>
              <w:widowControl w:val="0"/>
              <w:autoSpaceDE w:val="0"/>
              <w:autoSpaceDN w:val="0"/>
              <w:adjustRightInd w:val="0"/>
              <w:jc w:val="center"/>
              <w:rPr>
                <w:rFonts w:ascii="Times New Roman" w:hAnsi="Times New Roman" w:cs="Times New Roman"/>
                <w:i/>
              </w:rPr>
            </w:pPr>
            <w:r w:rsidRPr="008C166C">
              <w:rPr>
                <w:rFonts w:ascii="Times New Roman" w:hAnsi="Times New Roman" w:cs="Times New Roman"/>
              </w:rPr>
              <w:t>.606</w:t>
            </w:r>
          </w:p>
        </w:tc>
      </w:tr>
      <w:tr w:rsidR="00117856" w:rsidRPr="008C166C" w14:paraId="495E6E16" w14:textId="77777777" w:rsidTr="00117856">
        <w:trPr>
          <w:trHeight w:val="236"/>
        </w:trPr>
        <w:tc>
          <w:tcPr>
            <w:tcW w:w="2635" w:type="dxa"/>
          </w:tcPr>
          <w:p w14:paraId="3C2E56E1" w14:textId="46B20F3E" w:rsidR="00117856" w:rsidRPr="008C166C" w:rsidRDefault="00117856" w:rsidP="00E52B33">
            <w:pPr>
              <w:widowControl w:val="0"/>
              <w:autoSpaceDE w:val="0"/>
              <w:autoSpaceDN w:val="0"/>
              <w:adjustRightInd w:val="0"/>
              <w:jc w:val="right"/>
              <w:rPr>
                <w:rFonts w:ascii="Times New Roman" w:hAnsi="Times New Roman" w:cs="Times New Roman"/>
              </w:rPr>
            </w:pPr>
            <w:r w:rsidRPr="008C166C">
              <w:rPr>
                <w:rFonts w:ascii="Times New Roman" w:hAnsi="Times New Roman" w:cs="Times New Roman"/>
              </w:rPr>
              <w:t>No medications</w:t>
            </w:r>
          </w:p>
        </w:tc>
        <w:tc>
          <w:tcPr>
            <w:tcW w:w="1821" w:type="dxa"/>
          </w:tcPr>
          <w:p w14:paraId="58C7D053" w14:textId="69B3F7BF" w:rsidR="00117856" w:rsidRPr="008C166C" w:rsidRDefault="00DE6577"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21 (</w:t>
            </w:r>
            <w:r w:rsidR="00255590" w:rsidRPr="008C166C">
              <w:rPr>
                <w:rFonts w:ascii="Times New Roman" w:hAnsi="Times New Roman" w:cs="Times New Roman"/>
              </w:rPr>
              <w:t>62</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048FF126" w14:textId="46E3D9CF" w:rsidR="00117856" w:rsidRPr="008C166C" w:rsidRDefault="00DE6577"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8 (</w:t>
            </w:r>
            <w:r w:rsidR="00117856" w:rsidRPr="008C166C">
              <w:rPr>
                <w:rFonts w:ascii="Times New Roman" w:hAnsi="Times New Roman" w:cs="Times New Roman"/>
              </w:rPr>
              <w:t>6</w:t>
            </w:r>
            <w:r w:rsidR="00255590" w:rsidRPr="008C166C">
              <w:rPr>
                <w:rFonts w:ascii="Times New Roman" w:hAnsi="Times New Roman" w:cs="Times New Roman"/>
              </w:rPr>
              <w:t>2</w:t>
            </w:r>
            <w:r w:rsidR="00117856" w:rsidRPr="008C166C">
              <w:rPr>
                <w:rFonts w:ascii="Times New Roman" w:hAnsi="Times New Roman" w:cs="Times New Roman"/>
              </w:rPr>
              <w:t>%</w:t>
            </w:r>
            <w:r w:rsidRPr="008C166C">
              <w:rPr>
                <w:rFonts w:ascii="Times New Roman" w:hAnsi="Times New Roman" w:cs="Times New Roman"/>
              </w:rPr>
              <w:t>)</w:t>
            </w:r>
          </w:p>
        </w:tc>
        <w:tc>
          <w:tcPr>
            <w:tcW w:w="1822" w:type="dxa"/>
          </w:tcPr>
          <w:p w14:paraId="2122EEFC" w14:textId="459CE502" w:rsidR="00117856" w:rsidRPr="008C166C" w:rsidRDefault="00DE6577" w:rsidP="00255590">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14 (</w:t>
            </w:r>
            <w:r w:rsidR="00255590" w:rsidRPr="008C166C">
              <w:rPr>
                <w:rFonts w:ascii="Times New Roman" w:hAnsi="Times New Roman" w:cs="Times New Roman"/>
              </w:rPr>
              <w:t>52</w:t>
            </w:r>
            <w:r w:rsidR="00117856" w:rsidRPr="008C166C">
              <w:rPr>
                <w:rFonts w:ascii="Times New Roman" w:hAnsi="Times New Roman" w:cs="Times New Roman"/>
              </w:rPr>
              <w:t>%</w:t>
            </w:r>
            <w:r w:rsidRPr="008C166C">
              <w:rPr>
                <w:rFonts w:ascii="Times New Roman" w:hAnsi="Times New Roman" w:cs="Times New Roman"/>
              </w:rPr>
              <w:t>)</w:t>
            </w:r>
          </w:p>
        </w:tc>
        <w:tc>
          <w:tcPr>
            <w:tcW w:w="1260" w:type="dxa"/>
          </w:tcPr>
          <w:p w14:paraId="54370B84" w14:textId="08EF7086" w:rsidR="00117856" w:rsidRPr="008C166C" w:rsidRDefault="00117856" w:rsidP="00E52B33">
            <w:pPr>
              <w:widowControl w:val="0"/>
              <w:autoSpaceDE w:val="0"/>
              <w:autoSpaceDN w:val="0"/>
              <w:adjustRightInd w:val="0"/>
              <w:jc w:val="center"/>
              <w:rPr>
                <w:rFonts w:ascii="Times New Roman" w:hAnsi="Times New Roman" w:cs="Times New Roman"/>
              </w:rPr>
            </w:pPr>
            <w:r w:rsidRPr="008C166C">
              <w:rPr>
                <w:rFonts w:ascii="Times New Roman" w:hAnsi="Times New Roman" w:cs="Times New Roman"/>
              </w:rPr>
              <w:t>1</w:t>
            </w:r>
          </w:p>
        </w:tc>
      </w:tr>
    </w:tbl>
    <w:p w14:paraId="089D0A6A" w14:textId="77777777" w:rsidR="00957FEF" w:rsidRPr="008C166C" w:rsidRDefault="00957FEF" w:rsidP="00E52B33">
      <w:pPr>
        <w:rPr>
          <w:rFonts w:ascii="Times New Roman" w:hAnsi="Times New Roman" w:cs="Times New Roman"/>
        </w:rPr>
      </w:pPr>
    </w:p>
    <w:p w14:paraId="28228A24" w14:textId="77777777" w:rsidR="003E05A9" w:rsidRPr="008C166C" w:rsidRDefault="009128DD" w:rsidP="00E52B33">
      <w:pPr>
        <w:rPr>
          <w:rFonts w:ascii="Times New Roman" w:hAnsi="Times New Roman" w:cs="Times New Roman"/>
        </w:rPr>
      </w:pPr>
      <w:r w:rsidRPr="008C166C">
        <w:rPr>
          <w:rFonts w:ascii="Times New Roman" w:hAnsi="Times New Roman" w:cs="Times New Roman"/>
        </w:rPr>
        <w:t xml:space="preserve">Group means and standard deviations were reported for symptom </w:t>
      </w:r>
      <w:r w:rsidR="002F674E" w:rsidRPr="008C166C">
        <w:rPr>
          <w:rFonts w:ascii="Times New Roman" w:hAnsi="Times New Roman" w:cs="Times New Roman"/>
        </w:rPr>
        <w:t>sub-scales</w:t>
      </w:r>
      <w:r w:rsidRPr="008C166C">
        <w:rPr>
          <w:rFonts w:ascii="Times New Roman" w:hAnsi="Times New Roman" w:cs="Times New Roman"/>
        </w:rPr>
        <w:t xml:space="preserve">. </w:t>
      </w:r>
      <w:r w:rsidR="002F674E" w:rsidRPr="008C166C">
        <w:rPr>
          <w:rFonts w:ascii="Times New Roman" w:hAnsi="Times New Roman" w:cs="Times New Roman"/>
        </w:rPr>
        <w:t xml:space="preserve">Number and percent of subjects who reported taking medications in each category are listed. </w:t>
      </w:r>
      <w:r w:rsidR="00C33EBA" w:rsidRPr="008C166C">
        <w:rPr>
          <w:rFonts w:ascii="Times New Roman" w:hAnsi="Times New Roman" w:cs="Times New Roman"/>
        </w:rPr>
        <w:t>One-way analysis of variance tests</w:t>
      </w:r>
      <w:r w:rsidRPr="008C166C">
        <w:rPr>
          <w:rFonts w:ascii="Times New Roman" w:hAnsi="Times New Roman" w:cs="Times New Roman"/>
        </w:rPr>
        <w:t xml:space="preserve"> (SOPS) or chi-square tests (medications) comparing </w:t>
      </w:r>
      <w:r w:rsidR="007B51EA" w:rsidRPr="008C166C">
        <w:rPr>
          <w:rFonts w:ascii="Times New Roman" w:hAnsi="Times New Roman" w:cs="Times New Roman"/>
        </w:rPr>
        <w:t xml:space="preserve">only </w:t>
      </w:r>
      <w:r w:rsidRPr="008C166C">
        <w:rPr>
          <w:rFonts w:ascii="Times New Roman" w:hAnsi="Times New Roman" w:cs="Times New Roman"/>
        </w:rPr>
        <w:t xml:space="preserve">the CHR groups were </w:t>
      </w:r>
      <w:r w:rsidR="00E656E8" w:rsidRPr="008C166C">
        <w:rPr>
          <w:rFonts w:ascii="Times New Roman" w:hAnsi="Times New Roman" w:cs="Times New Roman"/>
        </w:rPr>
        <w:t xml:space="preserve">run. </w:t>
      </w:r>
      <w:r w:rsidR="000366D4" w:rsidRPr="008C166C">
        <w:rPr>
          <w:rFonts w:ascii="Times New Roman" w:hAnsi="Times New Roman" w:cs="Times New Roman"/>
        </w:rPr>
        <w:t xml:space="preserve">CHR = clinical high risk; </w:t>
      </w:r>
      <w:r w:rsidR="00C46CAA" w:rsidRPr="008C166C">
        <w:rPr>
          <w:rFonts w:ascii="Times New Roman" w:hAnsi="Times New Roman" w:cs="Times New Roman"/>
        </w:rPr>
        <w:t xml:space="preserve">SOPS = </w:t>
      </w:r>
      <w:r w:rsidR="00957FEF" w:rsidRPr="008C166C">
        <w:rPr>
          <w:rFonts w:ascii="Times New Roman" w:hAnsi="Times New Roman" w:cs="Times New Roman"/>
        </w:rPr>
        <w:t>Structured Interview for Prodromal Syndromes</w:t>
      </w:r>
      <w:r w:rsidR="00C46CAA" w:rsidRPr="008C166C">
        <w:rPr>
          <w:rFonts w:ascii="Times New Roman" w:hAnsi="Times New Roman" w:cs="Times New Roman"/>
        </w:rPr>
        <w:t>.</w:t>
      </w:r>
    </w:p>
    <w:p w14:paraId="1A6A5E12" w14:textId="77777777" w:rsidR="003E05A9" w:rsidRPr="008C166C" w:rsidRDefault="003E05A9" w:rsidP="00E52B33">
      <w:pPr>
        <w:rPr>
          <w:rFonts w:ascii="Times New Roman" w:hAnsi="Times New Roman" w:cs="Times New Roman"/>
        </w:rPr>
      </w:pPr>
    </w:p>
    <w:p w14:paraId="1FE1450F" w14:textId="77777777" w:rsidR="003E05A9" w:rsidRPr="008C166C" w:rsidRDefault="003E05A9">
      <w:pPr>
        <w:rPr>
          <w:rFonts w:ascii="Times New Roman" w:hAnsi="Times New Roman" w:cs="Times New Roman"/>
        </w:rPr>
      </w:pPr>
      <w:r w:rsidRPr="008C166C">
        <w:rPr>
          <w:rFonts w:ascii="Times New Roman" w:hAnsi="Times New Roman" w:cs="Times New Roman"/>
        </w:rPr>
        <w:br w:type="page"/>
      </w:r>
    </w:p>
    <w:p w14:paraId="0AA92DD9" w14:textId="1A2DFA2B" w:rsidR="00B85292" w:rsidRPr="0095023F" w:rsidRDefault="00AA4C3C" w:rsidP="00AA4C3C">
      <w:pPr>
        <w:jc w:val="center"/>
        <w:rPr>
          <w:rFonts w:ascii="Times New Roman" w:hAnsi="Times New Roman" w:cs="Times New Roman"/>
          <w:b/>
        </w:rPr>
      </w:pPr>
      <w:r w:rsidRPr="0095023F">
        <w:rPr>
          <w:rFonts w:ascii="Times New Roman" w:hAnsi="Times New Roman" w:cs="Times New Roman"/>
          <w:b/>
        </w:rPr>
        <w:t xml:space="preserve">Supplementary </w:t>
      </w:r>
      <w:r w:rsidR="003B6E50">
        <w:rPr>
          <w:rFonts w:ascii="Times New Roman" w:hAnsi="Times New Roman" w:cs="Times New Roman"/>
          <w:b/>
        </w:rPr>
        <w:t xml:space="preserve">Materials and </w:t>
      </w:r>
      <w:r w:rsidRPr="0095023F">
        <w:rPr>
          <w:rFonts w:ascii="Times New Roman" w:hAnsi="Times New Roman" w:cs="Times New Roman"/>
          <w:b/>
        </w:rPr>
        <w:t>Methods</w:t>
      </w:r>
    </w:p>
    <w:p w14:paraId="1BAD76A4" w14:textId="77777777" w:rsidR="00AA4C3C" w:rsidRDefault="00AA4C3C">
      <w:pPr>
        <w:rPr>
          <w:rFonts w:ascii="Times New Roman" w:hAnsi="Times New Roman" w:cs="Times New Roman"/>
        </w:rPr>
      </w:pPr>
    </w:p>
    <w:p w14:paraId="02C48083" w14:textId="77777777" w:rsidR="00647449" w:rsidRDefault="00647449">
      <w:pPr>
        <w:rPr>
          <w:rFonts w:ascii="Times New Roman" w:hAnsi="Times New Roman" w:cs="Times New Roman"/>
          <w:i/>
        </w:rPr>
      </w:pPr>
      <w:r>
        <w:rPr>
          <w:rFonts w:ascii="Times New Roman" w:hAnsi="Times New Roman" w:cs="Times New Roman"/>
          <w:i/>
        </w:rPr>
        <w:t>Subject Recruitment</w:t>
      </w:r>
    </w:p>
    <w:p w14:paraId="08BAC74D" w14:textId="7CF3ECFE" w:rsidR="00647449" w:rsidRPr="00647449" w:rsidRDefault="00647449" w:rsidP="00647449">
      <w:pPr>
        <w:shd w:val="clear" w:color="auto" w:fill="FFFFFF"/>
        <w:ind w:firstLine="720"/>
        <w:rPr>
          <w:rFonts w:ascii="Times New Roman" w:hAnsi="Times New Roman" w:cs="Times New Roman"/>
          <w:color w:val="000000" w:themeColor="text1"/>
        </w:rPr>
      </w:pPr>
      <w:r w:rsidRPr="008C166C">
        <w:rPr>
          <w:rFonts w:ascii="Times New Roman" w:hAnsi="Times New Roman" w:cs="Times New Roman"/>
          <w:color w:val="000000" w:themeColor="text1"/>
        </w:rPr>
        <w:t>The CHR cases met Structured Interview for Prodromal Syndromes/Scale of Prodromal Symptoms criteria for a psychosis risk syndrome</w:t>
      </w:r>
      <w:r w:rsidRPr="008C166C">
        <w:rPr>
          <w:rFonts w:ascii="Times New Roman" w:hAnsi="Times New Roman" w:cs="Times New Roman"/>
          <w:color w:val="000000" w:themeColor="text1"/>
        </w:rPr>
        <w:fldChar w:fldCharType="begin" w:fldLock="1"/>
      </w:r>
      <w:r w:rsidR="00E6619C">
        <w:rPr>
          <w:rFonts w:ascii="Times New Roman" w:hAnsi="Times New Roman" w:cs="Times New Roman"/>
          <w:color w:val="000000" w:themeColor="text1"/>
        </w:rPr>
        <w:instrText>ADDIN CSL_CITATION { "citationItems" : [ { "id" : "ITEM-1", "itemData" : { "author" : [ { "dropping-particle" : "", "family" : "McGlashan", "given" : "T. H.", "non-dropping-particle" : "", "parse-names" : false, "suffix" : "" }, { "dropping-particle" : "", "family" : "Walsh", "given" : "B. C.", "non-dropping-particle" : "", "parse-names" : false, "suffix" : "" }, { "dropping-particle" : "", "family" : "Woods", "given" : "S. W.", "non-dropping-particle" : "", "parse-names" : false, "suffix" : "" } ], "id" : "ITEM-1", "issued" : { "date-parts" : [ [ "2010" ] ] }, "publisher" : "Oxford University Press", "publisher-place" : "Oxford", "title" : "The Psychosis-Risk Syndrome: Handbook for Diagnosis and Follow-up", "type" : "book" }, "uris" : [ "http://www.mendeley.com/documents/?uuid=b8183575-a5ce-4159-8559-67f37f1b369b" ] } ], "mendeley" : { "formattedCitation" : "(McGlashan &lt;i&gt;et al&lt;/i&gt;, 2010)", "plainTextFormattedCitation" : "(McGlashan et al, 2010)", "previouslyFormattedCitation" : "&lt;sup&gt;1&lt;/sup&gt;" }, "properties" : { "noteIndex" : 0 }, "schema" : "https://github.com/citation-style-language/schema/raw/master/csl-citation.json" }</w:instrText>
      </w:r>
      <w:r w:rsidRPr="008C166C">
        <w:rPr>
          <w:rFonts w:ascii="Times New Roman" w:hAnsi="Times New Roman" w:cs="Times New Roman"/>
          <w:color w:val="000000" w:themeColor="text1"/>
        </w:rPr>
        <w:fldChar w:fldCharType="separate"/>
      </w:r>
      <w:r w:rsidR="00E6619C" w:rsidRPr="00E6619C">
        <w:rPr>
          <w:rFonts w:ascii="Times New Roman" w:hAnsi="Times New Roman" w:cs="Times New Roman"/>
          <w:noProof/>
          <w:color w:val="000000" w:themeColor="text1"/>
        </w:rPr>
        <w:t xml:space="preserve">(McGlashan </w:t>
      </w:r>
      <w:r w:rsidR="00E6619C" w:rsidRPr="00E6619C">
        <w:rPr>
          <w:rFonts w:ascii="Times New Roman" w:hAnsi="Times New Roman" w:cs="Times New Roman"/>
          <w:i/>
          <w:noProof/>
          <w:color w:val="000000" w:themeColor="text1"/>
        </w:rPr>
        <w:t>et al</w:t>
      </w:r>
      <w:r w:rsidR="00E6619C" w:rsidRPr="00E6619C">
        <w:rPr>
          <w:rFonts w:ascii="Times New Roman" w:hAnsi="Times New Roman" w:cs="Times New Roman"/>
          <w:noProof/>
          <w:color w:val="000000" w:themeColor="text1"/>
        </w:rPr>
        <w:t>, 2010)</w:t>
      </w:r>
      <w:r w:rsidRPr="008C166C">
        <w:rPr>
          <w:rFonts w:ascii="Times New Roman" w:hAnsi="Times New Roman" w:cs="Times New Roman"/>
          <w:color w:val="000000" w:themeColor="text1"/>
        </w:rPr>
        <w:fldChar w:fldCharType="end"/>
      </w:r>
      <w:r w:rsidRPr="008C166C">
        <w:rPr>
          <w:rFonts w:ascii="Times New Roman" w:hAnsi="Times New Roman" w:cs="Times New Roman"/>
          <w:color w:val="000000" w:themeColor="text1"/>
        </w:rPr>
        <w:t xml:space="preserve">, excluding individuals who had ever met DSM-IV criteria for a psychotic disorder. Control participants were excluded if they met criteria for a psychotic disorder, had a first-degree relative with a current or past psychotic disorder, or met prodromal criteria. General exclusions included substance dependence, neurologic disorder, or IQ estimates &lt; 70. All participants provided written informed consent; a parent or guardian consented for subjects under 18 years of age. The study was approved by the Institutional Review Board at each site. </w:t>
      </w:r>
      <w:r w:rsidRPr="008C166C">
        <w:rPr>
          <w:rFonts w:ascii="Times New Roman" w:eastAsia="Times New Roman" w:hAnsi="Times New Roman" w:cs="Times New Roman"/>
          <w:color w:val="000000" w:themeColor="text1"/>
          <w:shd w:val="clear" w:color="auto" w:fill="FFFFFF"/>
        </w:rPr>
        <w:t>Excluded subjects were not more likely to be CHR cases (</w:t>
      </w:r>
      <w:r w:rsidRPr="008C166C">
        <w:rPr>
          <w:rFonts w:ascii="Times New Roman" w:eastAsia="Times New Roman" w:hAnsi="Times New Roman" w:cs="Times New Roman"/>
          <w:i/>
          <w:color w:val="000000" w:themeColor="text1"/>
          <w:shd w:val="clear" w:color="auto" w:fill="FFFFFF"/>
        </w:rPr>
        <w:t>N=</w:t>
      </w:r>
      <w:r w:rsidRPr="008C166C">
        <w:rPr>
          <w:rFonts w:ascii="Times New Roman" w:eastAsia="Times New Roman" w:hAnsi="Times New Roman" w:cs="Times New Roman"/>
          <w:color w:val="000000" w:themeColor="text1"/>
          <w:shd w:val="clear" w:color="auto" w:fill="FFFFFF"/>
        </w:rPr>
        <w:t xml:space="preserve">23) than expected by chance given the overall sample group distribution, </w:t>
      </w:r>
      <w:r w:rsidRPr="008C166C">
        <w:rPr>
          <w:rFonts w:ascii="Times New Roman" w:eastAsia="Times New Roman" w:hAnsi="Times New Roman" w:cs="Times New Roman"/>
          <w:i/>
          <w:color w:val="000000" w:themeColor="text1"/>
          <w:shd w:val="clear" w:color="auto" w:fill="FFFFFF"/>
        </w:rPr>
        <w:sym w:font="Symbol" w:char="F063"/>
      </w:r>
      <w:r w:rsidRPr="008C166C">
        <w:rPr>
          <w:rFonts w:ascii="Times New Roman" w:eastAsia="Times New Roman" w:hAnsi="Times New Roman" w:cs="Times New Roman"/>
          <w:i/>
          <w:color w:val="000000" w:themeColor="text1"/>
          <w:shd w:val="clear" w:color="auto" w:fill="FFFFFF"/>
          <w:vertAlign w:val="superscript"/>
        </w:rPr>
        <w:t>2</w:t>
      </w:r>
      <w:r w:rsidRPr="008C166C">
        <w:rPr>
          <w:rFonts w:ascii="Times New Roman" w:eastAsia="Times New Roman" w:hAnsi="Times New Roman" w:cs="Times New Roman"/>
          <w:color w:val="000000" w:themeColor="text1"/>
          <w:shd w:val="clear" w:color="auto" w:fill="FFFFFF"/>
        </w:rPr>
        <w:t xml:space="preserve">=2.31, </w:t>
      </w:r>
      <w:r w:rsidRPr="008C166C">
        <w:rPr>
          <w:rFonts w:ascii="Times New Roman" w:eastAsia="Times New Roman" w:hAnsi="Times New Roman" w:cs="Times New Roman"/>
          <w:i/>
          <w:color w:val="000000" w:themeColor="text1"/>
          <w:shd w:val="clear" w:color="auto" w:fill="FFFFFF"/>
        </w:rPr>
        <w:t>p=</w:t>
      </w:r>
      <w:r w:rsidRPr="008C166C">
        <w:rPr>
          <w:rFonts w:ascii="Times New Roman" w:eastAsia="Times New Roman" w:hAnsi="Times New Roman" w:cs="Times New Roman"/>
          <w:color w:val="000000" w:themeColor="text1"/>
          <w:shd w:val="clear" w:color="auto" w:fill="FFFFFF"/>
        </w:rPr>
        <w:t>.129, though numerically outnumbered excluded healthy control subjects (</w:t>
      </w:r>
      <w:r w:rsidRPr="008C166C">
        <w:rPr>
          <w:rFonts w:ascii="Times New Roman" w:eastAsia="Times New Roman" w:hAnsi="Times New Roman" w:cs="Times New Roman"/>
          <w:i/>
          <w:color w:val="000000" w:themeColor="text1"/>
          <w:shd w:val="clear" w:color="auto" w:fill="FFFFFF"/>
        </w:rPr>
        <w:t>N=</w:t>
      </w:r>
      <w:r w:rsidRPr="008C166C">
        <w:rPr>
          <w:rFonts w:ascii="Times New Roman" w:eastAsia="Times New Roman" w:hAnsi="Times New Roman" w:cs="Times New Roman"/>
          <w:color w:val="000000" w:themeColor="text1"/>
          <w:shd w:val="clear" w:color="auto" w:fill="FFFFFF"/>
        </w:rPr>
        <w:t>3).</w:t>
      </w:r>
    </w:p>
    <w:p w14:paraId="4BBF8AC9" w14:textId="77777777" w:rsidR="00647449" w:rsidRDefault="00647449">
      <w:pPr>
        <w:rPr>
          <w:rFonts w:ascii="Times New Roman" w:hAnsi="Times New Roman" w:cs="Times New Roman"/>
          <w:i/>
        </w:rPr>
      </w:pPr>
    </w:p>
    <w:p w14:paraId="16787F35" w14:textId="4782E1A7" w:rsidR="00B85292" w:rsidRPr="00895B21" w:rsidRDefault="00B85292">
      <w:pPr>
        <w:rPr>
          <w:rFonts w:ascii="Times New Roman" w:hAnsi="Times New Roman" w:cs="Times New Roman"/>
          <w:i/>
        </w:rPr>
      </w:pPr>
      <w:r w:rsidRPr="00895B21">
        <w:rPr>
          <w:rFonts w:ascii="Times New Roman" w:hAnsi="Times New Roman" w:cs="Times New Roman"/>
          <w:i/>
        </w:rPr>
        <w:t>RNA Sequencing</w:t>
      </w:r>
    </w:p>
    <w:p w14:paraId="28049527" w14:textId="230A3FC3" w:rsidR="00B85292" w:rsidRPr="008C166C" w:rsidRDefault="00B85292" w:rsidP="00B85292">
      <w:pPr>
        <w:ind w:firstLine="720"/>
        <w:rPr>
          <w:rFonts w:ascii="Times New Roman" w:hAnsi="Times New Roman" w:cs="Times New Roman"/>
        </w:rPr>
      </w:pPr>
      <w:r w:rsidRPr="008C166C">
        <w:rPr>
          <w:rFonts w:ascii="Times New Roman" w:hAnsi="Times New Roman" w:cs="Times New Roman"/>
        </w:rPr>
        <w:t xml:space="preserve">Briefly, leukocytes were isolated immediately after phlebotomy, RNA was extracted using a modified LeukoLOCK procedure </w:t>
      </w:r>
      <w:r w:rsidRPr="008C166C">
        <w:rPr>
          <w:rFonts w:ascii="Times New Roman" w:eastAsia="Times New Roman" w:hAnsi="Times New Roman" w:cs="Times New Roman"/>
        </w:rPr>
        <w:t>(Life Technologies, Foster City, CA), and small RNA libraries were prepared with Illumina TruSeq kits (San Diego, CA) following the manufacturer’s protocol. Each of 2,588 mature miRNA sequences from miRBase v21 was sought as an exact sequence match within each read. From an initial set of 101 samples, we excluded six (three unaffected, three CHR) with low abundance reads, leaving 27 unaffected and 68 CHR subjects (</w:t>
      </w:r>
      <w:r w:rsidRPr="008C166C">
        <w:rPr>
          <w:rFonts w:ascii="Times New Roman" w:eastAsia="Times New Roman" w:hAnsi="Times New Roman" w:cs="Times New Roman"/>
          <w:i/>
        </w:rPr>
        <w:t xml:space="preserve">N </w:t>
      </w:r>
      <w:r w:rsidRPr="008C166C">
        <w:rPr>
          <w:rFonts w:ascii="Times New Roman" w:eastAsia="Times New Roman" w:hAnsi="Times New Roman" w:cs="Times New Roman"/>
        </w:rPr>
        <w:t>= 95).</w:t>
      </w:r>
      <w:r w:rsidRPr="008C166C">
        <w:rPr>
          <w:rFonts w:ascii="Times New Roman" w:hAnsi="Times New Roman" w:cs="Times New Roman"/>
        </w:rPr>
        <w:t xml:space="preserve"> </w:t>
      </w:r>
      <w:r w:rsidRPr="008C166C">
        <w:rPr>
          <w:rFonts w:ascii="Times New Roman" w:eastAsia="Times New Roman" w:hAnsi="Times New Roman" w:cs="Times New Roman"/>
        </w:rPr>
        <w:t xml:space="preserve">For all analyses, we included the 136 miRNAs that were robustly expressed, defined as 10,000 or more total reads in the 95 subjects. </w:t>
      </w:r>
    </w:p>
    <w:p w14:paraId="291EAD38" w14:textId="52B3B8C5" w:rsidR="00B85292" w:rsidRPr="008C166C" w:rsidRDefault="00B85292" w:rsidP="00B85292">
      <w:pPr>
        <w:ind w:firstLine="720"/>
        <w:rPr>
          <w:rFonts w:ascii="Times New Roman" w:eastAsia="Batang" w:hAnsi="Times New Roman" w:cs="Times New Roman"/>
        </w:rPr>
      </w:pPr>
      <w:r w:rsidRPr="008C166C">
        <w:rPr>
          <w:rFonts w:ascii="Times New Roman" w:eastAsia="Batang" w:hAnsi="Times New Roman" w:cs="Times New Roman"/>
        </w:rPr>
        <w:t xml:space="preserve">RNA sequencing can be used to quantify the absolute number of any transcription sequence, including those employed here: canonical mature miRNA transcripts. However, raw values can vary considerably between samples (i.e., differences in library size), and thus it is best practice to normalize these values before comparisons across samples </w:t>
      </w:r>
      <w:r w:rsidRPr="008C166C">
        <w:rPr>
          <w:rFonts w:ascii="Times New Roman" w:eastAsia="Batang" w:hAnsi="Times New Roman" w:cs="Times New Roman"/>
        </w:rPr>
        <w:fldChar w:fldCharType="begin" w:fldLock="1"/>
      </w:r>
      <w:r w:rsidR="00E6619C">
        <w:rPr>
          <w:rFonts w:ascii="Times New Roman" w:eastAsia="Batang" w:hAnsi="Times New Roman" w:cs="Times New Roman"/>
        </w:rPr>
        <w:instrText>ADDIN CSL_CITATION { "citationItems" : [ { "id" : "ITEM-1", "itemData" : { "DOI" : "10.1093/bib/bbs046", "ISBN" : "1477-4054 (Electronic)\\r1467-5463 (Linking)", "ISSN" : "14675463", "PMID" : "22988256", "abstract" : "During the last 3 years, a number of approaches for the normalization of RNA sequencing data have emerged in the literature, differing both in the type of bias adjustment and in the statistical strategy adopted. However, as data continue to accumulate, there has been no clear consensus on the appropriate normalization method to be used or the impact of a chosen method on the downstream analysis. In this work, we focus on a comprehensive comparison of seven recently proposed normalization methods for the differential analysis of RNA-seq data, with an emphasis on the use of varied real and simulated datasets involving different species and experimental designs to represent data characteristics commonly observed in practice. Based on this comparison study, we propose practical recommendations on the appropriate normalization method to be used and its impact on the differential analysis of RNA-seq data.", "author" : [ { "dropping-particle" : "", "family" : "Dillies", "given" : "Marie Agn??s", "non-dropping-particle" : "", "parse-names" : false, "suffix" : "" }, { "dropping-particle" : "", "family" : "Rau", "given" : "Andrea", "non-dropping-particle" : "", "parse-names" : false, "suffix" : "" }, { "dropping-particle" : "", "family" : "Aubert", "given" : "Julie", "non-dropping-particle" : "", "parse-names" : false, "suffix" : "" }, { "dropping-particle" : "", "family" : "Hennequet-Antier", "given" : "Christelle", "non-dropping-particle" : "", "parse-names" : false, "suffix" : "" }, { "dropping-particle" : "", "family" : "Jeanmougin", "given" : "Marine", "non-dropping-particle" : "", "parse-names" : false, "suffix" : "" }, { "dropping-particle" : "", "family" : "Servant", "given" : "Nicolas", "non-dropping-particle" : "", "parse-names" : false, "suffix" : "" }, { "dropping-particle" : "", "family" : "Keime", "given" : "C??line", "non-dropping-particle" : "", "parse-names" : false, "suffix" : "" }, { "dropping-particle" : "", "family" : "Marot", "given" : "Nicolas Servant", "non-dropping-particle" : "", "parse-names" : false, "suffix" : "" }, { "dropping-particle" : "", "family" : "Castel", "given" : "David", "non-dropping-particle" : "", "parse-names" : false, "suffix" : "" }, { "dropping-particle" : "", "family" : "Estelle", "given" : "Jordi", "non-dropping-particle" : "", "parse-names" : false, "suffix" : "" }, { "dropping-particle" : "", "family" : "Guernec", "given" : "Gregory", "non-dropping-particle" : "", "parse-names" : false, "suffix" : "" }, { "dropping-particle" : "", "family" : "Jagla", "given" : "Bernd", "non-dropping-particle" : "", "parse-names" : false, "suffix" : "" }, { "dropping-particle" : "", "family" : "Jouneau", "given" : "Luc", "non-dropping-particle" : "", "parse-names" : false, "suffix" : "" }, { "dropping-particle" : "", "family" : "Lalo??", "given" : "Denis", "non-dropping-particle" : "", "parse-names" : false, "suffix" : "" }, { "dropping-particle" : "", "family" : "Gall", "given" : "Caroline", "non-dropping-particle" : "Le", "parse-names" : false, "suffix" : "" }, { "dropping-particle" : "", "family" : "Scha??ffer", "given" : "Brigitte", "non-dropping-particle" : "", "parse-names" : false, "suffix" : "" }, { "dropping-particle" : "", "family" : "Crom", "given" : "St??phane", "non-dropping-particle" : "Le", "parse-names" : false, "suffix" : "" }, { "dropping-particle" : "", "family" : "Guedj", "given" : "Micka??l", "non-dropping-particle" : "", "parse-names" : false, "suffix" : "" }, { "dropping-particle" : "", "family" : "Jaffr??zic", "given" : "Florence", "non-dropping-particle" : "", "parse-names" : false, "suffix" : "" } ], "container-title" : "Briefings in Bioinformatics", "id" : "ITEM-1", "issue" : "6", "issued" : { "date-parts" : [ [ "2013" ] ] }, "page" : "671-683", "title" : "A comprehensive evaluation of normalization methods for Illumina high-throughput RNA sequencing data analysis", "type" : "article-journal", "volume" : "14" }, "uris" : [ "http://www.mendeley.com/documents/?uuid=8ccc65d4-cd55-4beb-93ab-f352fc8950f7" ] } ], "mendeley" : { "formattedCitation" : "(Dillies &lt;i&gt;et al&lt;/i&gt;, 2013)", "plainTextFormattedCitation" : "(Dillies et al, 2013)", "previouslyFormattedCitation" : "&lt;sup&gt;2&lt;/sup&gt;" }, "properties" : { "noteIndex" : 0 }, "schema" : "https://github.com/citation-style-language/schema/raw/master/csl-citation.json" }</w:instrText>
      </w:r>
      <w:r w:rsidRPr="008C166C">
        <w:rPr>
          <w:rFonts w:ascii="Times New Roman" w:eastAsia="Batang" w:hAnsi="Times New Roman" w:cs="Times New Roman"/>
        </w:rPr>
        <w:fldChar w:fldCharType="separate"/>
      </w:r>
      <w:r w:rsidR="00E6619C" w:rsidRPr="00E6619C">
        <w:rPr>
          <w:rFonts w:ascii="Times New Roman" w:eastAsia="Batang" w:hAnsi="Times New Roman" w:cs="Times New Roman"/>
          <w:noProof/>
        </w:rPr>
        <w:t xml:space="preserve">(Dillies </w:t>
      </w:r>
      <w:r w:rsidR="00E6619C" w:rsidRPr="00E6619C">
        <w:rPr>
          <w:rFonts w:ascii="Times New Roman" w:eastAsia="Batang" w:hAnsi="Times New Roman" w:cs="Times New Roman"/>
          <w:i/>
          <w:noProof/>
        </w:rPr>
        <w:t>et al</w:t>
      </w:r>
      <w:r w:rsidR="00E6619C" w:rsidRPr="00E6619C">
        <w:rPr>
          <w:rFonts w:ascii="Times New Roman" w:eastAsia="Batang" w:hAnsi="Times New Roman" w:cs="Times New Roman"/>
          <w:noProof/>
        </w:rPr>
        <w:t>, 2013)</w:t>
      </w:r>
      <w:r w:rsidRPr="008C166C">
        <w:rPr>
          <w:rFonts w:ascii="Times New Roman" w:eastAsia="Batang" w:hAnsi="Times New Roman" w:cs="Times New Roman"/>
        </w:rPr>
        <w:fldChar w:fldCharType="end"/>
      </w:r>
      <w:r w:rsidRPr="008C166C">
        <w:rPr>
          <w:rFonts w:ascii="Times New Roman" w:eastAsia="Batang" w:hAnsi="Times New Roman" w:cs="Times New Roman"/>
        </w:rPr>
        <w:t xml:space="preserve">. There are a variety of methods used towards this end, most of which aim to normalize library size via one of several simple adjustments, including scaling each gene in each sample based on the dataset mean, upper quartile, or median for that gene, or gene-specific mean / median ratio-based adjustments. Details of these methods are available elsewhere and have been compared empirically </w:t>
      </w:r>
      <w:r w:rsidRPr="008C166C">
        <w:rPr>
          <w:rFonts w:ascii="Times New Roman" w:eastAsia="Batang" w:hAnsi="Times New Roman" w:cs="Times New Roman"/>
        </w:rPr>
        <w:fldChar w:fldCharType="begin" w:fldLock="1"/>
      </w:r>
      <w:r w:rsidR="00E6619C">
        <w:rPr>
          <w:rFonts w:ascii="Times New Roman" w:eastAsia="Batang" w:hAnsi="Times New Roman" w:cs="Times New Roman"/>
        </w:rPr>
        <w:instrText>ADDIN CSL_CITATION { "citationItems" : [ { "id" : "ITEM-1", "itemData" : { "DOI" : "10.1093/bib/bbs046", "ISBN" : "1477-4054 (Electronic)\\r1467-5463 (Linking)", "ISSN" : "14675463", "PMID" : "22988256", "abstract" : "During the last 3 years, a number of approaches for the normalization of RNA sequencing data have emerged in the literature, differing both in the type of bias adjustment and in the statistical strategy adopted. However, as data continue to accumulate, there has been no clear consensus on the appropriate normalization method to be used or the impact of a chosen method on the downstream analysis. In this work, we focus on a comprehensive comparison of seven recently proposed normalization methods for the differential analysis of RNA-seq data, with an emphasis on the use of varied real and simulated datasets involving different species and experimental designs to represent data characteristics commonly observed in practice. Based on this comparison study, we propose practical recommendations on the appropriate normalization method to be used and its impact on the differential analysis of RNA-seq data.", "author" : [ { "dropping-particle" : "", "family" : "Dillies", "given" : "Marie Agn??s", "non-dropping-particle" : "", "parse-names" : false, "suffix" : "" }, { "dropping-particle" : "", "family" : "Rau", "given" : "Andrea", "non-dropping-particle" : "", "parse-names" : false, "suffix" : "" }, { "dropping-particle" : "", "family" : "Aubert", "given" : "Julie", "non-dropping-particle" : "", "parse-names" : false, "suffix" : "" }, { "dropping-particle" : "", "family" : "Hennequet-Antier", "given" : "Christelle", "non-dropping-particle" : "", "parse-names" : false, "suffix" : "" }, { "dropping-particle" : "", "family" : "Jeanmougin", "given" : "Marine", "non-dropping-particle" : "", "parse-names" : false, "suffix" : "" }, { "dropping-particle" : "", "family" : "Servant", "given" : "Nicolas", "non-dropping-particle" : "", "parse-names" : false, "suffix" : "" }, { "dropping-particle" : "", "family" : "Keime", "given" : "C??line", "non-dropping-particle" : "", "parse-names" : false, "suffix" : "" }, { "dropping-particle" : "", "family" : "Marot", "given" : "Nicolas Servant", "non-dropping-particle" : "", "parse-names" : false, "suffix" : "" }, { "dropping-particle" : "", "family" : "Castel", "given" : "David", "non-dropping-particle" : "", "parse-names" : false, "suffix" : "" }, { "dropping-particle" : "", "family" : "Estelle", "given" : "Jordi", "non-dropping-particle" : "", "parse-names" : false, "suffix" : "" }, { "dropping-particle" : "", "family" : "Guernec", "given" : "Gregory", "non-dropping-particle" : "", "parse-names" : false, "suffix" : "" }, { "dropping-particle" : "", "family" : "Jagla", "given" : "Bernd", "non-dropping-particle" : "", "parse-names" : false, "suffix" : "" }, { "dropping-particle" : "", "family" : "Jouneau", "given" : "Luc", "non-dropping-particle" : "", "parse-names" : false, "suffix" : "" }, { "dropping-particle" : "", "family" : "Lalo??", "given" : "Denis", "non-dropping-particle" : "", "parse-names" : false, "suffix" : "" }, { "dropping-particle" : "", "family" : "Gall", "given" : "Caroline", "non-dropping-particle" : "Le", "parse-names" : false, "suffix" : "" }, { "dropping-particle" : "", "family" : "Scha??ffer", "given" : "Brigitte", "non-dropping-particle" : "", "parse-names" : false, "suffix" : "" }, { "dropping-particle" : "", "family" : "Crom", "given" : "St??phane", "non-dropping-particle" : "Le", "parse-names" : false, "suffix" : "" }, { "dropping-particle" : "", "family" : "Guedj", "given" : "Micka??l", "non-dropping-particle" : "", "parse-names" : false, "suffix" : "" }, { "dropping-particle" : "", "family" : "Jaffr??zic", "given" : "Florence", "non-dropping-particle" : "", "parse-names" : false, "suffix" : "" } ], "container-title" : "Briefings in Bioinformatics", "id" : "ITEM-1", "issue" : "6", "issued" : { "date-parts" : [ [ "2013" ] ] }, "page" : "671-683", "title" : "A comprehensive evaluation of normalization methods for Illumina high-throughput RNA sequencing data analysis", "type" : "article-journal", "volume" : "14" }, "uris" : [ "http://www.mendeley.com/documents/?uuid=8ccc65d4-cd55-4beb-93ab-f352fc8950f7" ] } ], "mendeley" : { "formattedCitation" : "(Dillies &lt;i&gt;et al&lt;/i&gt;, 2013)", "plainTextFormattedCitation" : "(Dillies et al, 2013)", "previouslyFormattedCitation" : "&lt;sup&gt;2&lt;/sup&gt;" }, "properties" : { "noteIndex" : 0 }, "schema" : "https://github.com/citation-style-language/schema/raw/master/csl-citation.json" }</w:instrText>
      </w:r>
      <w:r w:rsidRPr="008C166C">
        <w:rPr>
          <w:rFonts w:ascii="Times New Roman" w:eastAsia="Batang" w:hAnsi="Times New Roman" w:cs="Times New Roman"/>
        </w:rPr>
        <w:fldChar w:fldCharType="separate"/>
      </w:r>
      <w:r w:rsidR="00E6619C" w:rsidRPr="00E6619C">
        <w:rPr>
          <w:rFonts w:ascii="Times New Roman" w:eastAsia="Batang" w:hAnsi="Times New Roman" w:cs="Times New Roman"/>
          <w:noProof/>
        </w:rPr>
        <w:t xml:space="preserve">(Dillies </w:t>
      </w:r>
      <w:r w:rsidR="00E6619C" w:rsidRPr="00E6619C">
        <w:rPr>
          <w:rFonts w:ascii="Times New Roman" w:eastAsia="Batang" w:hAnsi="Times New Roman" w:cs="Times New Roman"/>
          <w:i/>
          <w:noProof/>
        </w:rPr>
        <w:t>et al</w:t>
      </w:r>
      <w:r w:rsidR="00E6619C" w:rsidRPr="00E6619C">
        <w:rPr>
          <w:rFonts w:ascii="Times New Roman" w:eastAsia="Batang" w:hAnsi="Times New Roman" w:cs="Times New Roman"/>
          <w:noProof/>
        </w:rPr>
        <w:t>, 2013)</w:t>
      </w:r>
      <w:r w:rsidRPr="008C166C">
        <w:rPr>
          <w:rFonts w:ascii="Times New Roman" w:eastAsia="Batang" w:hAnsi="Times New Roman" w:cs="Times New Roman"/>
        </w:rPr>
        <w:fldChar w:fldCharType="end"/>
      </w:r>
      <w:r w:rsidRPr="008C166C">
        <w:rPr>
          <w:rFonts w:ascii="Times New Roman" w:eastAsia="Batang" w:hAnsi="Times New Roman" w:cs="Times New Roman"/>
        </w:rPr>
        <w:t xml:space="preserve">. In general, the ratio-based methods, which adjust read counts for genes according to the magnitude of their differential expression, appear to perform the best </w:t>
      </w:r>
      <w:r w:rsidRPr="008C166C">
        <w:rPr>
          <w:rFonts w:ascii="Times New Roman" w:eastAsia="Batang" w:hAnsi="Times New Roman" w:cs="Times New Roman"/>
        </w:rPr>
        <w:fldChar w:fldCharType="begin" w:fldLock="1"/>
      </w:r>
      <w:r w:rsidR="00E6619C">
        <w:rPr>
          <w:rFonts w:ascii="Times New Roman" w:eastAsia="Batang" w:hAnsi="Times New Roman" w:cs="Times New Roman"/>
        </w:rPr>
        <w:instrText>ADDIN CSL_CITATION { "citationItems" : [ { "id" : "ITEM-1", "itemData" : { "DOI" : "10.1093/bib/bbs046", "ISBN" : "1477-4054 (Electronic)\\r1467-5463 (Linking)", "ISSN" : "14675463", "PMID" : "22988256", "abstract" : "During the last 3 years, a number of approaches for the normalization of RNA sequencing data have emerged in the literature, differing both in the type of bias adjustment and in the statistical strategy adopted. However, as data continue to accumulate, there has been no clear consensus on the appropriate normalization method to be used or the impact of a chosen method on the downstream analysis. In this work, we focus on a comprehensive comparison of seven recently proposed normalization methods for the differential analysis of RNA-seq data, with an emphasis on the use of varied real and simulated datasets involving different species and experimental designs to represent data characteristics commonly observed in practice. Based on this comparison study, we propose practical recommendations on the appropriate normalization method to be used and its impact on the differential analysis of RNA-seq data.", "author" : [ { "dropping-particle" : "", "family" : "Dillies", "given" : "Marie Agn??s", "non-dropping-particle" : "", "parse-names" : false, "suffix" : "" }, { "dropping-particle" : "", "family" : "Rau", "given" : "Andrea", "non-dropping-particle" : "", "parse-names" : false, "suffix" : "" }, { "dropping-particle" : "", "family" : "Aubert", "given" : "Julie", "non-dropping-particle" : "", "parse-names" : false, "suffix" : "" }, { "dropping-particle" : "", "family" : "Hennequet-Antier", "given" : "Christelle", "non-dropping-particle" : "", "parse-names" : false, "suffix" : "" }, { "dropping-particle" : "", "family" : "Jeanmougin", "given" : "Marine", "non-dropping-particle" : "", "parse-names" : false, "suffix" : "" }, { "dropping-particle" : "", "family" : "Servant", "given" : "Nicolas", "non-dropping-particle" : "", "parse-names" : false, "suffix" : "" }, { "dropping-particle" : "", "family" : "Keime", "given" : "C??line", "non-dropping-particle" : "", "parse-names" : false, "suffix" : "" }, { "dropping-particle" : "", "family" : "Marot", "given" : "Nicolas Servant", "non-dropping-particle" : "", "parse-names" : false, "suffix" : "" }, { "dropping-particle" : "", "family" : "Castel", "given" : "David", "non-dropping-particle" : "", "parse-names" : false, "suffix" : "" }, { "dropping-particle" : "", "family" : "Estelle", "given" : "Jordi", "non-dropping-particle" : "", "parse-names" : false, "suffix" : "" }, { "dropping-particle" : "", "family" : "Guernec", "given" : "Gregory", "non-dropping-particle" : "", "parse-names" : false, "suffix" : "" }, { "dropping-particle" : "", "family" : "Jagla", "given" : "Bernd", "non-dropping-particle" : "", "parse-names" : false, "suffix" : "" }, { "dropping-particle" : "", "family" : "Jouneau", "given" : "Luc", "non-dropping-particle" : "", "parse-names" : false, "suffix" : "" }, { "dropping-particle" : "", "family" : "Lalo??", "given" : "Denis", "non-dropping-particle" : "", "parse-names" : false, "suffix" : "" }, { "dropping-particle" : "", "family" : "Gall", "given" : "Caroline", "non-dropping-particle" : "Le", "parse-names" : false, "suffix" : "" }, { "dropping-particle" : "", "family" : "Scha??ffer", "given" : "Brigitte", "non-dropping-particle" : "", "parse-names" : false, "suffix" : "" }, { "dropping-particle" : "", "family" : "Crom", "given" : "St??phane", "non-dropping-particle" : "Le", "parse-names" : false, "suffix" : "" }, { "dropping-particle" : "", "family" : "Guedj", "given" : "Micka??l", "non-dropping-particle" : "", "parse-names" : false, "suffix" : "" }, { "dropping-particle" : "", "family" : "Jaffr??zic", "given" : "Florence", "non-dropping-particle" : "", "parse-names" : false, "suffix" : "" } ], "container-title" : "Briefings in Bioinformatics", "id" : "ITEM-1", "issue" : "6", "issued" : { "date-parts" : [ [ "2013" ] ] }, "page" : "671-683", "title" : "A comprehensive evaluation of normalization methods for Illumina high-throughput RNA sequencing data analysis", "type" : "article-journal", "volume" : "14" }, "uris" : [ "http://www.mendeley.com/documents/?uuid=8ccc65d4-cd55-4beb-93ab-f352fc8950f7" ] } ], "mendeley" : { "formattedCitation" : "(Dillies &lt;i&gt;et al&lt;/i&gt;, 2013)", "plainTextFormattedCitation" : "(Dillies et al, 2013)", "previouslyFormattedCitation" : "&lt;sup&gt;2&lt;/sup&gt;" }, "properties" : { "noteIndex" : 0 }, "schema" : "https://github.com/citation-style-language/schema/raw/master/csl-citation.json" }</w:instrText>
      </w:r>
      <w:r w:rsidRPr="008C166C">
        <w:rPr>
          <w:rFonts w:ascii="Times New Roman" w:eastAsia="Batang" w:hAnsi="Times New Roman" w:cs="Times New Roman"/>
        </w:rPr>
        <w:fldChar w:fldCharType="separate"/>
      </w:r>
      <w:r w:rsidR="00E6619C" w:rsidRPr="00E6619C">
        <w:rPr>
          <w:rFonts w:ascii="Times New Roman" w:eastAsia="Batang" w:hAnsi="Times New Roman" w:cs="Times New Roman"/>
          <w:noProof/>
        </w:rPr>
        <w:t xml:space="preserve">(Dillies </w:t>
      </w:r>
      <w:r w:rsidR="00E6619C" w:rsidRPr="00E6619C">
        <w:rPr>
          <w:rFonts w:ascii="Times New Roman" w:eastAsia="Batang" w:hAnsi="Times New Roman" w:cs="Times New Roman"/>
          <w:i/>
          <w:noProof/>
        </w:rPr>
        <w:t>et al</w:t>
      </w:r>
      <w:r w:rsidR="00E6619C" w:rsidRPr="00E6619C">
        <w:rPr>
          <w:rFonts w:ascii="Times New Roman" w:eastAsia="Batang" w:hAnsi="Times New Roman" w:cs="Times New Roman"/>
          <w:noProof/>
        </w:rPr>
        <w:t>, 2013)</w:t>
      </w:r>
      <w:r w:rsidRPr="008C166C">
        <w:rPr>
          <w:rFonts w:ascii="Times New Roman" w:eastAsia="Batang" w:hAnsi="Times New Roman" w:cs="Times New Roman"/>
        </w:rPr>
        <w:fldChar w:fldCharType="end"/>
      </w:r>
      <w:r w:rsidRPr="008C166C">
        <w:rPr>
          <w:rFonts w:ascii="Times New Roman" w:eastAsia="Batang" w:hAnsi="Times New Roman" w:cs="Times New Roman"/>
        </w:rPr>
        <w:t xml:space="preserve">. </w:t>
      </w:r>
    </w:p>
    <w:p w14:paraId="18E7F59E" w14:textId="19650866" w:rsidR="00B85292" w:rsidRPr="008C166C" w:rsidRDefault="00B85292" w:rsidP="00B85292">
      <w:pPr>
        <w:autoSpaceDE w:val="0"/>
        <w:autoSpaceDN w:val="0"/>
        <w:adjustRightInd w:val="0"/>
        <w:ind w:firstLine="720"/>
        <w:rPr>
          <w:rFonts w:ascii="Times New Roman" w:hAnsi="Times New Roman" w:cs="Times New Roman"/>
          <w:color w:val="231F20"/>
        </w:rPr>
      </w:pPr>
      <w:r w:rsidRPr="008C166C">
        <w:rPr>
          <w:rFonts w:ascii="Times New Roman" w:eastAsia="Batang" w:hAnsi="Times New Roman" w:cs="Times New Roman"/>
        </w:rPr>
        <w:t xml:space="preserve">Normalization for our dataset was developed and described by Jeffries et al. </w:t>
      </w:r>
      <w:r w:rsidRPr="008C166C">
        <w:rPr>
          <w:rFonts w:ascii="Times New Roman" w:eastAsia="Batang" w:hAnsi="Times New Roman" w:cs="Times New Roman"/>
        </w:rPr>
        <w:fldChar w:fldCharType="begin" w:fldLock="1"/>
      </w:r>
      <w:r w:rsidR="00E6619C">
        <w:rPr>
          <w:rFonts w:ascii="Times New Roman" w:eastAsia="Batang" w:hAnsi="Times New Roman" w:cs="Times New Roman"/>
        </w:rPr>
        <w:instrText>ADDIN CSL_CITATION { "citationItems" : [ { "id" : "ITEM-1", "itemData" : { "author" : [ { "dropping-particle" : "", "family" : "Jeffries", "given" : "Clark D.", "non-dropping-particle" : "", "parse-names" : false, "suffix" : "" }, { "dropping-particle" : "", "family" : "Perkins", "given" : "Diana O.", "non-dropping-particle" : "", "parse-names" : false, "suffix" : "" }, { "dropping-particle" : "", "family" : "Chandler", "given" : "S D", "non-dropping-particle" : "", "parse-names" : false, "suffix" : "" }, { "dropping-particle" : "", "family" : "Stark", "given" : "T", "non-dropping-particle" : "", "parse-names" : false, "suffix" : "" }, { "dropping-particle" : "", "family" : "Addington", "given" : "Jean", "non-dropping-particle" : "", "parse-names" : false, "suffix" : "" }, { "dropping-particle" : "", "family" : "Bearden", "given" : "Carrie E.", "non-dropping-particle" : "", "parse-names" : false, "suffix" : "" }, { "dropping-particle" : "", "family" : "Cadenhead", "given" : "Kristin S.", "non-dropping-particle" : "", "parse-names" : false, "suffix" : "" }, { "dropping-particle" : "", "family" : "Cannon", "given" : "Tyrone D.", "non-dropping-particle" : "", "parse-names" : false, "suffix" : "" }, { "dropping-particle" : "", "family" : "Cornblatt", "given" : "Barbara A.", "non-dropping-particle" : "", "parse-names" : false, "suffix" : "" }, { "dropping-particle" : "", "family" : "Mathalon", "given" : "Daniel H.", "non-dropping-particle" : "", "parse-names" : false, "suffix" : "" }, { "dropping-particle" : "", "family" : "McGlashan", "given" : "Thomas H.", "non-dropping-particle" : "", "parse-names" : false, "suffix" : "" }, { "dropping-particle" : "", "family" : "Seidman", "given" : "Larry J.", "non-dropping-particle" : "", "parse-names" : false, "suffix" : "" }, { "dropping-particle" : "", "family" : "Walker", "given" : "Elaine F.", "non-dropping-particle" : "", "parse-names" : false, "suffix" : "" }, { "dropping-particle" : "", "family" : "Woods", "given" : "Scott W.", "non-dropping-particle" : "", "parse-names" : false, "suffix" : "" }, { "dropping-particle" : "", "family" : "Glatt", "given" : "S J", "non-dropping-particle" : "", "parse-names" : false, "suffix" : "" }, { "dropping-particle" : "", "family" : "Tsuang", "given" : "Ming T.", "non-dropping-particle" : "", "parse-names" : false, "suffix" : "" } ], "container-title" : "Translational Psychiatry", "id" : "ITEM-1", "issued" : { "date-parts" : [ [ "0" ] ] }, "title" : "Insights into Psychosis Risk from Leukocyte microRNA Expression", "type" : "article-journal" }, "uris" : [ "http://www.mendeley.com/documents/?uuid=e99cc896-86a9-4acc-bd51-7b7f9bb56776" ] } ], "mendeley" : { "formattedCitation" : "(Jeffries &lt;i&gt;et al&lt;/i&gt;, n.d.)", "plainTextFormattedCitation" : "(Jeffries et al, n.d.)", "previouslyFormattedCitation" : "&lt;sup&gt;3&lt;/sup&gt;" }, "properties" : { "noteIndex" : 0 }, "schema" : "https://github.com/citation-style-language/schema/raw/master/csl-citation.json" }</w:instrText>
      </w:r>
      <w:r w:rsidRPr="008C166C">
        <w:rPr>
          <w:rFonts w:ascii="Times New Roman" w:eastAsia="Batang" w:hAnsi="Times New Roman" w:cs="Times New Roman"/>
        </w:rPr>
        <w:fldChar w:fldCharType="separate"/>
      </w:r>
      <w:r w:rsidR="00E6619C" w:rsidRPr="00E6619C">
        <w:rPr>
          <w:rFonts w:ascii="Times New Roman" w:eastAsia="Batang" w:hAnsi="Times New Roman" w:cs="Times New Roman"/>
          <w:noProof/>
        </w:rPr>
        <w:t xml:space="preserve">(Jeffries </w:t>
      </w:r>
      <w:r w:rsidR="00E6619C" w:rsidRPr="00E6619C">
        <w:rPr>
          <w:rFonts w:ascii="Times New Roman" w:eastAsia="Batang" w:hAnsi="Times New Roman" w:cs="Times New Roman"/>
          <w:i/>
          <w:noProof/>
        </w:rPr>
        <w:t>et al</w:t>
      </w:r>
      <w:r w:rsidR="00E6619C" w:rsidRPr="00E6619C">
        <w:rPr>
          <w:rFonts w:ascii="Times New Roman" w:eastAsia="Batang" w:hAnsi="Times New Roman" w:cs="Times New Roman"/>
          <w:noProof/>
        </w:rPr>
        <w:t>, n.d.)</w:t>
      </w:r>
      <w:r w:rsidRPr="008C166C">
        <w:rPr>
          <w:rFonts w:ascii="Times New Roman" w:eastAsia="Batang" w:hAnsi="Times New Roman" w:cs="Times New Roman"/>
        </w:rPr>
        <w:fldChar w:fldCharType="end"/>
      </w:r>
      <w:r w:rsidRPr="008C166C">
        <w:rPr>
          <w:rFonts w:ascii="Times New Roman" w:eastAsia="Batang" w:hAnsi="Times New Roman" w:cs="Times New Roman"/>
        </w:rPr>
        <w:t>, summarized as follows. For our dataset, f</w:t>
      </w:r>
      <w:r w:rsidRPr="008C166C">
        <w:rPr>
          <w:rFonts w:ascii="Times New Roman" w:hAnsi="Times New Roman" w:cs="Times New Roman"/>
          <w:color w:val="231F20"/>
        </w:rPr>
        <w:t xml:space="preserve">irst, we noted miR-485-5p accounted for 62% of the grand total of 3.63E8 miRNA reads. Since we sought informative sets of miRNAs, the overwhelming miR-485-5p levels were discarded, leaving 136 robustly expressed miRNAs for further analyses. We divided read counts for each sample by the average of read counts for the top 30 miRNAs, forming quotients. This flattened the miRNA numbers and made the ratios </w:t>
      </w:r>
      <w:proofErr w:type="gramStart"/>
      <w:r w:rsidRPr="008C166C">
        <w:rPr>
          <w:rFonts w:ascii="Times New Roman" w:hAnsi="Times New Roman" w:cs="Times New Roman"/>
          <w:color w:val="231F20"/>
        </w:rPr>
        <w:t>maximum:minimum</w:t>
      </w:r>
      <w:proofErr w:type="gramEnd"/>
      <w:r w:rsidRPr="008C166C">
        <w:rPr>
          <w:rFonts w:ascii="Times New Roman" w:hAnsi="Times New Roman" w:cs="Times New Roman"/>
          <w:color w:val="231F20"/>
        </w:rPr>
        <w:t xml:space="preserve"> counts among the top 30 miRNAs less extreme. For each miRNA, we then used the average and standard deviation over all unaffected controls of those quotients to convert all quotients to z-scores; final values were in a 4X range. </w:t>
      </w:r>
    </w:p>
    <w:p w14:paraId="14F8415D" w14:textId="37444CF9" w:rsidR="00CA7404" w:rsidRPr="006633EB" w:rsidRDefault="00B85292" w:rsidP="006633EB">
      <w:pPr>
        <w:widowControl w:val="0"/>
        <w:autoSpaceDE w:val="0"/>
        <w:autoSpaceDN w:val="0"/>
        <w:adjustRightInd w:val="0"/>
        <w:ind w:firstLine="720"/>
        <w:rPr>
          <w:rFonts w:ascii="Times New Roman" w:hAnsi="Times New Roman" w:cs="Times New Roman"/>
          <w:color w:val="231F20"/>
        </w:rPr>
      </w:pPr>
      <w:r w:rsidRPr="008C166C">
        <w:rPr>
          <w:rFonts w:ascii="Times New Roman" w:hAnsi="Times New Roman" w:cs="Times New Roman"/>
          <w:color w:val="231F20"/>
        </w:rPr>
        <w:t>Technical duplicates of one non-converter sample were assayed twice. The original tube of blood was divided into two equal aliquots and each portion was subsequently treated as an independent sample without awareness of the assaying laboratory. After normalization as described above, correlation of the duplicates over all 136 miRNAs was 0.61; this was at the 98</w:t>
      </w:r>
      <w:r w:rsidRPr="008C166C">
        <w:rPr>
          <w:rFonts w:ascii="Times New Roman" w:hAnsi="Times New Roman" w:cs="Times New Roman"/>
          <w:color w:val="231F20"/>
          <w:vertAlign w:val="superscript"/>
        </w:rPr>
        <w:t>th</w:t>
      </w:r>
      <w:r w:rsidRPr="008C166C">
        <w:rPr>
          <w:rFonts w:ascii="Times New Roman" w:hAnsi="Times New Roman" w:cs="Times New Roman"/>
          <w:color w:val="231F20"/>
        </w:rPr>
        <w:t xml:space="preserve"> percentile of correlations of all 4465 possible pairs of 95 samples. Correlations </w:t>
      </w:r>
      <w:r w:rsidRPr="008C166C">
        <w:rPr>
          <w:rFonts w:ascii="Times New Roman" w:hAnsi="Times New Roman" w:cs="Times New Roman"/>
          <w:color w:val="231F20"/>
          <w:u w:val="single"/>
        </w:rPr>
        <w:t>&gt;</w:t>
      </w:r>
      <w:r w:rsidRPr="008C166C">
        <w:rPr>
          <w:rFonts w:ascii="Times New Roman" w:hAnsi="Times New Roman" w:cs="Times New Roman"/>
          <w:color w:val="231F20"/>
        </w:rPr>
        <w:t>0.61 in 136-dimensional space would be very unlikely among random, normally distributed vectors; p-value would be 1.60E-15. Over non</w:t>
      </w:r>
      <w:r w:rsidR="00320955" w:rsidRPr="008C166C">
        <w:rPr>
          <w:rFonts w:ascii="Times New Roman" w:hAnsi="Times New Roman" w:cs="Times New Roman"/>
          <w:color w:val="231F20"/>
        </w:rPr>
        <w:t>-</w:t>
      </w:r>
      <w:r w:rsidRPr="008C166C">
        <w:rPr>
          <w:rFonts w:ascii="Times New Roman" w:hAnsi="Times New Roman" w:cs="Times New Roman"/>
          <w:color w:val="231F20"/>
        </w:rPr>
        <w:t>converters only, this correlation was at 97</w:t>
      </w:r>
      <w:r w:rsidRPr="008C166C">
        <w:rPr>
          <w:rFonts w:ascii="Times New Roman" w:hAnsi="Times New Roman" w:cs="Times New Roman"/>
          <w:color w:val="231F20"/>
          <w:vertAlign w:val="superscript"/>
        </w:rPr>
        <w:t>th</w:t>
      </w:r>
      <w:r w:rsidRPr="008C166C">
        <w:rPr>
          <w:rFonts w:ascii="Times New Roman" w:hAnsi="Times New Roman" w:cs="Times New Roman"/>
          <w:color w:val="231F20"/>
        </w:rPr>
        <w:t xml:space="preserve"> percentile. Given this </w:t>
      </w:r>
      <w:r w:rsidRPr="003B6A0B">
        <w:rPr>
          <w:rFonts w:ascii="Times New Roman" w:hAnsi="Times New Roman" w:cs="Times New Roman"/>
          <w:color w:val="231F20"/>
        </w:rPr>
        <w:t xml:space="preserve">correlation between duplicate samples, we ascertained the normalization process employed here was successful. </w:t>
      </w:r>
      <w:r w:rsidR="00CA7404" w:rsidRPr="008C166C">
        <w:rPr>
          <w:rFonts w:ascii="Times New Roman" w:hAnsi="Times New Roman" w:cs="Times New Roman"/>
        </w:rPr>
        <w:br w:type="page"/>
      </w:r>
    </w:p>
    <w:p w14:paraId="0FC6E701" w14:textId="2CC7C087" w:rsidR="00CA7404" w:rsidRPr="0095023F" w:rsidRDefault="00AA4C3C" w:rsidP="00AA4C3C">
      <w:pPr>
        <w:widowControl w:val="0"/>
        <w:autoSpaceDE w:val="0"/>
        <w:autoSpaceDN w:val="0"/>
        <w:adjustRightInd w:val="0"/>
        <w:jc w:val="center"/>
        <w:rPr>
          <w:rFonts w:ascii="Times New Roman" w:hAnsi="Times New Roman" w:cs="Times New Roman"/>
          <w:b/>
        </w:rPr>
      </w:pPr>
      <w:r w:rsidRPr="0095023F">
        <w:rPr>
          <w:rFonts w:ascii="Times New Roman" w:hAnsi="Times New Roman" w:cs="Times New Roman"/>
          <w:b/>
        </w:rPr>
        <w:t xml:space="preserve">Supplementary </w:t>
      </w:r>
      <w:r w:rsidR="00CA7404" w:rsidRPr="0095023F">
        <w:rPr>
          <w:rFonts w:ascii="Times New Roman" w:hAnsi="Times New Roman" w:cs="Times New Roman"/>
          <w:b/>
        </w:rPr>
        <w:t>Results</w:t>
      </w:r>
    </w:p>
    <w:p w14:paraId="0446656B" w14:textId="77777777" w:rsidR="00AA4C3C" w:rsidRPr="003B6A0B" w:rsidRDefault="00AA4C3C" w:rsidP="00CA7404">
      <w:pPr>
        <w:widowControl w:val="0"/>
        <w:autoSpaceDE w:val="0"/>
        <w:autoSpaceDN w:val="0"/>
        <w:adjustRightInd w:val="0"/>
        <w:rPr>
          <w:rFonts w:ascii="Times New Roman" w:hAnsi="Times New Roman" w:cs="Times New Roman"/>
        </w:rPr>
      </w:pPr>
    </w:p>
    <w:p w14:paraId="3D97E044" w14:textId="77777777" w:rsidR="003B6A0B" w:rsidRPr="003B6A0B" w:rsidRDefault="003B6A0B" w:rsidP="003B6A0B">
      <w:pPr>
        <w:widowControl w:val="0"/>
        <w:autoSpaceDE w:val="0"/>
        <w:autoSpaceDN w:val="0"/>
        <w:adjustRightInd w:val="0"/>
        <w:rPr>
          <w:rFonts w:ascii="Times New Roman" w:hAnsi="Times New Roman"/>
          <w:i/>
        </w:rPr>
      </w:pPr>
      <w:r w:rsidRPr="003B6A0B">
        <w:rPr>
          <w:rFonts w:ascii="Times New Roman" w:hAnsi="Times New Roman"/>
          <w:i/>
        </w:rPr>
        <w:t>miRNA Classifier Related to Other Cortical Regions of Interest</w:t>
      </w:r>
    </w:p>
    <w:p w14:paraId="5249C971" w14:textId="282E6813" w:rsidR="006633EB" w:rsidRPr="006633EB" w:rsidRDefault="006633EB" w:rsidP="006633EB">
      <w:pPr>
        <w:widowControl w:val="0"/>
        <w:autoSpaceDE w:val="0"/>
        <w:autoSpaceDN w:val="0"/>
        <w:adjustRightInd w:val="0"/>
        <w:ind w:firstLine="720"/>
        <w:rPr>
          <w:rFonts w:ascii="Times New Roman" w:hAnsi="Times New Roman" w:cs="Times New Roman"/>
        </w:rPr>
      </w:pPr>
      <w:r w:rsidRPr="003B6A0B">
        <w:rPr>
          <w:rFonts w:ascii="Times New Roman" w:hAnsi="Times New Roman" w:cs="Times New Roman"/>
        </w:rPr>
        <w:t>We previously showed that clinical high risk subjects who converted to psychosis showed a steeper annualized rate of reduction in cortical thickness in the right superior frontal, middle frontal, and medial orbitofrontal regions relative to those who did not convert, accounting for baseline cortical thickness, gender, site, and multiple comparisons using a false-discovery rate correction</w:t>
      </w:r>
      <w:r w:rsidR="00C15ADD">
        <w:rPr>
          <w:rFonts w:ascii="Times New Roman" w:hAnsi="Times New Roman" w:cs="Times New Roman"/>
        </w:rPr>
        <w:t xml:space="preserve"> </w:t>
      </w:r>
      <w:r w:rsidRPr="003B6A0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"10.1016/j.biopsych.2014.05.023", "ISBN" : "1873-2402 (Electronic)\\r0006-3223 (Linking)", "ISSN" : "18732402", "PMID" : "25034946", "abstract" : "Background Individuals at clinical high risk (CHR) who progress to fully psychotic symptoms have been observed to show a steeper rate of cortical gray matter reduction compared with individuals without symptomatic progression and with healthy control subjects. Whether such changes reflect processes associated with the pathophysiology of schizophrenia or exposure to antipsychotic drugs is unknown.\nMethods In this multisite study, 274 CHR cases, including 35 individuals who converted to psychosis, and 135 healthy comparison subjects were scanned with magnetic resonance imaging at baseline, 12-month follow-up, or the point of conversion for the subjects who developed fully psychotic symptoms.\nResults In a traveling subjects substudy, excellent reliability was observed for measures of cortical thickness and subcortical volumes. Controlling for multiple comparisons throughout the brain, CHR subjects who converted to psychosis showed a steeper rate of gray matter loss in the right superior frontal, middle frontal, and medial orbitofrontal cortical regions as well as a greater rate of expansion of the third ventricle compared with CHR subjects who did not convert to psychosis and healthy control subjects. Differential tissue loss was present in subjects who had not received antipsychotic medications during the interscan interval and was predicted by baseline levels of an aggregate measure of proinflammatory cytokines in plasma.\nConclusions These findings demonstrate that the brain changes are not explained by exposure to antipsychotic drugs but likely play a role in psychosis pathophysiology. Given that the cortical changes were more pronounced in subjects with briefer durations of prodromal symptoms, contributing factors may predominantly play a role in acute-onset forms of psychosis.", "author" : [ { "dropping-particle" : "", "family" : "Cannon", "given" : "Tyrone D.", "non-dropping-particle" : "", "parse-names" : false, "suffix" : "" }, { "dropping-particle" : "", "family" : "Chung", "given" : "Yoonho", "non-dropping-particle" : "", "parse-names" : false, "suffix" : "" }, { "dropping-particle" : "", "family" : "He", "given" : "George", "non-dropping-particle" : "", "parse-names" : false, "suffix" : "" }, { "dropping-particle" : "", "family" : "Sun", "given" : "Daqiang", "non-dropping-particle" : "", "parse-names" : false, "suffix" : "" }, { "dropping-particle" : "", "family" : "Jacobson", "given" : "Aron", "non-dropping-particle" : "", "parse-names" : false, "suffix" : "" }, { "dropping-particle" : "", "family" : "Erp", "given" : "Theo G M", "non-dropping-particle" : "Van", "parse-names" : false, "suffix" : "" }, { "dropping-particle" : "", "family" : "McEwen", "given" : "Sarah", "non-dropping-particle" : "", "parse-names" : false, "suffix" : "" }, { "dropping-particle" : "", "family" : "Addington", "given" : "Jean", "non-dropping-particle" : "", "parse-names" : false, "suffix" : "" }, { "dropping-particle" : "", "family" : "Bearden", "given" : "Carrie E.", "non-dropping-particle" : "", "parse-names" : false, "suffix" : "" }, { "dropping-particle" : "", "family" : "Cadenhead", "given" : "Kristin", "non-dropping-particle" : "", "parse-names" : false, "suffix" : "" }, { "dropping-particle" : "", "family" : "Cornblatt", "given" : "Barbara", "non-dropping-particle" : "", "parse-names" : false, "suffix" : "" }, { "dropping-particle" : "", "family" : "Mathalon", "given" : "Daniel H.", "non-dropping-particle" : "", "parse-names" : false, "suffix" : "" }, { "dropping-particle" : "", "family" : "McGlashan", "given" : "Thomas", "non-dropping-particle" : "", "parse-names" : false, "suffix" : "" }, { "dropping-particle" : "", "family" : "Perkins", "given" : "Diana", "non-dropping-particle" : "", "parse-names" : false, "suffix" : "" }, { "dropping-particle" : "", "family" : "Jeffries", "given" : "Clark", "non-dropping-particle" : "", "parse-names" : false, "suffix" : "" }, { "dropping-particle" : "", "family" : "Seidman", "given" : "Larry J.", "non-dropping-particle" : "", "parse-names" : false, "suffix" : "" }, { "dropping-particle" : "", "family" : "Tsuang", "given" : "Ming", "non-dropping-particle" : "", "parse-names" : false, "suffix" : "" }, { "dropping-particle" : "", "family" : "Walker", "given" : "Elaine", "non-dropping-particle" : "", "parse-names" : false, "suffix" : "" }, { "dropping-particle" : "", "family" : "Woods", "given" : "Scott W.", "non-dropping-particle" : "", "parse-names" : false, "suffix" : "" }, { "dropping-particle" : "", "family" : "Heinssen", "given" : "Robert", "non-dropping-particle" : "", "parse-names" : false, "suffix" : "" } ], "container-title" : "Biological Psychiatry", "id" : "ITEM-1", "issue" : "2", "issued" : { "date-parts" : [ [ "2015" ] ] }, "page" : "147-157", "title" : "Progressive reduction in cortical thickness as psychosis develops: A multisite longitudinal neuroimaging study of youth at elevated clinical risk", "type" : "article-journal", "volume" : "77" }, "uris" : [ "http://www.mendeley.com/documents/?uuid=cddc973f-68b7-41bd-937f-ff1a81f7f46c" ] } ], "mendeley" : { "formattedCitation" : "(Cannon &lt;i&gt;et al&lt;/i&gt;, 2015)", "plainTextFormattedCitation" : "(Cannon et al, 2015)", "previouslyFormattedCitation" : "&lt;sup&gt;4&lt;/sup&gt;" }, "properties" : { "noteIndex" : 0 }, "schema" : "https://github.com/citation-style-language/schema/raw/master/csl-citation.json" }</w:instrText>
      </w:r>
      <w:r w:rsidRPr="003B6A0B">
        <w:rPr>
          <w:rFonts w:ascii="Times New Roman" w:hAnsi="Times New Roman" w:cs="Times New Roman"/>
        </w:rPr>
        <w:fldChar w:fldCharType="separate"/>
      </w:r>
      <w:r w:rsidRPr="00E6619C">
        <w:rPr>
          <w:rFonts w:ascii="Times New Roman" w:hAnsi="Times New Roman" w:cs="Times New Roman"/>
          <w:noProof/>
        </w:rPr>
        <w:t xml:space="preserve">(Cannon </w:t>
      </w:r>
      <w:r w:rsidRPr="00E6619C">
        <w:rPr>
          <w:rFonts w:ascii="Times New Roman" w:hAnsi="Times New Roman" w:cs="Times New Roman"/>
          <w:i/>
          <w:noProof/>
        </w:rPr>
        <w:t>et al</w:t>
      </w:r>
      <w:r w:rsidRPr="00E6619C">
        <w:rPr>
          <w:rFonts w:ascii="Times New Roman" w:hAnsi="Times New Roman" w:cs="Times New Roman"/>
          <w:noProof/>
        </w:rPr>
        <w:t>, 2015)</w:t>
      </w:r>
      <w:r w:rsidRPr="003B6A0B">
        <w:rPr>
          <w:rFonts w:ascii="Times New Roman" w:hAnsi="Times New Roman" w:cs="Times New Roman"/>
        </w:rPr>
        <w:fldChar w:fldCharType="end"/>
      </w:r>
      <w:r w:rsidRPr="003B6A0B">
        <w:rPr>
          <w:rFonts w:ascii="Times New Roman" w:hAnsi="Times New Roman" w:cs="Times New Roman"/>
        </w:rPr>
        <w:t>. Our primary analyses focused on the region of interest (ROI) with the most pronounced effect, but we opted to test the relationship between the miRNA classifier developed for this ROI with the other two significant ROIs identified previously, as well. This can help establish the specificity of this classifier to some degree, although rates of cortical thinning across these three regions were highly correlated (</w:t>
      </w:r>
      <w:r w:rsidRPr="003B6A0B">
        <w:rPr>
          <w:rFonts w:ascii="Times New Roman" w:hAnsi="Times New Roman" w:cs="Times New Roman"/>
          <w:i/>
        </w:rPr>
        <w:t>r</w:t>
      </w:r>
      <w:r w:rsidRPr="003B6A0B">
        <w:rPr>
          <w:rFonts w:ascii="Times New Roman" w:hAnsi="Times New Roman" w:cs="Times New Roman"/>
        </w:rPr>
        <w:t>’s between .47 and .74). In any case, we entered the miRNA classifier for superior frontal cortical thickness as a predictor, along with age, sex, and diagnostic group (converters vs. non-converters and controls), into linear regressions of the other two ROIs.</w:t>
      </w:r>
      <w:r w:rsidR="003B6A0B" w:rsidRPr="003B6A0B">
        <w:rPr>
          <w:rFonts w:ascii="Times New Roman" w:hAnsi="Times New Roman"/>
        </w:rPr>
        <w:tab/>
      </w:r>
    </w:p>
    <w:p w14:paraId="068360FE" w14:textId="73C1DDD9" w:rsidR="003B6A0B" w:rsidRPr="003B6A0B" w:rsidRDefault="003B6A0B" w:rsidP="006633EB">
      <w:pPr>
        <w:widowControl w:val="0"/>
        <w:autoSpaceDE w:val="0"/>
        <w:autoSpaceDN w:val="0"/>
        <w:adjustRightInd w:val="0"/>
        <w:ind w:firstLine="720"/>
        <w:rPr>
          <w:rFonts w:ascii="Times New Roman" w:hAnsi="Times New Roman"/>
        </w:rPr>
      </w:pPr>
      <w:r w:rsidRPr="003B6A0B">
        <w:rPr>
          <w:rFonts w:ascii="Times New Roman" w:hAnsi="Times New Roman"/>
        </w:rPr>
        <w:t xml:space="preserve">The classifier developed for the superior frontal cortical ROI was significantly related to cortical thinning the middle frontal region of the cortex, </w:t>
      </w:r>
      <w:r w:rsidRPr="003B6A0B">
        <w:rPr>
          <w:rFonts w:ascii="Times New Roman" w:hAnsi="Times New Roman"/>
          <w:i/>
        </w:rPr>
        <w:t>t</w:t>
      </w:r>
      <w:r w:rsidRPr="003B6A0B">
        <w:rPr>
          <w:rFonts w:ascii="Times New Roman" w:hAnsi="Times New Roman"/>
        </w:rPr>
        <w:t xml:space="preserve">=2.72, </w:t>
      </w:r>
      <w:r w:rsidRPr="003B6A0B">
        <w:rPr>
          <w:rFonts w:ascii="Times New Roman" w:hAnsi="Times New Roman"/>
          <w:i/>
        </w:rPr>
        <w:t>p=</w:t>
      </w:r>
      <w:r w:rsidRPr="003B6A0B">
        <w:rPr>
          <w:rFonts w:ascii="Times New Roman" w:hAnsi="Times New Roman"/>
        </w:rPr>
        <w:t xml:space="preserve">.008, </w:t>
      </w:r>
      <w:r w:rsidRPr="003B6A0B">
        <w:rPr>
          <w:rFonts w:ascii="Times New Roman" w:hAnsi="Times New Roman"/>
          <w:i/>
        </w:rPr>
        <w:t>R</w:t>
      </w:r>
      <w:r w:rsidRPr="003B6A0B">
        <w:rPr>
          <w:rFonts w:ascii="Times New Roman" w:hAnsi="Times New Roman"/>
          <w:i/>
          <w:vertAlign w:val="superscript"/>
        </w:rPr>
        <w:t>2</w:t>
      </w:r>
      <w:r w:rsidRPr="003B6A0B">
        <w:rPr>
          <w:rFonts w:ascii="Times New Roman" w:hAnsi="Times New Roman"/>
        </w:rPr>
        <w:t xml:space="preserve">=.097. It was not significantly related to cortical thinning in the medial orbitofrontal cortex, </w:t>
      </w:r>
      <w:r w:rsidRPr="003B6A0B">
        <w:rPr>
          <w:rFonts w:ascii="Times New Roman" w:hAnsi="Times New Roman"/>
          <w:i/>
        </w:rPr>
        <w:t>t=</w:t>
      </w:r>
      <w:r w:rsidRPr="003B6A0B">
        <w:rPr>
          <w:rFonts w:ascii="Times New Roman" w:hAnsi="Times New Roman"/>
        </w:rPr>
        <w:t xml:space="preserve">1.57, </w:t>
      </w:r>
      <w:r w:rsidRPr="003B6A0B">
        <w:rPr>
          <w:rFonts w:ascii="Times New Roman" w:hAnsi="Times New Roman"/>
          <w:i/>
        </w:rPr>
        <w:t>p=</w:t>
      </w:r>
      <w:r w:rsidRPr="003B6A0B">
        <w:rPr>
          <w:rFonts w:ascii="Times New Roman" w:hAnsi="Times New Roman"/>
        </w:rPr>
        <w:t xml:space="preserve">.121. Spatially, the superior frontal cortex </w:t>
      </w:r>
      <w:r w:rsidR="00F277EB">
        <w:rPr>
          <w:rFonts w:ascii="Times New Roman" w:hAnsi="Times New Roman"/>
        </w:rPr>
        <w:t>is closer to the middle frontal</w:t>
      </w:r>
      <w:r w:rsidRPr="003B6A0B">
        <w:rPr>
          <w:rFonts w:ascii="Times New Roman" w:hAnsi="Times New Roman"/>
        </w:rPr>
        <w:t xml:space="preserve"> than the medial orbitofrontal cortex, which may imply a higher degree of similarity with respect to biological substrates; these two phenotypes were also more strongly correlated </w:t>
      </w:r>
      <w:r w:rsidR="00F277EB">
        <w:rPr>
          <w:rFonts w:ascii="Times New Roman" w:hAnsi="Times New Roman"/>
        </w:rPr>
        <w:t xml:space="preserve">within individuals </w:t>
      </w:r>
      <w:r w:rsidRPr="003B6A0B">
        <w:rPr>
          <w:rFonts w:ascii="Times New Roman" w:hAnsi="Times New Roman"/>
        </w:rPr>
        <w:t>(</w:t>
      </w:r>
      <w:r w:rsidRPr="003B6A0B">
        <w:rPr>
          <w:rFonts w:ascii="Times New Roman" w:hAnsi="Times New Roman"/>
          <w:i/>
        </w:rPr>
        <w:t>r=</w:t>
      </w:r>
      <w:r w:rsidRPr="003B6A0B">
        <w:rPr>
          <w:rFonts w:ascii="Times New Roman" w:hAnsi="Times New Roman"/>
        </w:rPr>
        <w:t>.71) than the superior frontal and orbitofrontal cortex rates were (</w:t>
      </w:r>
      <w:r w:rsidRPr="003B6A0B">
        <w:rPr>
          <w:rFonts w:ascii="Times New Roman" w:hAnsi="Times New Roman"/>
          <w:i/>
        </w:rPr>
        <w:t>r</w:t>
      </w:r>
      <w:r w:rsidRPr="003B6A0B">
        <w:rPr>
          <w:rFonts w:ascii="Times New Roman" w:hAnsi="Times New Roman"/>
        </w:rPr>
        <w:t xml:space="preserve">=.47). </w:t>
      </w:r>
    </w:p>
    <w:p w14:paraId="05DE560D" w14:textId="77777777" w:rsidR="003B6A0B" w:rsidRDefault="003B6A0B" w:rsidP="00E52B33">
      <w:pPr>
        <w:rPr>
          <w:rFonts w:ascii="Times New Roman" w:hAnsi="Times New Roman" w:cs="Times New Roman"/>
          <w:i/>
        </w:rPr>
      </w:pPr>
    </w:p>
    <w:p w14:paraId="1DDFC5F7" w14:textId="3FF1BD16" w:rsidR="00F4554C" w:rsidRPr="00895B21" w:rsidRDefault="00F4554C" w:rsidP="00E52B33">
      <w:pPr>
        <w:rPr>
          <w:rFonts w:ascii="Times New Roman" w:hAnsi="Times New Roman" w:cs="Times New Roman"/>
          <w:i/>
        </w:rPr>
      </w:pPr>
      <w:r w:rsidRPr="00895B21">
        <w:rPr>
          <w:rFonts w:ascii="Times New Roman" w:hAnsi="Times New Roman" w:cs="Times New Roman"/>
          <w:i/>
        </w:rPr>
        <w:t>Pathway Analysis Using Whole Genome Reference Set</w:t>
      </w:r>
    </w:p>
    <w:p w14:paraId="7B4303A1" w14:textId="7BC03FD7" w:rsidR="00F4554C" w:rsidRDefault="00F4554C" w:rsidP="00E52B33">
      <w:pPr>
        <w:rPr>
          <w:rFonts w:ascii="Times New Roman" w:hAnsi="Times New Roman" w:cs="Times New Roman"/>
        </w:rPr>
      </w:pPr>
      <w:r w:rsidRPr="008C166C">
        <w:rPr>
          <w:rFonts w:ascii="Times New Roman" w:hAnsi="Times New Roman" w:cs="Times New Roman"/>
        </w:rPr>
        <w:tab/>
        <w:t>Ingenuity Pathway Analysis was employed as described in Methods: Functional Annotation using two different reference sets, 1) genes expressed in immune tissue, 2) all genes. The results from the first are reported in the main text; the results from the second are extremely similar, but include many more significant pathways due to the increased denominator. The full list includes in order of significance: protein kinase A signaling, molecular mechanisms of cancer, factors promoting cardiogenesis in vertebrates, HGF signaling, ERK5 signaling, axonal guidance signaling, regulation of epithelial-mesenchymal transition pathway, PPARa/RXRa activation, germ cell-sertoli cell junction signaling, p70S6K signaling, WNT/</w:t>
      </w:r>
      <w:r w:rsidRPr="008C166C">
        <w:rPr>
          <w:rFonts w:ascii="Times New Roman" w:hAnsi="Times New Roman" w:cs="Times New Roman"/>
        </w:rPr>
        <w:sym w:font="Symbol" w:char="F062"/>
      </w:r>
      <w:r w:rsidRPr="008C166C">
        <w:rPr>
          <w:rFonts w:ascii="Times New Roman" w:hAnsi="Times New Roman" w:cs="Times New Roman"/>
        </w:rPr>
        <w:t>-catenin signaling, GNRH signaling, HIPPO signaling, reelin signaling in neurons, ErbB signaling, SAPK/JNK signaling, dopamine-DARPP32 feedback in cAMP signaling, mouse embryonic stem cell pluripotency, neuregulin signaling, role of tissue factor in cancer, NGF signaling, role of NFAT in cardiac hypertrophy, B cell receptor signaling, m</w:t>
      </w:r>
      <w:r w:rsidR="00B66ABD" w:rsidRPr="008C166C">
        <w:rPr>
          <w:rFonts w:ascii="Times New Roman" w:hAnsi="Times New Roman" w:cs="Times New Roman"/>
        </w:rPr>
        <w:t>a</w:t>
      </w:r>
      <w:r w:rsidRPr="008C166C">
        <w:rPr>
          <w:rFonts w:ascii="Times New Roman" w:hAnsi="Times New Roman" w:cs="Times New Roman"/>
        </w:rPr>
        <w:t>cropinocytosis s</w:t>
      </w:r>
      <w:r w:rsidR="00B66ABD" w:rsidRPr="008C166C">
        <w:rPr>
          <w:rFonts w:ascii="Times New Roman" w:hAnsi="Times New Roman" w:cs="Times New Roman"/>
        </w:rPr>
        <w:t xml:space="preserve">ignaling, synaptic long term potentiation, HER-2 signaling in breast cancer, epithelial adherens junction signaling, FGF signaling, ErbB4 signaling, ERK/MAPK signaling, superpathway of inositol phosphate compounds, prolactin signaling, gap junction signaling, cholecystokinin/gastrin-mediated signaling, ephrin receptor signaling, IGF-1 signaling, cardiac hypertrophy signaling, production of nitric oxide and reactive oxygen species in macrophages, neuropathic pain signaling in dorsal horn neurons, growth hormone signaling, tec kinase signaling, pyridoxal 5’-phosphate salvage pathway, NF-kB activation by viruses, FAK signaling, break cancer regulation by stathmin1, paxillin signaling, ILK signaling, UVB-induced MAPK signaling, virus entry via endocytic pathways, UVA-induced MAPK signaling, thrombin signaling, P13K/AKT signaling, CREB signaling in neurons, 3-phosphoinositide biosynthesis, PAK signaling, P2Y purigenic receptor signaling pathway, myc medicated apoptosis signaling, neurotrophin/TRK signaling, actin cytoskeleton signaling, aldosterone signaling in epithelial cells, Huntington’s Disease signaling, 14-3-3-mediated signaling, melatonin signaling, renin-anglotensin signaling, glioma signaling, thrombopoletin signaling, integrin signaling, human embryonic stem cell pluripotency, PTEN signaling, rac signaling, FLT3 signaling in hematopoietic progenitor cells, type II diabetes mellitus signaling, Wnt/Ca+ pathway, melanocyte development and pigmentation signaling, xenobiotic metabolism signaling, phagosome formation, AMPK signaling, CNTF signaling, IL-3 signaling, G beta gamma signaling, clathrin-mediated endocytosis signaling, corticotropin releasing hormone signaling, cardiac </w:t>
      </w:r>
      <w:r w:rsidR="00B66ABD" w:rsidRPr="008C166C">
        <w:rPr>
          <w:rFonts w:ascii="Times New Roman" w:hAnsi="Times New Roman" w:cs="Times New Roman"/>
        </w:rPr>
        <w:sym w:font="Symbol" w:char="F062"/>
      </w:r>
      <w:r w:rsidR="00B66ABD" w:rsidRPr="008C166C">
        <w:rPr>
          <w:rFonts w:ascii="Times New Roman" w:hAnsi="Times New Roman" w:cs="Times New Roman"/>
        </w:rPr>
        <w:t>-adrenergic signaling, CXCR4 signaling, ephrin A signaling, circadian rhythm signaling, p53 signaling, VEGF signaling, insulin receptor signaling, erythropoletin signaling, non-small cell lunch cancer signaling, hypoxia signaling in the cardiovascular system, synaptic long term depression, calcium signaling, endothelin-1 signaling, sertoli cell-sertoli cell junction signaling, R</w:t>
      </w:r>
      <w:r w:rsidR="00BD6D12" w:rsidRPr="008C166C">
        <w:rPr>
          <w:rFonts w:ascii="Times New Roman" w:hAnsi="Times New Roman" w:cs="Times New Roman"/>
        </w:rPr>
        <w:t>AR activation, RAN signaling, s</w:t>
      </w:r>
      <w:r w:rsidR="00B66ABD" w:rsidRPr="008C166C">
        <w:rPr>
          <w:rFonts w:ascii="Times New Roman" w:hAnsi="Times New Roman" w:cs="Times New Roman"/>
        </w:rPr>
        <w:t>a</w:t>
      </w:r>
      <w:r w:rsidR="00BD6D12" w:rsidRPr="008C166C">
        <w:rPr>
          <w:rFonts w:ascii="Times New Roman" w:hAnsi="Times New Roman" w:cs="Times New Roman"/>
        </w:rPr>
        <w:t>l</w:t>
      </w:r>
      <w:r w:rsidR="00B66ABD" w:rsidRPr="008C166C">
        <w:rPr>
          <w:rFonts w:ascii="Times New Roman" w:hAnsi="Times New Roman" w:cs="Times New Roman"/>
        </w:rPr>
        <w:t xml:space="preserve">vage pathways on pyrimidine ribonucleotides, </w:t>
      </w:r>
      <w:r w:rsidR="00BD6D12" w:rsidRPr="008C166C">
        <w:rPr>
          <w:rFonts w:ascii="Times New Roman" w:hAnsi="Times New Roman" w:cs="Times New Roman"/>
        </w:rPr>
        <w:t xml:space="preserve">UVC-induced MAPK signaling, STAT3 pathway, signaling by rho family GTPases, regulation of cellular mechanics by calpain protease, CCR3 signaling in eosinophils, prostate cancer signaling, CDK5 signaling, PI3K signaling in B lymphocytes, leukocyte extravasation signaling, cell cytle regulation by BTG family proteins, glycerol-3-phosphate shuttle, eNOS signaling, role of NANOG in mammalian embryonic stem cell pluripotency, PKC8 signaling in T lymphocytes, LPS-stimulated MAPK signaling, colorectal cancer metastasis signaling, role of osteoblasts, osteoclasts and chondrocytes in rheumatoid arthritis, phospholipase C signaling, VEGF family ligand-receptor interactions, mTOR signaling, D-myo-inositol-5-phosphate metabolism, agrin interactions at neuromuscular junction, rhoGDI signaling, fcyRIIB signaling in B lymphocytes, sphingosine-1-phosphate signaling, G protein signaling mediated by tubby, GPCR-mediated nutrient sensing in enteroendocrine cells, regulation of IL-2 expression in activated and anergic T lymphocytes, inositol pyrophosphates biosynthesis, UDP-N-acetyl-D-glucosamine biosynthesis II, erbB2-erbB3 signaling, leptin signaling in obesity, BMP signaling pathway, </w:t>
      </w:r>
      <w:r w:rsidR="00A15C37" w:rsidRPr="008C166C">
        <w:rPr>
          <w:rFonts w:ascii="Times New Roman" w:hAnsi="Times New Roman" w:cs="Times New Roman"/>
        </w:rPr>
        <w:t xml:space="preserve">and </w:t>
      </w:r>
      <w:r w:rsidR="00BD6D12" w:rsidRPr="008C166C">
        <w:rPr>
          <w:rFonts w:ascii="Times New Roman" w:hAnsi="Times New Roman" w:cs="Times New Roman"/>
        </w:rPr>
        <w:t xml:space="preserve">mechanisms of viral exit in host cells. </w:t>
      </w:r>
    </w:p>
    <w:p w14:paraId="0104BC08" w14:textId="77777777" w:rsidR="007079AE" w:rsidRDefault="007079AE" w:rsidP="00E52B33">
      <w:pPr>
        <w:rPr>
          <w:rFonts w:ascii="Times New Roman" w:hAnsi="Times New Roman" w:cs="Times New Roman"/>
        </w:rPr>
      </w:pPr>
    </w:p>
    <w:p w14:paraId="2DAE23FF" w14:textId="0CA7C41C" w:rsidR="007079AE" w:rsidRDefault="007079AE">
      <w:pPr>
        <w:rPr>
          <w:rFonts w:ascii="Times New Roman" w:hAnsi="Times New Roman" w:cs="Times New Roman"/>
        </w:rPr>
      </w:pPr>
      <w:r>
        <w:rPr>
          <w:rFonts w:ascii="Times New Roman" w:hAnsi="Times New Roman" w:cs="Times New Roman"/>
        </w:rPr>
        <w:br w:type="page"/>
      </w:r>
    </w:p>
    <w:p w14:paraId="46B1B405" w14:textId="3A2EADA0" w:rsidR="00242951" w:rsidRDefault="00242951" w:rsidP="007079AE">
      <w:pPr>
        <w:rPr>
          <w:rFonts w:ascii="Times New Roman" w:hAnsi="Times New Roman" w:cs="Times New Roman"/>
          <w:i/>
        </w:rPr>
      </w:pPr>
      <w:r>
        <w:rPr>
          <w:rFonts w:ascii="Times New Roman" w:hAnsi="Times New Roman" w:cs="Times New Roman"/>
          <w:i/>
          <w:noProof/>
        </w:rPr>
        <w:drawing>
          <wp:inline distT="0" distB="0" distL="0" distR="0" wp14:anchorId="7589ECEE" wp14:editId="5645432B">
            <wp:extent cx="5943600" cy="3838575"/>
            <wp:effectExtent l="0" t="0" r="0" b="0"/>
            <wp:docPr id="1" name="Picture 1" descr="bootstra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s.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1B1B1651" w14:textId="34BB1347" w:rsidR="007079AE" w:rsidRPr="007079AE" w:rsidRDefault="007079AE" w:rsidP="007079AE">
      <w:pPr>
        <w:rPr>
          <w:rFonts w:ascii="Times New Roman" w:hAnsi="Times New Roman" w:cs="Times New Roman"/>
        </w:rPr>
      </w:pPr>
      <w:r w:rsidRPr="007079AE">
        <w:rPr>
          <w:rFonts w:ascii="Times New Roman" w:hAnsi="Times New Roman" w:cs="Times New Roman"/>
          <w:i/>
        </w:rPr>
        <w:t>Figure S1</w:t>
      </w:r>
      <w:r>
        <w:rPr>
          <w:rFonts w:ascii="Times New Roman" w:hAnsi="Times New Roman" w:cs="Times New Roman"/>
          <w:i/>
        </w:rPr>
        <w:t>. Bootstrapping approach to miRNA classifier validation.</w:t>
      </w:r>
      <w:r>
        <w:rPr>
          <w:rFonts w:ascii="Times New Roman" w:hAnsi="Times New Roman" w:cs="Times New Roman"/>
        </w:rPr>
        <w:t xml:space="preserve"> miRNAs chosen more frequently in subsets of the data are more likely to generalize to an external sample, as they are less dependent on the exact structure of the training sample. </w:t>
      </w:r>
      <w:r w:rsidR="003C56E0">
        <w:rPr>
          <w:rFonts w:ascii="Times New Roman" w:hAnsi="Times New Roman" w:cs="Times New Roman"/>
        </w:rPr>
        <w:t>As such, we quantified frequency for each miRNA across 2000 random subsets containing 80% of subjects (Figure 1B). However, as t</w:t>
      </w:r>
      <w:r>
        <w:rPr>
          <w:rFonts w:ascii="Times New Roman" w:hAnsi="Times New Roman" w:cs="Times New Roman"/>
        </w:rPr>
        <w:t xml:space="preserve">his logic also holds true for </w:t>
      </w:r>
      <w:r w:rsidR="003C56E0">
        <w:rPr>
          <w:rFonts w:ascii="Times New Roman" w:hAnsi="Times New Roman" w:cs="Times New Roman"/>
        </w:rPr>
        <w:t xml:space="preserve">bootstrapped samples, we aimed to verify these findings by additionally quantifying the frequency for each miRNA across 2000 bootstrapped samples (i.e., samples of the same sample size as the true data that were randomly selected with replacement). We found highly substantively similar results leading to the same conclusion (i.e., exclusion of </w:t>
      </w:r>
      <w:r w:rsidR="00ED4843">
        <w:rPr>
          <w:rFonts w:ascii="Times New Roman" w:hAnsi="Times New Roman" w:cs="Times New Roman"/>
        </w:rPr>
        <w:t xml:space="preserve">the same </w:t>
      </w:r>
      <w:r w:rsidR="003C56E0">
        <w:rPr>
          <w:rFonts w:ascii="Times New Roman" w:hAnsi="Times New Roman" w:cs="Times New Roman"/>
        </w:rPr>
        <w:t xml:space="preserve">one miRNA from the original classifier) using this approach. </w:t>
      </w:r>
      <w:r w:rsidR="00C15504">
        <w:rPr>
          <w:rFonts w:ascii="Times New Roman" w:hAnsi="Times New Roman" w:cs="Times New Roman"/>
        </w:rPr>
        <w:t>The 25 most frequently selected miRNAs identified across analyses were displayed here and colored according to weather or not they were selected in the model using all data.</w:t>
      </w:r>
    </w:p>
    <w:p w14:paraId="7933DCBA" w14:textId="77777777" w:rsidR="007079AE" w:rsidRPr="007079AE" w:rsidRDefault="007079AE" w:rsidP="007079AE">
      <w:pPr>
        <w:rPr>
          <w:rFonts w:ascii="Times New Roman" w:hAnsi="Times New Roman" w:cs="Times New Roman"/>
          <w:b/>
        </w:rPr>
      </w:pPr>
    </w:p>
    <w:p w14:paraId="04B94266" w14:textId="5234F6FB" w:rsidR="00346BCE" w:rsidRPr="008C166C" w:rsidRDefault="00346BCE" w:rsidP="00E52B33">
      <w:pPr>
        <w:rPr>
          <w:rFonts w:ascii="Times New Roman" w:hAnsi="Times New Roman" w:cs="Times New Roman"/>
        </w:rPr>
      </w:pPr>
      <w:r w:rsidRPr="008C166C">
        <w:rPr>
          <w:rFonts w:ascii="Times New Roman" w:hAnsi="Times New Roman" w:cs="Times New Roman"/>
        </w:rPr>
        <w:br w:type="page"/>
      </w:r>
    </w:p>
    <w:p w14:paraId="1B3B0FF7" w14:textId="43E0269C" w:rsidR="00346BCE" w:rsidRPr="008C166C" w:rsidRDefault="00346BCE" w:rsidP="00E52B33">
      <w:pPr>
        <w:widowControl w:val="0"/>
        <w:autoSpaceDE w:val="0"/>
        <w:autoSpaceDN w:val="0"/>
        <w:adjustRightInd w:val="0"/>
        <w:ind w:left="480" w:hanging="480"/>
        <w:jc w:val="center"/>
        <w:outlineLvl w:val="0"/>
        <w:rPr>
          <w:rFonts w:ascii="Times New Roman" w:hAnsi="Times New Roman" w:cs="Times New Roman"/>
          <w:b/>
        </w:rPr>
      </w:pPr>
      <w:r w:rsidRPr="008C166C">
        <w:rPr>
          <w:rFonts w:ascii="Times New Roman" w:hAnsi="Times New Roman" w:cs="Times New Roman"/>
          <w:b/>
        </w:rPr>
        <w:t>References</w:t>
      </w:r>
    </w:p>
    <w:p w14:paraId="2882B7BD" w14:textId="0C28EF30" w:rsidR="00E6619C" w:rsidRPr="00E6619C" w:rsidRDefault="00346BCE" w:rsidP="00E6619C">
      <w:pPr>
        <w:widowControl w:val="0"/>
        <w:autoSpaceDE w:val="0"/>
        <w:autoSpaceDN w:val="0"/>
        <w:adjustRightInd w:val="0"/>
        <w:ind w:left="480" w:hanging="480"/>
        <w:rPr>
          <w:rFonts w:ascii="Times New Roman" w:hAnsi="Times New Roman" w:cs="Times New Roman"/>
          <w:noProof/>
        </w:rPr>
      </w:pPr>
      <w:r w:rsidRPr="008C166C">
        <w:rPr>
          <w:rFonts w:ascii="Times New Roman" w:hAnsi="Times New Roman" w:cs="Times New Roman"/>
        </w:rPr>
        <w:fldChar w:fldCharType="begin" w:fldLock="1"/>
      </w:r>
      <w:r w:rsidRPr="008C166C">
        <w:rPr>
          <w:rFonts w:ascii="Times New Roman" w:hAnsi="Times New Roman" w:cs="Times New Roman"/>
        </w:rPr>
        <w:instrText xml:space="preserve">ADDIN Mendeley Bibliography CSL_BIBLIOGRAPHY </w:instrText>
      </w:r>
      <w:r w:rsidRPr="008C166C">
        <w:rPr>
          <w:rFonts w:ascii="Times New Roman" w:hAnsi="Times New Roman" w:cs="Times New Roman"/>
        </w:rPr>
        <w:fldChar w:fldCharType="separate"/>
      </w:r>
      <w:r w:rsidR="00E6619C" w:rsidRPr="00E6619C">
        <w:rPr>
          <w:rFonts w:ascii="Times New Roman" w:hAnsi="Times New Roman" w:cs="Times New Roman"/>
          <w:noProof/>
        </w:rPr>
        <w:t xml:space="preserve">Cannon TD, Chung Y, He G, Sun D, Jacobson A, Erp TGM Van, </w:t>
      </w:r>
      <w:r w:rsidR="00E6619C" w:rsidRPr="00E6619C">
        <w:rPr>
          <w:rFonts w:ascii="Times New Roman" w:hAnsi="Times New Roman" w:cs="Times New Roman"/>
          <w:i/>
          <w:iCs/>
          <w:noProof/>
        </w:rPr>
        <w:t>et al</w:t>
      </w:r>
      <w:r w:rsidR="00E6619C" w:rsidRPr="00E6619C">
        <w:rPr>
          <w:rFonts w:ascii="Times New Roman" w:hAnsi="Times New Roman" w:cs="Times New Roman"/>
          <w:noProof/>
        </w:rPr>
        <w:t xml:space="preserve"> (2015). Progressive reduction in cortical thickness as psychosis develops: A multisite longitudinal neuroimaging study of youth at elevated clinical risk. </w:t>
      </w:r>
      <w:r w:rsidR="00E6619C" w:rsidRPr="00E6619C">
        <w:rPr>
          <w:rFonts w:ascii="Times New Roman" w:hAnsi="Times New Roman" w:cs="Times New Roman"/>
          <w:i/>
          <w:iCs/>
          <w:noProof/>
        </w:rPr>
        <w:t>Biol Psychiatry</w:t>
      </w:r>
      <w:r w:rsidR="00E6619C" w:rsidRPr="00E6619C">
        <w:rPr>
          <w:rFonts w:ascii="Times New Roman" w:hAnsi="Times New Roman" w:cs="Times New Roman"/>
          <w:noProof/>
        </w:rPr>
        <w:t xml:space="preserve"> </w:t>
      </w:r>
      <w:r w:rsidR="00E6619C" w:rsidRPr="00E6619C">
        <w:rPr>
          <w:rFonts w:ascii="Times New Roman" w:hAnsi="Times New Roman" w:cs="Times New Roman"/>
          <w:b/>
          <w:bCs/>
          <w:noProof/>
        </w:rPr>
        <w:t>77</w:t>
      </w:r>
      <w:r w:rsidR="00E6619C" w:rsidRPr="00E6619C">
        <w:rPr>
          <w:rFonts w:ascii="Times New Roman" w:hAnsi="Times New Roman" w:cs="Times New Roman"/>
          <w:noProof/>
        </w:rPr>
        <w:t>: 147–157.</w:t>
      </w:r>
    </w:p>
    <w:p w14:paraId="39CF893B" w14:textId="77777777" w:rsidR="00E6619C" w:rsidRPr="00E6619C" w:rsidRDefault="00E6619C" w:rsidP="00E6619C">
      <w:pPr>
        <w:widowControl w:val="0"/>
        <w:autoSpaceDE w:val="0"/>
        <w:autoSpaceDN w:val="0"/>
        <w:adjustRightInd w:val="0"/>
        <w:ind w:left="480" w:hanging="480"/>
        <w:rPr>
          <w:rFonts w:ascii="Times New Roman" w:hAnsi="Times New Roman" w:cs="Times New Roman"/>
          <w:noProof/>
        </w:rPr>
      </w:pPr>
      <w:r w:rsidRPr="00E6619C">
        <w:rPr>
          <w:rFonts w:ascii="Times New Roman" w:hAnsi="Times New Roman" w:cs="Times New Roman"/>
          <w:noProof/>
        </w:rPr>
        <w:t xml:space="preserve">Dillies MA, Rau A, Aubert J, Hennequet-Antier C, Jeanmougin M, Servant N, </w:t>
      </w:r>
      <w:r w:rsidRPr="00E6619C">
        <w:rPr>
          <w:rFonts w:ascii="Times New Roman" w:hAnsi="Times New Roman" w:cs="Times New Roman"/>
          <w:i/>
          <w:iCs/>
          <w:noProof/>
        </w:rPr>
        <w:t>et al</w:t>
      </w:r>
      <w:r w:rsidRPr="00E6619C">
        <w:rPr>
          <w:rFonts w:ascii="Times New Roman" w:hAnsi="Times New Roman" w:cs="Times New Roman"/>
          <w:noProof/>
        </w:rPr>
        <w:t xml:space="preserve"> (2013). A comprehensive evaluation of normalization methods for Illumina high-throughput RNA sequencing data analysis. </w:t>
      </w:r>
      <w:r w:rsidRPr="00E6619C">
        <w:rPr>
          <w:rFonts w:ascii="Times New Roman" w:hAnsi="Times New Roman" w:cs="Times New Roman"/>
          <w:i/>
          <w:iCs/>
          <w:noProof/>
        </w:rPr>
        <w:t>Brief Bioinform</w:t>
      </w:r>
      <w:r w:rsidRPr="00E6619C">
        <w:rPr>
          <w:rFonts w:ascii="Times New Roman" w:hAnsi="Times New Roman" w:cs="Times New Roman"/>
          <w:noProof/>
        </w:rPr>
        <w:t xml:space="preserve"> </w:t>
      </w:r>
      <w:r w:rsidRPr="00E6619C">
        <w:rPr>
          <w:rFonts w:ascii="Times New Roman" w:hAnsi="Times New Roman" w:cs="Times New Roman"/>
          <w:b/>
          <w:bCs/>
          <w:noProof/>
        </w:rPr>
        <w:t>14</w:t>
      </w:r>
      <w:r w:rsidRPr="00E6619C">
        <w:rPr>
          <w:rFonts w:ascii="Times New Roman" w:hAnsi="Times New Roman" w:cs="Times New Roman"/>
          <w:noProof/>
        </w:rPr>
        <w:t>: 671–683.</w:t>
      </w:r>
    </w:p>
    <w:p w14:paraId="69D05F6B" w14:textId="77777777" w:rsidR="00E6619C" w:rsidRPr="00E6619C" w:rsidRDefault="00E6619C" w:rsidP="00E6619C">
      <w:pPr>
        <w:widowControl w:val="0"/>
        <w:autoSpaceDE w:val="0"/>
        <w:autoSpaceDN w:val="0"/>
        <w:adjustRightInd w:val="0"/>
        <w:ind w:left="480" w:hanging="480"/>
        <w:rPr>
          <w:rFonts w:ascii="Times New Roman" w:hAnsi="Times New Roman" w:cs="Times New Roman"/>
          <w:noProof/>
        </w:rPr>
      </w:pPr>
      <w:r w:rsidRPr="00E6619C">
        <w:rPr>
          <w:rFonts w:ascii="Times New Roman" w:hAnsi="Times New Roman" w:cs="Times New Roman"/>
          <w:noProof/>
        </w:rPr>
        <w:t xml:space="preserve">Jeffries CD, Perkins DO, Chandler SD, Stark T, Addington J, Bearden CE, </w:t>
      </w:r>
      <w:r w:rsidRPr="00E6619C">
        <w:rPr>
          <w:rFonts w:ascii="Times New Roman" w:hAnsi="Times New Roman" w:cs="Times New Roman"/>
          <w:i/>
          <w:iCs/>
          <w:noProof/>
        </w:rPr>
        <w:t>et al</w:t>
      </w:r>
      <w:r w:rsidRPr="00E6619C">
        <w:rPr>
          <w:rFonts w:ascii="Times New Roman" w:hAnsi="Times New Roman" w:cs="Times New Roman"/>
          <w:noProof/>
        </w:rPr>
        <w:t xml:space="preserve"> Insights into Psychosis Risk from Leukocyte microRNA Expression. </w:t>
      </w:r>
      <w:r w:rsidRPr="00E6619C">
        <w:rPr>
          <w:rFonts w:ascii="Times New Roman" w:hAnsi="Times New Roman" w:cs="Times New Roman"/>
          <w:i/>
          <w:iCs/>
          <w:noProof/>
        </w:rPr>
        <w:t>Transl Psychiatry</w:t>
      </w:r>
      <w:r w:rsidRPr="00E6619C">
        <w:rPr>
          <w:rFonts w:ascii="Times New Roman" w:hAnsi="Times New Roman" w:cs="Times New Roman"/>
          <w:noProof/>
        </w:rPr>
        <w:t xml:space="preserve"> .</w:t>
      </w:r>
    </w:p>
    <w:p w14:paraId="79E9748B" w14:textId="77777777" w:rsidR="00E6619C" w:rsidRPr="00E6619C" w:rsidRDefault="00E6619C" w:rsidP="00E6619C">
      <w:pPr>
        <w:widowControl w:val="0"/>
        <w:autoSpaceDE w:val="0"/>
        <w:autoSpaceDN w:val="0"/>
        <w:adjustRightInd w:val="0"/>
        <w:ind w:left="480" w:hanging="480"/>
        <w:rPr>
          <w:rFonts w:ascii="Times New Roman" w:hAnsi="Times New Roman" w:cs="Times New Roman"/>
          <w:noProof/>
        </w:rPr>
      </w:pPr>
      <w:r w:rsidRPr="00E6619C">
        <w:rPr>
          <w:rFonts w:ascii="Times New Roman" w:hAnsi="Times New Roman" w:cs="Times New Roman"/>
          <w:noProof/>
        </w:rPr>
        <w:t xml:space="preserve">McGlashan TH, Walsh BC, Woods SW (Oxford University Press: Oxford, 2010). </w:t>
      </w:r>
      <w:r w:rsidRPr="00E6619C">
        <w:rPr>
          <w:rFonts w:ascii="Times New Roman" w:hAnsi="Times New Roman" w:cs="Times New Roman"/>
          <w:i/>
          <w:iCs/>
          <w:noProof/>
        </w:rPr>
        <w:t>The Psychosis-Risk Syndrome: Handbook for Diagnosis and Follow-up</w:t>
      </w:r>
      <w:r w:rsidRPr="00E6619C">
        <w:rPr>
          <w:rFonts w:ascii="Times New Roman" w:hAnsi="Times New Roman" w:cs="Times New Roman"/>
          <w:noProof/>
        </w:rPr>
        <w:t>. .</w:t>
      </w:r>
    </w:p>
    <w:p w14:paraId="54F3D04D" w14:textId="3CEC8095" w:rsidR="00346BCE" w:rsidRPr="008C166C" w:rsidRDefault="00346BCE" w:rsidP="00E6619C">
      <w:pPr>
        <w:widowControl w:val="0"/>
        <w:autoSpaceDE w:val="0"/>
        <w:autoSpaceDN w:val="0"/>
        <w:adjustRightInd w:val="0"/>
        <w:ind w:left="640" w:hanging="640"/>
        <w:rPr>
          <w:rFonts w:ascii="Times New Roman" w:hAnsi="Times New Roman" w:cs="Times New Roman"/>
        </w:rPr>
      </w:pPr>
      <w:r w:rsidRPr="008C166C">
        <w:rPr>
          <w:rFonts w:ascii="Times New Roman" w:hAnsi="Times New Roman" w:cs="Times New Roman"/>
        </w:rPr>
        <w:fldChar w:fldCharType="end"/>
      </w:r>
    </w:p>
    <w:sectPr w:rsidR="00346BCE" w:rsidRPr="008C166C" w:rsidSect="004B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3E"/>
    <w:rsid w:val="00013E68"/>
    <w:rsid w:val="00032039"/>
    <w:rsid w:val="000360D6"/>
    <w:rsid w:val="000364E1"/>
    <w:rsid w:val="000366D4"/>
    <w:rsid w:val="00040912"/>
    <w:rsid w:val="000939D4"/>
    <w:rsid w:val="000F4220"/>
    <w:rsid w:val="00115283"/>
    <w:rsid w:val="00117856"/>
    <w:rsid w:val="00151F2D"/>
    <w:rsid w:val="0017492B"/>
    <w:rsid w:val="001D2DD9"/>
    <w:rsid w:val="001E4C19"/>
    <w:rsid w:val="00205A45"/>
    <w:rsid w:val="00242951"/>
    <w:rsid w:val="00255590"/>
    <w:rsid w:val="002D6A18"/>
    <w:rsid w:val="002F674E"/>
    <w:rsid w:val="00313838"/>
    <w:rsid w:val="00320955"/>
    <w:rsid w:val="00346BCE"/>
    <w:rsid w:val="003513E1"/>
    <w:rsid w:val="00364D04"/>
    <w:rsid w:val="003B6A0B"/>
    <w:rsid w:val="003B6E50"/>
    <w:rsid w:val="003C56E0"/>
    <w:rsid w:val="003E05A9"/>
    <w:rsid w:val="003E21B0"/>
    <w:rsid w:val="00424508"/>
    <w:rsid w:val="00425A58"/>
    <w:rsid w:val="00452786"/>
    <w:rsid w:val="004B34E3"/>
    <w:rsid w:val="004F0FC3"/>
    <w:rsid w:val="00517B1E"/>
    <w:rsid w:val="005A0CF9"/>
    <w:rsid w:val="005B0AAB"/>
    <w:rsid w:val="00610CFA"/>
    <w:rsid w:val="00647449"/>
    <w:rsid w:val="006633EB"/>
    <w:rsid w:val="0066513E"/>
    <w:rsid w:val="00673A95"/>
    <w:rsid w:val="006A5BCF"/>
    <w:rsid w:val="006C217A"/>
    <w:rsid w:val="006D1C85"/>
    <w:rsid w:val="006E70E4"/>
    <w:rsid w:val="006F1DED"/>
    <w:rsid w:val="007079AE"/>
    <w:rsid w:val="00764875"/>
    <w:rsid w:val="007B51EA"/>
    <w:rsid w:val="007C0D35"/>
    <w:rsid w:val="007D6190"/>
    <w:rsid w:val="007E57A5"/>
    <w:rsid w:val="007F30B9"/>
    <w:rsid w:val="00824DF5"/>
    <w:rsid w:val="00840249"/>
    <w:rsid w:val="00881686"/>
    <w:rsid w:val="00895B21"/>
    <w:rsid w:val="008968B1"/>
    <w:rsid w:val="008C166C"/>
    <w:rsid w:val="009128DD"/>
    <w:rsid w:val="00925DC6"/>
    <w:rsid w:val="0095023F"/>
    <w:rsid w:val="00957FEF"/>
    <w:rsid w:val="009603CD"/>
    <w:rsid w:val="009755E4"/>
    <w:rsid w:val="00984B75"/>
    <w:rsid w:val="009C5E41"/>
    <w:rsid w:val="009C7FF9"/>
    <w:rsid w:val="009E3229"/>
    <w:rsid w:val="00A15C37"/>
    <w:rsid w:val="00A57784"/>
    <w:rsid w:val="00A63F42"/>
    <w:rsid w:val="00A64FE5"/>
    <w:rsid w:val="00AA29F8"/>
    <w:rsid w:val="00AA4C3C"/>
    <w:rsid w:val="00AC799A"/>
    <w:rsid w:val="00B00B0E"/>
    <w:rsid w:val="00B01871"/>
    <w:rsid w:val="00B0269F"/>
    <w:rsid w:val="00B22F5E"/>
    <w:rsid w:val="00B332D5"/>
    <w:rsid w:val="00B61C63"/>
    <w:rsid w:val="00B66ABD"/>
    <w:rsid w:val="00B759BE"/>
    <w:rsid w:val="00B85292"/>
    <w:rsid w:val="00BA5745"/>
    <w:rsid w:val="00BD6D12"/>
    <w:rsid w:val="00C04169"/>
    <w:rsid w:val="00C15504"/>
    <w:rsid w:val="00C15ADD"/>
    <w:rsid w:val="00C256EA"/>
    <w:rsid w:val="00C33EBA"/>
    <w:rsid w:val="00C464F7"/>
    <w:rsid w:val="00C46CAA"/>
    <w:rsid w:val="00C46E6A"/>
    <w:rsid w:val="00C47270"/>
    <w:rsid w:val="00C751EC"/>
    <w:rsid w:val="00C80124"/>
    <w:rsid w:val="00C954E5"/>
    <w:rsid w:val="00CA7404"/>
    <w:rsid w:val="00CC1E28"/>
    <w:rsid w:val="00CD2D67"/>
    <w:rsid w:val="00CE14B7"/>
    <w:rsid w:val="00CE5379"/>
    <w:rsid w:val="00CF48F0"/>
    <w:rsid w:val="00D17F65"/>
    <w:rsid w:val="00D46313"/>
    <w:rsid w:val="00D950EA"/>
    <w:rsid w:val="00DD35D4"/>
    <w:rsid w:val="00DE3125"/>
    <w:rsid w:val="00DE6577"/>
    <w:rsid w:val="00DF6258"/>
    <w:rsid w:val="00E00683"/>
    <w:rsid w:val="00E00CE8"/>
    <w:rsid w:val="00E47F1F"/>
    <w:rsid w:val="00E52B33"/>
    <w:rsid w:val="00E65649"/>
    <w:rsid w:val="00E656E8"/>
    <w:rsid w:val="00E6619C"/>
    <w:rsid w:val="00E87E77"/>
    <w:rsid w:val="00EA5260"/>
    <w:rsid w:val="00EB6F79"/>
    <w:rsid w:val="00ED4843"/>
    <w:rsid w:val="00EE2F75"/>
    <w:rsid w:val="00EF1DA7"/>
    <w:rsid w:val="00EF7E12"/>
    <w:rsid w:val="00F277EB"/>
    <w:rsid w:val="00F44585"/>
    <w:rsid w:val="00F4554C"/>
    <w:rsid w:val="00F67C88"/>
    <w:rsid w:val="00F8142E"/>
    <w:rsid w:val="00FE1A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D2050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5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17492B"/>
    <w:pPr>
      <w:spacing w:before="100" w:beforeAutospacing="1" w:after="100" w:afterAutospacing="1"/>
    </w:pPr>
    <w:rPr>
      <w:rFonts w:ascii="Times New Roman" w:eastAsia="Times New Roman" w:hAnsi="Times New Roman" w:cs="Times New Roman"/>
      <w:lang w:eastAsia="en-US"/>
    </w:rPr>
  </w:style>
  <w:style w:type="table" w:styleId="TableGrid">
    <w:name w:val="Table Grid"/>
    <w:basedOn w:val="TableNormal"/>
    <w:uiPriority w:val="39"/>
    <w:rsid w:val="00C46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E57A5"/>
    <w:rPr>
      <w:rFonts w:ascii="Times New Roman" w:hAnsi="Times New Roman" w:cs="Times New Roman"/>
    </w:rPr>
  </w:style>
  <w:style w:type="character" w:customStyle="1" w:styleId="DocumentMapChar">
    <w:name w:val="Document Map Char"/>
    <w:basedOn w:val="DefaultParagraphFont"/>
    <w:link w:val="DocumentMap"/>
    <w:uiPriority w:val="99"/>
    <w:semiHidden/>
    <w:rsid w:val="007E57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5632</Words>
  <Characters>32105</Characters>
  <Application>Microsoft Macintosh Word</Application>
  <DocSecurity>0</DocSecurity>
  <Lines>267</Lines>
  <Paragraphs>75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Supplemental Information:</vt:lpstr>
      <vt:lpstr>The role of microRNA expression in cortical development during conversion to psy</vt:lpstr>
      <vt:lpstr>Table S1</vt:lpstr>
      <vt:lpstr>Symptom, Medication, and Substance Use Information						</vt:lpstr>
      <vt:lpstr>References</vt:lpstr>
    </vt:vector>
  </TitlesOfParts>
  <LinksUpToDate>false</LinksUpToDate>
  <CharactersWithSpaces>37662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Zheutlin, Amanda</dc:creator>
  <cp:keywords/>
  <dc:description/>
  <cp:lastModifiedBy>Zheutlin, Amanda</cp:lastModifiedBy>
  <cp:revision>2</cp:revision>
  <dcterms:created xsi:type="dcterms:W3CDTF">2017-08-28T16:12:00Z</dcterms:created>
  <dcterms:modified xsi:type="dcterms:W3CDTF">2017-08-28T16:12:00Z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http://www.zotero.org/styles/neuropsychopharmacology</vt:lpwstr>
  </property>
  <property fmtid="{D5CDD505-2E9C-101B-9397-08002B2CF9AE}" pid="4" name="Mendeley Unique User Id_1">
    <vt:lpwstr>91266f11-d85b-3b06-8d22-5912d50509c3</vt:lpwstr>
  </property>
</Properties>
</file>