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b/>
          <w:i w:val="0"/>
          <w:color w:val="000000"/>
          <w:sz w:val="32"/>
        </w:rPr>
        <w:t>SYNOPSIS</w:t>
      </w:r>
    </w:p>
    <w:p>
      <w:pPr>
        <w:spacing w:before="0" w:after="240" w:line="240" w:lineRule="auto"/>
        <w:jc w:val="center"/>
      </w:pPr>
      <w:r>
        <w:rPr>
          <w:rFonts w:ascii="Times New Roman" w:hAnsi="Times New Roman"/>
          <w:b/>
          <w:i/>
          <w:color w:val="000000"/>
          <w:sz w:val="28"/>
        </w:rPr>
        <w:t>on</w:t>
      </w:r>
    </w:p>
    <w:p>
      <w:pPr>
        <w:spacing w:before="0" w:after="360" w:line="240" w:lineRule="auto"/>
        <w:jc w:val="center"/>
      </w:pPr>
      <w:r>
        <w:rPr>
          <w:rFonts w:ascii="Times New Roman" w:hAnsi="Times New Roman"/>
          <w:b/>
          <w:i w:val="0"/>
          <w:color w:val="000000"/>
          <w:sz w:val="32"/>
        </w:rPr>
        <w:t>MediPulse AI: Multimodal Health Report Analysis and Predictive Biomarker Risk Warning System</w:t>
      </w:r>
    </w:p>
    <w:p>
      <w:pPr>
        <w:spacing w:before="0" w:after="480" w:line="240" w:lineRule="auto"/>
        <w:jc w:val="center"/>
      </w:pPr>
      <w:r>
        <w:rPr>
          <w:rFonts w:ascii="Times New Roman" w:hAnsi="Times New Roman"/>
          <w:b w:val="0"/>
          <w:i w:val="0"/>
          <w:color w:val="000000"/>
          <w:sz w:val="24"/>
        </w:rPr>
        <w:t>Co-Op project at Industry (Module-1)</w:t>
      </w:r>
    </w:p>
    <w:p>
      <w:pPr>
        <w:spacing w:before="0" w:after="160" w:line="240" w:lineRule="auto"/>
        <w:jc w:val="center"/>
      </w:pPr>
      <w:r>
        <w:rPr>
          <w:rFonts w:ascii="Times New Roman" w:hAnsi="Times New Roman"/>
          <w:b w:val="0"/>
          <w:i w:val="0"/>
          <w:color w:val="000000"/>
          <w:sz w:val="24"/>
        </w:rPr>
        <w:t>Submitted by</w:t>
      </w:r>
    </w:p>
    <w:p>
      <w:pPr>
        <w:spacing w:before="0" w:after="80" w:line="240" w:lineRule="auto"/>
        <w:jc w:val="center"/>
      </w:pPr>
      <w:r>
        <w:rPr>
          <w:rFonts w:ascii="Times New Roman" w:hAnsi="Times New Roman"/>
          <w:b/>
          <w:i w:val="0"/>
          <w:color w:val="000000"/>
          <w:sz w:val="28"/>
        </w:rPr>
        <w:t>Amandeep Singh (22AI026)</w:t>
      </w:r>
    </w:p>
    <w:p>
      <w:pPr>
        <w:spacing w:before="0" w:after="80" w:line="240" w:lineRule="auto"/>
        <w:jc w:val="center"/>
      </w:pPr>
      <w:r>
        <w:rPr>
          <w:rFonts w:ascii="Times New Roman" w:hAnsi="Times New Roman"/>
          <w:b/>
          <w:i w:val="0"/>
          <w:color w:val="000000"/>
          <w:sz w:val="28"/>
        </w:rPr>
        <w:t>Batch : B2023</w:t>
      </w:r>
    </w:p>
    <w:p>
      <w:pPr>
        <w:spacing w:before="0" w:after="360" w:line="240" w:lineRule="auto"/>
        <w:jc w:val="center"/>
      </w:pPr>
      <w:r>
        <w:rPr>
          <w:rFonts w:ascii="Times New Roman" w:hAnsi="Times New Roman"/>
          <w:b/>
          <w:i w:val="0"/>
          <w:color w:val="000000"/>
          <w:sz w:val="28"/>
        </w:rPr>
        <w:t>Semester : 7th</w:t>
      </w:r>
    </w:p>
    <w:p>
      <w:pPr>
        <w:spacing w:before="0" w:after="40" w:line="240" w:lineRule="auto"/>
        <w:jc w:val="center"/>
      </w:pPr>
      <w:r>
        <w:rPr>
          <w:rFonts w:ascii="Times New Roman" w:hAnsi="Times New Roman"/>
          <w:b/>
          <w:i w:val="0"/>
          <w:color w:val="000000"/>
          <w:sz w:val="28"/>
        </w:rPr>
        <w:t>Bachelor of Engineering- Computer Science &amp; Engineering</w:t>
      </w:r>
    </w:p>
    <w:p>
      <w:pPr>
        <w:spacing w:before="0" w:after="480" w:line="240" w:lineRule="auto"/>
        <w:jc w:val="center"/>
      </w:pPr>
      <w:r>
        <w:rPr>
          <w:rFonts w:ascii="Times New Roman" w:hAnsi="Times New Roman"/>
          <w:b/>
          <w:i w:val="0"/>
          <w:color w:val="000000"/>
          <w:sz w:val="28"/>
        </w:rPr>
        <w:t>(Artificial Intelligence)</w:t>
      </w:r>
    </w:p>
    <w:p>
      <w:pPr>
        <w:spacing w:before="0" w:after="80" w:line="240" w:lineRule="auto"/>
        <w:jc w:val="center"/>
      </w:pPr>
      <w:r>
        <w:rPr>
          <w:rFonts w:ascii="Times New Roman" w:hAnsi="Times New Roman"/>
          <w:b/>
          <w:i/>
          <w:color w:val="000000"/>
          <w:sz w:val="24"/>
        </w:rPr>
        <w:t>Guided by</w:t>
      </w:r>
    </w:p>
    <w:p>
      <w:pPr>
        <w:spacing w:before="0" w:after="560" w:line="240" w:lineRule="auto"/>
        <w:jc w:val="center"/>
      </w:pPr>
      <w:r>
        <w:rPr>
          <w:rFonts w:ascii="Times New Roman" w:hAnsi="Times New Roman"/>
          <w:b/>
          <w:i w:val="0"/>
          <w:color w:val="000000"/>
          <w:sz w:val="28"/>
        </w:rPr>
        <w:t>Dr. Manu Midha</w:t>
      </w:r>
    </w:p>
    <w:p>
      <w:pPr>
        <w:spacing w:before="0" w:after="40" w:line="240" w:lineRule="auto"/>
        <w:jc w:val="center"/>
      </w:pPr>
      <w:r>
        <w:rPr>
          <w:rFonts w:ascii="Times New Roman" w:hAnsi="Times New Roman"/>
          <w:b/>
          <w:i w:val="0"/>
          <w:color w:val="000000"/>
          <w:sz w:val="24"/>
        </w:rPr>
        <w:t>CHITKARA UNIVERSITY INSTITUTE OF ENGINEERING &amp; TECHNOLOGY</w:t>
      </w:r>
    </w:p>
    <w:p>
      <w:pPr>
        <w:spacing w:before="0" w:after="120" w:line="240" w:lineRule="auto"/>
        <w:jc w:val="center"/>
      </w:pPr>
      <w:r>
        <w:rPr>
          <w:rFonts w:ascii="Times New Roman" w:hAnsi="Times New Roman"/>
          <w:b/>
          <w:i w:val="0"/>
          <w:color w:val="000000"/>
          <w:sz w:val="24"/>
        </w:rPr>
        <w:t>CHITKARA UNIVERSITY, RAJPURA</w:t>
      </w:r>
    </w:p>
    <w:p>
      <w:pPr>
        <w:spacing w:before="0" w:after="0" w:line="240" w:lineRule="auto"/>
        <w:jc w:val="center"/>
      </w:pPr>
      <w:r>
        <w:rPr>
          <w:rFonts w:ascii="Times New Roman" w:hAnsi="Times New Roman"/>
          <w:b/>
          <w:i w:val="0"/>
          <w:color w:val="000000"/>
          <w:sz w:val="24"/>
        </w:rPr>
        <w:t>July 2026</w:t>
      </w:r>
    </w:p>
    <w:p>
      <w:r>
        <w:br w:type="page"/>
      </w:r>
    </w:p>
    <w:p>
      <w:pPr>
        <w:spacing w:before="240" w:after="240" w:line="240" w:lineRule="auto"/>
        <w:jc w:val="left"/>
      </w:pPr>
      <w:r>
        <w:rPr>
          <w:rFonts w:ascii="Times New Roman" w:hAnsi="Times New Roman"/>
          <w:b/>
          <w:i w:val="0"/>
          <w:color w:val="000000"/>
          <w:sz w:val="28"/>
        </w:rPr>
        <w:t>Table of Contents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920"/>
          </w:tcPr>
          <w:p>
            <w:pPr>
              <w:spacing w:before="40" w:after="80" w:line="240" w:lineRule="auto"/>
              <w:jc w:val="left"/>
            </w:pPr>
            <w:r>
              <w:rPr>
                <w:rFonts w:ascii="Times New Roman" w:hAnsi="Times New Roman"/>
                <w:sz w:val="24"/>
              </w:rPr>
              <w:t>1. Introduction</w:t>
            </w:r>
          </w:p>
        </w:tc>
        <w:tc>
          <w:tcPr>
            <w:tcW w:type="dxa" w:w="1440"/>
          </w:tcPr>
          <w:p>
            <w:pPr>
              <w:spacing w:before="40" w:after="80" w:line="240" w:lineRule="auto"/>
              <w:jc w:val="right"/>
            </w:pPr>
            <w:r>
              <w:rPr>
                <w:rFonts w:ascii="Times New Roman" w:hAnsi="Times New Roman"/>
                <w:sz w:val="24"/>
              </w:rPr>
              <w:t>1</w:t>
            </w:r>
          </w:p>
        </w:tc>
      </w:tr>
      <w:tr>
        <w:tc>
          <w:tcPr>
            <w:tcW w:type="dxa" w:w="7920"/>
          </w:tcPr>
          <w:p>
            <w:pPr>
              <w:spacing w:before="40" w:after="80" w:line="240" w:lineRule="auto"/>
              <w:jc w:val="left"/>
            </w:pPr>
            <w:r>
              <w:rPr>
                <w:rFonts w:ascii="Times New Roman" w:hAnsi="Times New Roman"/>
                <w:sz w:val="24"/>
              </w:rPr>
              <w:t>2. Problem Formulation</w:t>
            </w:r>
          </w:p>
        </w:tc>
        <w:tc>
          <w:tcPr>
            <w:tcW w:type="dxa" w:w="1440"/>
          </w:tcPr>
          <w:p>
            <w:pPr>
              <w:spacing w:before="40" w:after="80" w:line="240" w:lineRule="auto"/>
              <w:jc w:val="right"/>
            </w:pPr>
            <w:r>
              <w:rPr>
                <w:rFonts w:ascii="Times New Roman" w:hAnsi="Times New Roman"/>
                <w:sz w:val="24"/>
              </w:rPr>
              <w:t>2</w:t>
            </w:r>
          </w:p>
        </w:tc>
      </w:tr>
      <w:tr>
        <w:tc>
          <w:tcPr>
            <w:tcW w:type="dxa" w:w="7920"/>
          </w:tcPr>
          <w:p>
            <w:pPr>
              <w:spacing w:before="40" w:after="80" w:line="240" w:lineRule="auto"/>
              <w:jc w:val="left"/>
            </w:pPr>
            <w:r>
              <w:rPr>
                <w:rFonts w:ascii="Times New Roman" w:hAnsi="Times New Roman"/>
                <w:sz w:val="24"/>
              </w:rPr>
              <w:t>3. Proposed Solution / Methodology</w:t>
            </w:r>
          </w:p>
        </w:tc>
        <w:tc>
          <w:tcPr>
            <w:tcW w:type="dxa" w:w="1440"/>
          </w:tcPr>
          <w:p>
            <w:pPr>
              <w:spacing w:before="40" w:after="80" w:line="240" w:lineRule="auto"/>
              <w:jc w:val="right"/>
            </w:pPr>
            <w:r>
              <w:rPr>
                <w:rFonts w:ascii="Times New Roman" w:hAnsi="Times New Roman"/>
                <w:sz w:val="24"/>
              </w:rPr>
              <w:t>3</w:t>
            </w:r>
          </w:p>
        </w:tc>
      </w:tr>
      <w:tr>
        <w:tc>
          <w:tcPr>
            <w:tcW w:type="dxa" w:w="7920"/>
          </w:tcPr>
          <w:p>
            <w:pPr>
              <w:spacing w:before="40" w:after="80" w:line="240" w:lineRule="auto"/>
              <w:jc w:val="left"/>
            </w:pPr>
            <w:r>
              <w:rPr>
                <w:rFonts w:ascii="Times New Roman" w:hAnsi="Times New Roman"/>
                <w:sz w:val="24"/>
              </w:rPr>
              <w:t>4. Flowchart</w:t>
            </w:r>
          </w:p>
        </w:tc>
        <w:tc>
          <w:tcPr>
            <w:tcW w:type="dxa" w:w="1440"/>
          </w:tcPr>
          <w:p>
            <w:pPr>
              <w:spacing w:before="40" w:after="80" w:line="240" w:lineRule="auto"/>
              <w:jc w:val="right"/>
            </w:pPr>
            <w:r>
              <w:rPr>
                <w:rFonts w:ascii="Times New Roman" w:hAnsi="Times New Roman"/>
                <w:sz w:val="24"/>
              </w:rPr>
              <w:t>5</w:t>
            </w:r>
          </w:p>
        </w:tc>
      </w:tr>
      <w:tr>
        <w:tc>
          <w:tcPr>
            <w:tcW w:type="dxa" w:w="7920"/>
          </w:tcPr>
          <w:p>
            <w:pPr>
              <w:spacing w:before="40" w:after="80" w:line="240" w:lineRule="auto"/>
              <w:jc w:val="left"/>
            </w:pPr>
            <w:r>
              <w:rPr>
                <w:rFonts w:ascii="Times New Roman" w:hAnsi="Times New Roman"/>
                <w:sz w:val="24"/>
              </w:rPr>
              <w:t>5. References</w:t>
            </w:r>
          </w:p>
        </w:tc>
        <w:tc>
          <w:tcPr>
            <w:tcW w:type="dxa" w:w="1440"/>
          </w:tcPr>
          <w:p>
            <w:pPr>
              <w:spacing w:before="40" w:after="80" w:line="240" w:lineRule="auto"/>
              <w:jc w:val="right"/>
            </w:pPr>
            <w:r>
              <w:rPr>
                <w:rFonts w:ascii="Times New Roman" w:hAnsi="Times New Roman"/>
                <w:sz w:val="24"/>
              </w:rPr>
              <w:t>6</w:t>
            </w:r>
          </w:p>
        </w:tc>
      </w:tr>
    </w:tbl>
    <w:p>
      <w:pPr>
        <w:spacing w:before="0" w:after="360" w:line="240" w:lineRule="auto"/>
        <w:jc w:val="left"/>
      </w:pPr>
    </w:p>
    <w:p>
      <w:r>
        <w:br w:type="page"/>
      </w:r>
    </w:p>
    <w:p>
      <w:pPr>
        <w:spacing w:before="240" w:after="160" w:line="240" w:lineRule="auto"/>
        <w:jc w:val="left"/>
      </w:pPr>
      <w:r>
        <w:rPr>
          <w:rFonts w:ascii="Times New Roman" w:hAnsi="Times New Roman"/>
          <w:b/>
          <w:i w:val="0"/>
          <w:color w:val="000000"/>
          <w:sz w:val="28"/>
        </w:rPr>
        <w:t>1. Introduction</w:t>
      </w:r>
    </w:p>
    <w:p>
      <w:pPr>
        <w:spacing w:before="0" w:after="160" w:line="240" w:lineRule="auto"/>
        <w:ind w:firstLine="720"/>
        <w:jc w:val="both"/>
      </w:pPr>
      <w:r>
        <w:rPr>
          <w:rFonts w:ascii="Times New Roman" w:hAnsi="Times New Roman"/>
          <w:b w:val="0"/>
          <w:i w:val="0"/>
          <w:color w:val="000000"/>
          <w:sz w:val="24"/>
        </w:rPr>
        <w:t>In modern preventive healthcare, laboratory diagnostic reports (such as Complete Blood Counts, Lipid Profiles, Comprehensive Metabolic Panels, and Thyroid Panels) serve as the primary indicator for diagnosing chronic and acute health conditions. However, patients regularly receive these diagnostic results as unstructured, static PDF files or printed physical papers containing dense medical terminology, technical abbreviations, and numeric ranges.</w:t>
      </w:r>
    </w:p>
    <w:p>
      <w:pPr>
        <w:spacing w:before="0" w:after="160" w:line="240" w:lineRule="auto"/>
        <w:ind w:firstLine="720"/>
        <w:jc w:val="both"/>
      </w:pPr>
      <w:r>
        <w:rPr>
          <w:rFonts w:ascii="Times New Roman" w:hAnsi="Times New Roman"/>
          <w:b w:val="0"/>
          <w:i w:val="0"/>
          <w:color w:val="000000"/>
          <w:sz w:val="24"/>
        </w:rPr>
        <w:t>MediPulse AI is an intelligent personal health analytics and early warning platform designed to bridge the gap between complex diagnostic laboratory data and patient comprehension. By combining Multimodal Large Language Models (LLMs), Computer Vision OCR (Optical Character Recognition), and time-series biometric tracking, the platform automates the extraction of key health markers from uploaded lab documents.</w:t>
      </w:r>
    </w:p>
    <w:p>
      <w:pPr>
        <w:spacing w:before="0" w:after="360" w:line="240" w:lineRule="auto"/>
        <w:ind w:firstLine="720"/>
        <w:jc w:val="both"/>
      </w:pPr>
      <w:r>
        <w:rPr>
          <w:rFonts w:ascii="Times New Roman" w:hAnsi="Times New Roman"/>
          <w:b w:val="0"/>
          <w:i w:val="0"/>
          <w:color w:val="000000"/>
          <w:sz w:val="24"/>
        </w:rPr>
        <w:t>The system standardizes extracted lab values across multiple historical reports to build a unified health trajectory dashboard. Beyond static interpretation, MediPulse AI integrates a predictive risk engine that monitors metric trajectories over time (e.g., progressive glucose elevation or declining hemoglobin levels), provides proactive early warning alerts for potential health risks, correlates user-reported physical symptoms with lab findings, and suggests appropriate medical specialists for timely consultation.</w:t>
      </w:r>
    </w:p>
    <w:p>
      <w:pPr>
        <w:spacing w:before="240" w:after="160" w:line="240" w:lineRule="auto"/>
        <w:jc w:val="left"/>
      </w:pPr>
      <w:r>
        <w:rPr>
          <w:rFonts w:ascii="Times New Roman" w:hAnsi="Times New Roman"/>
          <w:b/>
          <w:i w:val="0"/>
          <w:color w:val="000000"/>
          <w:sz w:val="28"/>
        </w:rPr>
        <w:t>2. Problem Formulation</w:t>
      </w:r>
    </w:p>
    <w:p>
      <w:pPr>
        <w:spacing w:before="0" w:after="160" w:line="240" w:lineRule="auto"/>
        <w:ind w:firstLine="720"/>
        <w:jc w:val="both"/>
      </w:pPr>
      <w:r>
        <w:rPr>
          <w:rFonts w:ascii="Times New Roman" w:hAnsi="Times New Roman"/>
          <w:b w:val="0"/>
          <w:i w:val="0"/>
          <w:color w:val="000000"/>
          <w:sz w:val="24"/>
        </w:rPr>
        <w:t>Despite significant advances in digital health software, personal diagnostic record management faces several critical limitations:</w:t>
      </w:r>
    </w:p>
    <w:p>
      <w:pPr>
        <w:spacing w:after="120" w:line="240" w:lineRule="auto"/>
        <w:ind w:left="576"/>
        <w:jc w:val="both"/>
      </w:pPr>
      <w:r>
        <w:rPr>
          <w:rFonts w:ascii="Times New Roman" w:hAnsi="Times New Roman"/>
          <w:b/>
          <w:sz w:val="24"/>
        </w:rPr>
        <w:t xml:space="preserve">• </w:t>
      </w:r>
      <w:r>
        <w:rPr>
          <w:rFonts w:ascii="Times New Roman" w:hAnsi="Times New Roman"/>
          <w:b/>
          <w:sz w:val="24"/>
        </w:rPr>
        <w:t xml:space="preserve">Lack of Longitudinal Biomarker Tracking: </w:t>
      </w:r>
      <w:r>
        <w:rPr>
          <w:rFonts w:ascii="Times New Roman" w:hAnsi="Times New Roman"/>
          <w:sz w:val="24"/>
        </w:rPr>
        <w:t>Traditional laboratory reports only provide a single point-in-time snapshot. Patients rarely track subtle upward or downward metric trends over 6 to 24 months (e.g., gradual HbA1c elevation into pre-diabetic ranges), missing crucial opportunities for early preventive intervention.</w:t>
      </w:r>
    </w:p>
    <w:p>
      <w:pPr>
        <w:spacing w:after="120" w:line="240" w:lineRule="auto"/>
        <w:ind w:left="576"/>
        <w:jc w:val="both"/>
      </w:pPr>
      <w:r>
        <w:rPr>
          <w:rFonts w:ascii="Times New Roman" w:hAnsi="Times New Roman"/>
          <w:b/>
          <w:sz w:val="24"/>
        </w:rPr>
        <w:t xml:space="preserve">• </w:t>
      </w:r>
      <w:r>
        <w:rPr>
          <w:rFonts w:ascii="Times New Roman" w:hAnsi="Times New Roman"/>
          <w:b/>
          <w:sz w:val="24"/>
        </w:rPr>
        <w:t xml:space="preserve">Medical Jargon &amp; Comprehension Barrier: </w:t>
      </w:r>
      <w:r>
        <w:rPr>
          <w:rFonts w:ascii="Times New Roman" w:hAnsi="Times New Roman"/>
          <w:sz w:val="24"/>
        </w:rPr>
        <w:t>Non-medical individuals frequently struggle to interpret laboratory jargon, reference intervals, and unit conversions (e.g., mg/dL vs. mmol/L), leading to either undue health anxiety or complete oversight of abnormal results.</w:t>
      </w:r>
    </w:p>
    <w:p>
      <w:pPr>
        <w:spacing w:after="120" w:line="240" w:lineRule="auto"/>
        <w:ind w:left="576"/>
        <w:jc w:val="both"/>
      </w:pPr>
      <w:r>
        <w:rPr>
          <w:rFonts w:ascii="Times New Roman" w:hAnsi="Times New Roman"/>
          <w:b/>
          <w:sz w:val="24"/>
        </w:rPr>
        <w:t xml:space="preserve">• </w:t>
      </w:r>
      <w:r>
        <w:rPr>
          <w:rFonts w:ascii="Times New Roman" w:hAnsi="Times New Roman"/>
          <w:b/>
          <w:sz w:val="24"/>
        </w:rPr>
        <w:t xml:space="preserve">Unstructured Data Silos: </w:t>
      </w:r>
      <w:r>
        <w:rPr>
          <w:rFonts w:ascii="Times New Roman" w:hAnsi="Times New Roman"/>
          <w:sz w:val="24"/>
        </w:rPr>
        <w:t>Diagnostic reports exist as unstandardized PDFs or scanned images across different medical centers, making manual data aggregation tedious and prone to human error.</w:t>
      </w:r>
    </w:p>
    <w:p>
      <w:pPr>
        <w:spacing w:after="120" w:line="240" w:lineRule="auto"/>
        <w:ind w:left="576"/>
        <w:jc w:val="both"/>
      </w:pPr>
      <w:r>
        <w:rPr>
          <w:rFonts w:ascii="Times New Roman" w:hAnsi="Times New Roman"/>
          <w:b/>
          <w:sz w:val="24"/>
        </w:rPr>
        <w:t xml:space="preserve">• </w:t>
      </w:r>
      <w:r>
        <w:rPr>
          <w:rFonts w:ascii="Times New Roman" w:hAnsi="Times New Roman"/>
          <w:b/>
          <w:sz w:val="24"/>
        </w:rPr>
        <w:t xml:space="preserve">Disconnection Between Symptoms &amp; Lab Findings: </w:t>
      </w:r>
      <w:r>
        <w:rPr>
          <w:rFonts w:ascii="Times New Roman" w:hAnsi="Times New Roman"/>
          <w:sz w:val="24"/>
        </w:rPr>
        <w:t>Patients often experience physical symptoms (such as persistent fatigue, dizziness, or joint pain) without knowing whether their recent blood work aligns with these symptoms.</w:t>
      </w:r>
    </w:p>
    <w:p>
      <w:pPr>
        <w:spacing w:after="120" w:line="240" w:lineRule="auto"/>
        <w:ind w:left="576"/>
        <w:jc w:val="both"/>
      </w:pPr>
      <w:r>
        <w:rPr>
          <w:rFonts w:ascii="Times New Roman" w:hAnsi="Times New Roman"/>
          <w:b/>
          <w:sz w:val="24"/>
        </w:rPr>
        <w:t xml:space="preserve">• </w:t>
      </w:r>
      <w:r>
        <w:rPr>
          <w:rFonts w:ascii="Times New Roman" w:hAnsi="Times New Roman"/>
          <w:b/>
          <w:sz w:val="24"/>
        </w:rPr>
        <w:t xml:space="preserve">Absence of Proactive Early Warning Systems: </w:t>
      </w:r>
      <w:r>
        <w:rPr>
          <w:rFonts w:ascii="Times New Roman" w:hAnsi="Times New Roman"/>
          <w:sz w:val="24"/>
        </w:rPr>
        <w:t>Existing patient portals act merely as document repositories rather than proactive decision-support engines that alert users to consult specialists before mild abnormalities progress to critical clinical states.</w:t>
      </w:r>
    </w:p>
    <w:p>
      <w:pPr>
        <w:spacing w:before="0" w:after="240" w:line="240" w:lineRule="auto"/>
        <w:jc w:val="left"/>
      </w:pPr>
    </w:p>
    <w:p>
      <w:r>
        <w:br w:type="page"/>
      </w:r>
    </w:p>
    <w:p>
      <w:pPr>
        <w:spacing w:before="240" w:after="160" w:line="240" w:lineRule="auto"/>
        <w:jc w:val="left"/>
      </w:pPr>
      <w:r>
        <w:rPr>
          <w:rFonts w:ascii="Times New Roman" w:hAnsi="Times New Roman"/>
          <w:b/>
          <w:i w:val="0"/>
          <w:color w:val="000000"/>
          <w:sz w:val="28"/>
        </w:rPr>
        <w:t>3. Proposed Solution / Methodology</w:t>
      </w:r>
    </w:p>
    <w:p>
      <w:pPr>
        <w:spacing w:before="0" w:after="160" w:line="240" w:lineRule="auto"/>
        <w:ind w:firstLine="720"/>
        <w:jc w:val="both"/>
      </w:pPr>
      <w:r>
        <w:rPr>
          <w:rFonts w:ascii="Times New Roman" w:hAnsi="Times New Roman"/>
          <w:b w:val="0"/>
          <w:i w:val="0"/>
          <w:color w:val="000000"/>
          <w:sz w:val="24"/>
        </w:rPr>
        <w:t>The proposed MediPulse AI platform addresses these challenges through a comprehensive 5-stage intelligent data processing pipeline:</w:t>
      </w:r>
    </w:p>
    <w:p>
      <w:pPr>
        <w:spacing w:before="120" w:after="80" w:line="240" w:lineRule="auto"/>
        <w:ind w:left="288"/>
        <w:jc w:val="left"/>
      </w:pPr>
      <w:r>
        <w:rPr>
          <w:rFonts w:ascii="Times New Roman" w:hAnsi="Times New Roman"/>
          <w:b/>
          <w:i w:val="0"/>
          <w:color w:val="000000"/>
          <w:sz w:val="24"/>
        </w:rPr>
        <w:t>Stage 1: Category-Guided Ingestion &amp; Multimodal OCR Extraction</w:t>
      </w:r>
    </w:p>
    <w:p>
      <w:pPr>
        <w:spacing w:before="0" w:after="160" w:line="240" w:lineRule="auto"/>
        <w:ind w:left="576"/>
        <w:jc w:val="both"/>
      </w:pPr>
      <w:r>
        <w:rPr>
          <w:rFonts w:ascii="Times New Roman" w:hAnsi="Times New Roman"/>
          <w:b w:val="0"/>
          <w:i w:val="0"/>
          <w:color w:val="000000"/>
          <w:sz w:val="24"/>
        </w:rPr>
        <w:t>Users select the specific diagnostic report category (e.g., Complete Blood Count, Lipid Profile, Thyroid Panel, Metabolic Panel, or Liver/Kidney Function Test) and upload lab reports in PDF or image format (JPEG/PNG). The ingestion pipeline applies category-guided Vision-LLM extraction schemas (e.g., Google Gemini Vision API / Tesseract OCR) to parse complex laboratory tables accurately. The system extracts biomarker names, observed numerical values, units of measurement, reference ranges (min/max bounds), report dates, and testing laboratory names into standardized structured JSON.</w:t>
      </w:r>
    </w:p>
    <w:p>
      <w:pPr>
        <w:spacing w:before="120" w:after="80" w:line="240" w:lineRule="auto"/>
        <w:ind w:left="288"/>
        <w:jc w:val="left"/>
      </w:pPr>
      <w:r>
        <w:rPr>
          <w:rFonts w:ascii="Times New Roman" w:hAnsi="Times New Roman"/>
          <w:b/>
          <w:i w:val="0"/>
          <w:color w:val="000000"/>
          <w:sz w:val="24"/>
        </w:rPr>
        <w:t>Stage 2: Time-Series Biomarker Storage &amp; Standardization</w:t>
      </w:r>
    </w:p>
    <w:p>
      <w:pPr>
        <w:spacing w:before="0" w:after="160" w:line="240" w:lineRule="auto"/>
        <w:ind w:left="576"/>
        <w:jc w:val="both"/>
      </w:pPr>
      <w:r>
        <w:rPr>
          <w:rFonts w:ascii="Times New Roman" w:hAnsi="Times New Roman"/>
          <w:b w:val="0"/>
          <w:i w:val="0"/>
          <w:color w:val="000000"/>
          <w:sz w:val="24"/>
        </w:rPr>
        <w:t>Extracted data is ingested into a relational time-series database (e.g., PostgreSQL/Supabase). Biomarker metrics across disparate lab formats are normalized to standard medical units to enable seamless historical comparison across months or years.</w:t>
      </w:r>
    </w:p>
    <w:p>
      <w:pPr>
        <w:spacing w:before="120" w:after="80" w:line="240" w:lineRule="auto"/>
        <w:ind w:left="288"/>
        <w:jc w:val="left"/>
      </w:pPr>
      <w:r>
        <w:rPr>
          <w:rFonts w:ascii="Times New Roman" w:hAnsi="Times New Roman"/>
          <w:b/>
          <w:i w:val="0"/>
          <w:color w:val="000000"/>
          <w:sz w:val="24"/>
        </w:rPr>
        <w:t>Stage 3: Predictive Risk &amp; Early Warning Engine</w:t>
      </w:r>
    </w:p>
    <w:p>
      <w:pPr>
        <w:spacing w:before="0" w:after="160" w:line="240" w:lineRule="auto"/>
        <w:ind w:left="576"/>
        <w:jc w:val="both"/>
      </w:pPr>
      <w:r>
        <w:rPr>
          <w:rFonts w:ascii="Times New Roman" w:hAnsi="Times New Roman"/>
          <w:b w:val="0"/>
          <w:i w:val="0"/>
          <w:color w:val="000000"/>
          <w:sz w:val="24"/>
        </w:rPr>
        <w:t>The system evaluates current lab metrics against clinical guidelines (e.g., American Diabetes Association, American Heart Association baselines) and calculates velocity changes across historical reports. Trend detection algorithms flag negative trajectories (e.g., 'LDL cholesterol increased by 18% over the past 3 reports'). Early warning indicators categorize risk severity into Low, Moderate, and High urgency tiers with clear next steps.</w:t>
      </w:r>
    </w:p>
    <w:p>
      <w:pPr>
        <w:spacing w:before="120" w:after="80" w:line="240" w:lineRule="auto"/>
        <w:ind w:left="288"/>
        <w:jc w:val="left"/>
      </w:pPr>
      <w:r>
        <w:rPr>
          <w:rFonts w:ascii="Times New Roman" w:hAnsi="Times New Roman"/>
          <w:b/>
          <w:i w:val="0"/>
          <w:color w:val="000000"/>
          <w:sz w:val="24"/>
        </w:rPr>
        <w:t>Stage 4: Symptom-Biomarker Correlation &amp; AI Health Assistant</w:t>
      </w:r>
    </w:p>
    <w:p>
      <w:pPr>
        <w:spacing w:before="0" w:after="160" w:line="240" w:lineRule="auto"/>
        <w:ind w:left="576"/>
        <w:jc w:val="both"/>
      </w:pPr>
      <w:r>
        <w:rPr>
          <w:rFonts w:ascii="Times New Roman" w:hAnsi="Times New Roman"/>
          <w:b w:val="0"/>
          <w:i w:val="0"/>
          <w:color w:val="000000"/>
          <w:sz w:val="24"/>
        </w:rPr>
        <w:t>Users can log current physical symptoms into an interactive symptom tracker. The AI engine cross-references active symptoms with flagged out-of-range lab metrics (e.g., low Hemoglobin + logged fatigue -&gt; Anemia indicator). Plain-language explanations clarify what out-of-range values signify without making definitive medical diagnoses.</w:t>
      </w:r>
    </w:p>
    <w:p>
      <w:pPr>
        <w:spacing w:before="120" w:after="80" w:line="240" w:lineRule="auto"/>
        <w:ind w:left="288"/>
        <w:jc w:val="left"/>
      </w:pPr>
      <w:r>
        <w:rPr>
          <w:rFonts w:ascii="Times New Roman" w:hAnsi="Times New Roman"/>
          <w:b/>
          <w:i w:val="0"/>
          <w:color w:val="000000"/>
          <w:sz w:val="24"/>
        </w:rPr>
        <w:t>Stage 5: Patient Dashboard &amp; Doctor Summary Export</w:t>
      </w:r>
    </w:p>
    <w:p>
      <w:pPr>
        <w:spacing w:before="0" w:after="160" w:line="240" w:lineRule="auto"/>
        <w:ind w:left="576"/>
        <w:jc w:val="both"/>
      </w:pPr>
      <w:r>
        <w:rPr>
          <w:rFonts w:ascii="Times New Roman" w:hAnsi="Times New Roman"/>
          <w:b w:val="0"/>
          <w:i w:val="0"/>
          <w:color w:val="000000"/>
          <w:sz w:val="24"/>
        </w:rPr>
        <w:t>An interactive React-based dashboard visualizes color-coded biomarker cards (Normal, Borderline, Critical) and historical line charts. A 1-click export module generates a concise 1-page summary PDF designed for physician consultations.</w:t>
      </w:r>
    </w:p>
    <w:p>
      <w:pPr>
        <w:spacing w:before="0" w:after="240" w:line="240" w:lineRule="auto"/>
        <w:jc w:val="left"/>
      </w:pPr>
    </w:p>
    <w:p>
      <w:r>
        <w:br w:type="page"/>
      </w:r>
    </w:p>
    <w:p>
      <w:pPr>
        <w:spacing w:before="240" w:after="160" w:line="240" w:lineRule="auto"/>
        <w:jc w:val="left"/>
      </w:pPr>
      <w:r>
        <w:rPr>
          <w:rFonts w:ascii="Times New Roman" w:hAnsi="Times New Roman"/>
          <w:b/>
          <w:i w:val="0"/>
          <w:color w:val="000000"/>
          <w:sz w:val="28"/>
        </w:rPr>
        <w:t>4. Flowchart</w:t>
      </w:r>
    </w:p>
    <w:p>
      <w:pPr>
        <w:spacing w:before="0" w:after="240" w:line="240" w:lineRule="auto"/>
        <w:ind w:firstLine="720"/>
        <w:jc w:val="both"/>
      </w:pPr>
      <w:r>
        <w:rPr>
          <w:rFonts w:ascii="Times New Roman" w:hAnsi="Times New Roman"/>
          <w:b w:val="0"/>
          <w:i w:val="0"/>
          <w:color w:val="000000"/>
          <w:sz w:val="24"/>
        </w:rPr>
        <w:t>The end-to-end data processing workflow of the MediPulse AI system is illustrated in the architectural flowchart below:</w:t>
      </w:r>
    </w:p>
    <w:tbl>
      <w:tblPr>
        <w:tblW w:type="auto" w:w="0"/>
        <w:jc w:val="center"/>
        <w:tblLook w:firstColumn="1" w:firstRow="1" w:lastColumn="0" w:lastRow="0" w:noHBand="0" w:noVBand="1" w:val="04A0"/>
      </w:tblPr>
      <w:tblGrid>
        <w:gridCol w:w="9029"/>
      </w:tblGrid>
      <w:tr>
        <w:tc>
          <w:tcPr>
            <w:tcW w:type="dxa" w:w="8928"/>
            <w:shd w:fill="F4F6F9"/>
          </w:tcPr>
          <w:p>
            <w:pPr>
              <w:spacing w:before="80" w:after="80" w:line="240" w:lineRule="auto"/>
              <w:jc w:val="center"/>
            </w:pPr>
            <w:r>
              <w:rPr>
                <w:rFonts w:ascii="Times New Roman" w:hAnsi="Times New Roman"/>
                <w:b/>
                <w:sz w:val="22"/>
              </w:rPr>
              <w:t>1. User Selects Report Category &amp; Uploads File (PDF / Image)</w:t>
            </w:r>
          </w:p>
        </w:tc>
      </w:tr>
      <w:tr>
        <w:tc>
          <w:tcPr>
            <w:tcW w:type="dxa" w:w="8928"/>
          </w:tcPr>
          <w:p>
            <w:pPr>
              <w:spacing w:before="80" w:after="80" w:line="240" w:lineRule="auto"/>
              <w:jc w:val="center"/>
            </w:pPr>
            <w:r>
              <w:rPr>
                <w:rFonts w:ascii="Times New Roman" w:hAnsi="Times New Roman"/>
                <w:b/>
                <w:sz w:val="28"/>
              </w:rPr>
              <w:t>↓</w:t>
            </w:r>
          </w:p>
        </w:tc>
      </w:tr>
      <w:tr>
        <w:tc>
          <w:tcPr>
            <w:tcW w:type="dxa" w:w="8928"/>
            <w:shd w:fill="F4F6F9"/>
          </w:tcPr>
          <w:p>
            <w:pPr>
              <w:spacing w:before="80" w:after="80" w:line="240" w:lineRule="auto"/>
              <w:jc w:val="center"/>
            </w:pPr>
            <w:r>
              <w:rPr>
                <w:rFonts w:ascii="Times New Roman" w:hAnsi="Times New Roman"/>
                <w:b/>
                <w:sz w:val="22"/>
              </w:rPr>
              <w:t>2. Category-Guided Multimodal Vision AI / OCR Parsing Engine</w:t>
            </w:r>
          </w:p>
        </w:tc>
      </w:tr>
      <w:tr>
        <w:tc>
          <w:tcPr>
            <w:tcW w:type="dxa" w:w="8928"/>
          </w:tcPr>
          <w:p>
            <w:pPr>
              <w:spacing w:before="80" w:after="80" w:line="240" w:lineRule="auto"/>
              <w:jc w:val="center"/>
            </w:pPr>
            <w:r>
              <w:rPr>
                <w:rFonts w:ascii="Times New Roman" w:hAnsi="Times New Roman"/>
                <w:b/>
                <w:sz w:val="28"/>
              </w:rPr>
              <w:t>↓</w:t>
            </w:r>
          </w:p>
        </w:tc>
      </w:tr>
      <w:tr>
        <w:tc>
          <w:tcPr>
            <w:tcW w:type="dxa" w:w="8928"/>
            <w:shd w:fill="F4F6F9"/>
          </w:tcPr>
          <w:p>
            <w:pPr>
              <w:spacing w:before="80" w:after="80" w:line="240" w:lineRule="auto"/>
              <w:jc w:val="center"/>
            </w:pPr>
            <w:r>
              <w:rPr>
                <w:rFonts w:ascii="Times New Roman" w:hAnsi="Times New Roman"/>
                <w:b/>
                <w:sz w:val="22"/>
              </w:rPr>
              <w:t>3. Extraction of Biomarkers, Observed Values, Units &amp; Normal Ranges into JSON</w:t>
            </w:r>
          </w:p>
        </w:tc>
      </w:tr>
      <w:tr>
        <w:tc>
          <w:tcPr>
            <w:tcW w:type="dxa" w:w="8928"/>
          </w:tcPr>
          <w:p>
            <w:pPr>
              <w:spacing w:before="80" w:after="80" w:line="240" w:lineRule="auto"/>
              <w:jc w:val="center"/>
            </w:pPr>
            <w:r>
              <w:rPr>
                <w:rFonts w:ascii="Times New Roman" w:hAnsi="Times New Roman"/>
                <w:b/>
                <w:sz w:val="28"/>
              </w:rPr>
              <w:t>↓</w:t>
            </w:r>
          </w:p>
        </w:tc>
      </w:tr>
      <w:tr>
        <w:tc>
          <w:tcPr>
            <w:tcW w:type="dxa" w:w="8928"/>
            <w:shd w:fill="F4F6F9"/>
          </w:tcPr>
          <w:p>
            <w:pPr>
              <w:spacing w:before="80" w:after="80" w:line="240" w:lineRule="auto"/>
              <w:jc w:val="center"/>
            </w:pPr>
            <w:r>
              <w:rPr>
                <w:rFonts w:ascii="Times New Roman" w:hAnsi="Times New Roman"/>
                <w:b/>
                <w:sz w:val="22"/>
              </w:rPr>
              <w:t>4. Time-Series Biometric Database Storage &amp; Standardization</w:t>
            </w:r>
          </w:p>
        </w:tc>
      </w:tr>
      <w:tr>
        <w:tc>
          <w:tcPr>
            <w:tcW w:type="dxa" w:w="8928"/>
          </w:tcPr>
          <w:p>
            <w:pPr>
              <w:spacing w:before="80" w:after="80" w:line="240" w:lineRule="auto"/>
              <w:jc w:val="center"/>
            </w:pPr>
            <w:r>
              <w:rPr>
                <w:rFonts w:ascii="Times New Roman" w:hAnsi="Times New Roman"/>
                <w:b/>
                <w:sz w:val="28"/>
              </w:rPr>
              <w:t>↓</w:t>
            </w:r>
          </w:p>
        </w:tc>
      </w:tr>
      <w:tr>
        <w:tc>
          <w:tcPr>
            <w:tcW w:type="dxa" w:w="8928"/>
            <w:shd w:fill="F4F6F9"/>
          </w:tcPr>
          <w:p>
            <w:pPr>
              <w:spacing w:before="80" w:after="80" w:line="240" w:lineRule="auto"/>
              <w:jc w:val="center"/>
            </w:pPr>
            <w:r>
              <w:rPr>
                <w:rFonts w:ascii="Times New Roman" w:hAnsi="Times New Roman"/>
                <w:b/>
                <w:sz w:val="22"/>
              </w:rPr>
              <w:t>5. Parallel Analytics Engine:</w:t>
              <w:br/>
              <w:t xml:space="preserve">   • Historical Trajectory Analytics Engine (Metric Trends &amp; Velocity)</w:t>
              <w:br/>
              <w:t xml:space="preserve">   • Symptom-Biomarker Correlation AI Engine</w:t>
            </w:r>
          </w:p>
        </w:tc>
      </w:tr>
    </w:tbl>
    <w:p>
      <w:pPr>
        <w:spacing w:before="0" w:after="360" w:line="240" w:lineRule="auto"/>
        <w:jc w:val="left"/>
      </w:pPr>
    </w:p>
    <w:p>
      <w:pPr>
        <w:spacing w:before="0" w:after="360" w:line="240" w:lineRule="auto"/>
        <w:ind w:firstLine="720"/>
        <w:jc w:val="both"/>
      </w:pPr>
      <w:r>
        <w:rPr>
          <w:rFonts w:ascii="Times New Roman" w:hAnsi="Times New Roman"/>
          <w:b w:val="0"/>
          <w:i w:val="0"/>
          <w:color w:val="000000"/>
          <w:sz w:val="24"/>
        </w:rPr>
        <w:t>Flowchart Description: As depicted above, the user initiates the workflow by selecting the lab report category and uploading diagnostic documents (PDF/images). The document parsing module processes the files using category-guided Multimodal Vision AI to extract structured biomarker entities. The data is stored in a time-series schema, triggering simultaneous trajectory trend evaluation and symptom correlation. Finally, the synthesized results are rendered onto the interactive web dashboard and exported into doctor-ready summary reports.</w:t>
      </w:r>
    </w:p>
    <w:p>
      <w:r>
        <w:br w:type="page"/>
      </w:r>
    </w:p>
    <w:p>
      <w:pPr>
        <w:spacing w:before="240" w:after="240" w:line="240" w:lineRule="auto"/>
        <w:jc w:val="left"/>
      </w:pPr>
      <w:r>
        <w:rPr>
          <w:rFonts w:ascii="Times New Roman" w:hAnsi="Times New Roman"/>
          <w:b/>
          <w:i w:val="0"/>
          <w:color w:val="000000"/>
          <w:sz w:val="28"/>
        </w:rPr>
        <w:t>5. References</w:t>
      </w:r>
    </w:p>
    <w:p>
      <w:pPr>
        <w:spacing w:before="0" w:after="160" w:line="240" w:lineRule="auto"/>
        <w:ind w:left="720" w:hanging="720"/>
        <w:jc w:val="both"/>
      </w:pPr>
      <w:r>
        <w:rPr>
          <w:rFonts w:ascii="Times New Roman" w:hAnsi="Times New Roman"/>
          <w:b w:val="0"/>
          <w:i w:val="0"/>
          <w:color w:val="000000"/>
          <w:sz w:val="24"/>
        </w:rPr>
        <w:t>1. Esteva, A., Kuprel, A., Novoa, R. A., Ko, J., Swetter, S. M., Blau, H. M., &amp; Thrun, S. (2019). "A guide to deep learning in healthcare." Nature Medicine, 25(1), 24-29.</w:t>
      </w:r>
    </w:p>
    <w:p>
      <w:pPr>
        <w:spacing w:before="0" w:after="160" w:line="240" w:lineRule="auto"/>
        <w:ind w:left="720" w:hanging="720"/>
        <w:jc w:val="both"/>
      </w:pPr>
      <w:r>
        <w:rPr>
          <w:rFonts w:ascii="Times New Roman" w:hAnsi="Times New Roman"/>
          <w:b w:val="0"/>
          <w:i w:val="0"/>
          <w:color w:val="000000"/>
          <w:sz w:val="24"/>
        </w:rPr>
        <w:t>2. Rajpurkar, P., Chen, E., Banerjee, O., &amp; Topol, E. J. (2022). "AI in health and medicine." Nature Medicine, 28(1), 31-38.</w:t>
      </w:r>
    </w:p>
    <w:p>
      <w:pPr>
        <w:spacing w:before="0" w:after="160" w:line="240" w:lineRule="auto"/>
        <w:ind w:left="720" w:hanging="720"/>
        <w:jc w:val="both"/>
      </w:pPr>
      <w:r>
        <w:rPr>
          <w:rFonts w:ascii="Times New Roman" w:hAnsi="Times New Roman"/>
          <w:b w:val="0"/>
          <w:i w:val="0"/>
          <w:color w:val="000000"/>
          <w:sz w:val="24"/>
        </w:rPr>
        <w:t>3. Singhal, K., Azizi, S., Tu, T., Mahdavi, S. S., Wei, J., Chung, H. W., ... &amp; Natarajan, V. (2023). "Large language models encode clinical knowledge." Nature, 620(7972), 172-180.</w:t>
      </w:r>
    </w:p>
    <w:p>
      <w:pPr>
        <w:spacing w:before="0" w:after="160" w:line="240" w:lineRule="auto"/>
        <w:ind w:left="720" w:hanging="720"/>
        <w:jc w:val="both"/>
      </w:pPr>
      <w:r>
        <w:rPr>
          <w:rFonts w:ascii="Times New Roman" w:hAnsi="Times New Roman"/>
          <w:b w:val="0"/>
          <w:i w:val="0"/>
          <w:color w:val="000000"/>
          <w:sz w:val="24"/>
        </w:rPr>
        <w:t>4. World Health Organization (WHO) (2024). "WHO Guidelines on Digital Health Interventions and Personal Health Records." World Health Organization Technical Report Series.</w:t>
      </w:r>
    </w:p>
    <w:p>
      <w:pPr>
        <w:spacing w:before="0" w:after="160" w:line="240" w:lineRule="auto"/>
        <w:ind w:left="720" w:hanging="720"/>
        <w:jc w:val="both"/>
      </w:pPr>
      <w:r>
        <w:rPr>
          <w:rFonts w:ascii="Times New Roman" w:hAnsi="Times New Roman"/>
          <w:b w:val="0"/>
          <w:i w:val="0"/>
          <w:color w:val="000000"/>
          <w:sz w:val="24"/>
        </w:rPr>
        <w:t>5. American Diabetes Association (ADA) (2024). "Standards of Care in Diabetes—2024." Diabetes Care, 47(Suppl. 1), S1-S343.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