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3864"/>
          <w:sz w:val="48"/>
          <w:szCs w:val="48"/>
        </w:rPr>
        <w:t xml:space="preserve">HOW THE 10 PM PROJECTS WORK</w:t>
      </w:r>
    </w:p>
    <w:p>
      <w:pPr>
        <w:pBdr>
          <w:bottom w:val="single" w:color="2E75B6" w:sz="12" w:space="8"/>
        </w:pBdr>
        <w:spacing w:after="120"/>
        <w:jc w:val="center"/>
      </w:pPr>
      <w:r>
        <w:rPr>
          <w:color w:val="2E5496"/>
          <w:sz w:val="26"/>
          <w:szCs w:val="26"/>
        </w:rPr>
        <w:t xml:space="preserve">A plain-English explainer for the PixelPay PM Simulator</w:t>
      </w:r>
    </w:p>
    <w:p>
      <w:pPr>
        <w:spacing w:before="220"/>
        <w:jc w:val="center"/>
      </w:pPr>
      <w:r>
        <w:rPr>
          <w:i/>
          <w:iCs/>
          <w:color w:val="595959"/>
          <w:sz w:val="22"/>
          <w:szCs w:val="22"/>
        </w:rPr>
        <w:t xml:space="preserve">Read this first. It explains the idea behind the program, how the ten weeks fit together, and how to get the most out of it.</w:t>
      </w:r>
    </w:p>
    <w:p>
      <w:pPr>
        <w:pStyle w:val="Heading1"/>
        <w:pageBreakBefore/>
      </w:pPr>
      <w:r>
        <w:t xml:space="preserve">What this program actually is</w:t>
      </w:r>
    </w:p>
    <w:p>
      <w:pPr>
        <w:spacing w:after="130" w:line="280"/>
      </w:pPr>
      <w:r>
        <w:t xml:space="preserve">The 10 PM Projects is a ten-week apprenticeship disguised as a simulator. Instead of reading about product management or memorizing frameworks, you do the job. You play an Associate PM in the Merchant Growth pod at PixelPay, a fictional fintech serving small businesses such as kirana stores, salons, and restaurants. Each week you walk into a realistic situation, talk to the people involved, and produce one concrete deliverable that a working PM would actually be asked to write.</w:t>
      </w:r>
    </w:p>
    <w:p>
      <w:pPr>
        <w:spacing w:after="130" w:line="280"/>
      </w:pPr>
      <w:r>
        <w:t xml:space="preserve">The whole thing is built around a single product and, more importantly, a single feature. A customer insight you uncover in Week 2 becomes the strategy in Week 3, the thing you fight for in Week 4, the feature you spec in Week 5, and the launch you manage in Week 8. By Week 10 you are not holding ten unrelated assignments. You are holding one continuous story about taking a product from discovery to launch to monetization.</w:t>
      </w:r>
    </w:p>
    <w:tbl>
      <w:tblPr>
        <w:tblW w:type="dxa" w:w="9360"/>
        <w:tblBorders>
          <w:top w:val="single" w:color="2E75B6" w:sz="4"/>
          <w:left w:val="single" w:color="2E75B6" w:sz="18"/>
          <w:bottom w:val="single" w:color="2E75B6" w:sz="4"/>
          <w:right w:val="single" w:color="2E75B6" w:sz="4"/>
          <w:insideH w:val="none"/>
          <w:insideV w:val="none"/>
        </w:tblBorders>
      </w:tblPr>
      <w:tblGrid>
        <w:gridCol w:w="9360"/>
      </w:tblGrid>
      <w:tr>
        <w:tc>
          <w:tcPr>
            <w:tcW w:type="dxa" w:w="9360"/>
            <w:shd w:fill="EEF3FB" w:val="clear"/>
            <w:tcMar>
              <w:top w:type="dxa" w:w="130"/>
              <w:left w:type="dxa" w:w="180"/>
              <w:bottom w:type="dxa" w:w="130"/>
              <w:right w:type="dxa" w:w="180"/>
            </w:tcMar>
          </w:tcPr>
          <w:p>
            <w:pPr>
              <w:spacing w:after="60"/>
            </w:pPr>
            <w:r>
              <w:rPr>
                <w:b/>
                <w:bCs/>
                <w:color w:val="2E75B6"/>
              </w:rPr>
              <w:t xml:space="preserve">The one-sentence version</w:t>
            </w:r>
          </w:p>
          <w:p>
            <w:pPr>
              <w:spacing w:after="0" w:line="272"/>
            </w:pPr>
            <w:r>
              <w:t xml:space="preserve">Ten realistic PM scenarios, one product, eleven characters who push back, and a single portfolio at the end that proves you can think end-to-end about a real product.</w:t>
            </w:r>
          </w:p>
        </w:tc>
      </w:tr>
    </w:tbl>
    <w:p>
      <w:pPr>
        <w:pStyle w:val="Heading1"/>
      </w:pPr>
      <w:r>
        <w:t xml:space="preserve">The core idea: learn by producing, not by reading</w:t>
      </w:r>
    </w:p>
    <w:p>
      <w:pPr>
        <w:spacing w:after="130" w:line="280"/>
      </w:pPr>
      <w:r>
        <w:t xml:space="preserve">Most PM courses teach concepts and hope you can apply them later. This program inverts that. Every week, the framework exists only in service of a deliverable you have to hand in, and a character who will judge it. You learn RICE because Arjun is escalating a deal to the CEO and you need the math to say no. You learn power calculations because Riya will reject your A/B plan if you eyeball the sample size. The pressure makes the framework stick.</w:t>
      </w:r>
    </w:p>
    <w:p>
      <w:pPr>
        <w:spacing w:after="130" w:line="280"/>
      </w:pPr>
      <w:r>
        <w:t xml:space="preserve">Three design choices make this work:</w:t>
      </w:r>
    </w:p>
    <w:p>
      <w:pPr>
        <w:pStyle w:val="ListParagraph"/>
        <w:numPr>
          <w:ilvl w:val="0"/>
          <w:numId w:val="2"/>
        </w:numPr>
        <w:spacing w:after="90" w:line="272"/>
      </w:pPr>
      <w:r>
        <w:rPr>
          <w:b/>
          <w:bCs/>
        </w:rPr>
        <w:t xml:space="preserve">Real readers. </w:t>
      </w:r>
      <w:r>
        <w:t xml:space="preserve">A specific persona is your reader every week, so you cannot hide behind vague language. “Improve onboarding” gets rejected; “reduce drop-off from 42% to 30%” gets approved.</w:t>
      </w:r>
    </w:p>
    <w:p>
      <w:pPr>
        <w:pStyle w:val="ListParagraph"/>
        <w:numPr>
          <w:ilvl w:val="0"/>
          <w:numId w:val="2"/>
        </w:numPr>
        <w:spacing w:after="90" w:line="272"/>
      </w:pPr>
      <w:r>
        <w:rPr>
          <w:b/>
          <w:bCs/>
        </w:rPr>
        <w:t xml:space="preserve">Permission to fail. </w:t>
      </w:r>
      <w:r>
        <w:t xml:space="preserve">You are expected to make the classic mistakes, especially in the crisis weeks. The simulator lets you cave to Arjun in Week 4, then gives you a chance to recover with data. The recovery is the lesson.</w:t>
      </w:r>
    </w:p>
    <w:p>
      <w:pPr>
        <w:pStyle w:val="ListParagraph"/>
        <w:numPr>
          <w:ilvl w:val="0"/>
          <w:numId w:val="2"/>
        </w:numPr>
        <w:spacing w:after="90" w:line="272"/>
      </w:pPr>
      <w:r>
        <w:rPr>
          <w:b/>
          <w:bCs/>
        </w:rPr>
        <w:t xml:space="preserve">Everything compounds. </w:t>
      </w:r>
      <w:r>
        <w:t xml:space="preserve">Nothing is throwaway. Each deliverable is an input to the next, so sloppy early work compounds into pain later. This is exactly how real product work behaves.</w:t>
      </w:r>
    </w:p>
    <w:p>
      <w:pPr>
        <w:pStyle w:val="Heading1"/>
      </w:pPr>
      <w:r>
        <w:t xml:space="preserve">The narrative spine</w:t>
      </w:r>
    </w:p>
    <w:p>
      <w:pPr>
        <w:spacing w:after="130" w:line="280"/>
      </w:pPr>
      <w:r>
        <w:t xml:space="preserve">The reason the program feels coherent is that one thread runs through all ten weeks. It is worth seeing the whole arc at once:</w:t>
      </w:r>
    </w:p>
    <w:p>
      <w:pPr>
        <w:pStyle w:val="ListParagraph"/>
        <w:numPr>
          <w:ilvl w:val="0"/>
          <w:numId w:val="2"/>
        </w:numPr>
        <w:spacing w:after="90" w:line="272"/>
      </w:pPr>
      <w:r>
        <w:rPr>
          <w:b/>
          <w:bCs/>
        </w:rPr>
        <w:t xml:space="preserve">Week 2 insight. </w:t>
      </w:r>
      <w:r>
        <w:t xml:space="preserve">You discover that merchants do not want more features; they want a daily closing ritual. This single insight is the spine of everything that follows.</w:t>
      </w:r>
    </w:p>
    <w:p>
      <w:pPr>
        <w:pStyle w:val="ListParagraph"/>
        <w:numPr>
          <w:ilvl w:val="0"/>
          <w:numId w:val="2"/>
        </w:numPr>
        <w:spacing w:after="90" w:line="272"/>
      </w:pPr>
      <w:r>
        <w:rPr>
          <w:b/>
          <w:bCs/>
        </w:rPr>
        <w:t xml:space="preserve">Week 3 strategy. </w:t>
      </w:r>
      <w:r>
        <w:t xml:space="preserve">That insight becomes a precise north star metric and a strategy focused on the SMB segment.</w:t>
      </w:r>
    </w:p>
    <w:p>
      <w:pPr>
        <w:pStyle w:val="ListParagraph"/>
        <w:numPr>
          <w:ilvl w:val="0"/>
          <w:numId w:val="2"/>
        </w:numPr>
        <w:spacing w:after="90" w:line="272"/>
      </w:pPr>
      <w:r>
        <w:rPr>
          <w:b/>
          <w:bCs/>
        </w:rPr>
        <w:t xml:space="preserve">Week 4 defense. </w:t>
      </w:r>
      <w:r>
        <w:t xml:space="preserve">When Sales pushes an enterprise feature, your Week 2 insight and Week 3 strategy are the evidence you use to say no.</w:t>
      </w:r>
    </w:p>
    <w:p>
      <w:pPr>
        <w:pStyle w:val="ListParagraph"/>
        <w:numPr>
          <w:ilvl w:val="0"/>
          <w:numId w:val="2"/>
        </w:numPr>
        <w:spacing w:after="90" w:line="272"/>
      </w:pPr>
      <w:r>
        <w:rPr>
          <w:b/>
          <w:bCs/>
        </w:rPr>
        <w:t xml:space="preserve">Weeks 5 to 9 execution. </w:t>
      </w:r>
      <w:r>
        <w:t xml:space="preserve">The Day-End Summary, the feature the insight points to, gets specced, critiqued, tested, launched, and monetized across Weeks 5 through 9.</w:t>
      </w:r>
    </w:p>
    <w:p>
      <w:pPr>
        <w:pStyle w:val="ListParagraph"/>
        <w:numPr>
          <w:ilvl w:val="0"/>
          <w:numId w:val="2"/>
        </w:numPr>
        <w:spacing w:after="90" w:line="272"/>
      </w:pPr>
      <w:r>
        <w:rPr>
          <w:b/>
          <w:bCs/>
        </w:rPr>
        <w:t xml:space="preserve">Week 10 portfolio. </w:t>
      </w:r>
      <w:r>
        <w:t xml:space="preserve">All of it compiles into one portfolio with a clean beginning, middle, and end.</w:t>
      </w:r>
    </w:p>
    <w:p>
      <w:pPr>
        <w:spacing w:after="130" w:line="280"/>
      </w:pPr>
      <w:r>
        <w:t xml:space="preserve">This is the difference between a portfolio that says “I can do PM tasks” and one that says “I can carry a product from a customer conversation all the way to revenue.” The second is what gets people hired.</w:t>
      </w:r>
    </w:p>
    <w:p>
      <w:pPr>
        <w:pStyle w:val="Heading1"/>
        <w:pageBreakBefore/>
      </w:pPr>
      <w:r>
        <w:t xml:space="preserve">The ten-week arc at a glance</w:t>
      </w:r>
    </w:p>
    <w:p>
      <w:pPr>
        <w:spacing w:after="130" w:line="280"/>
      </w:pPr>
      <w:r>
        <w:t xml:space="preserve">Each week builds one core PM competency and leaves you with one artifact. Read down the middle column to see the skill map; read down the right column to see the growing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Week</w:t>
            </w:r>
          </w:p>
        </w:tc>
        <w:tc>
          <w:tcPr>
            <w:tcW w:type="dxa" w:w="360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PM competency built</w:t>
            </w:r>
          </w:p>
        </w:tc>
        <w:tc>
          <w:tcPr>
            <w:tcW w:type="dxa" w:w="4260"/>
            <w:tcBorders>
              <w:top w:val="single" w:color="2E75B6" w:sz="4"/>
              <w:left w:val="single" w:color="2E75B6" w:sz="4"/>
              <w:bottom w:val="single" w:color="2E75B6" w:sz="4"/>
              <w:right w:val="single" w:color="2E75B6" w:sz="4"/>
            </w:tcBorders>
            <w:shd w:fill="D9E2F3" w:val="clear"/>
            <w:tcMar>
              <w:top w:type="dxa" w:w="90"/>
              <w:left w:type="dxa" w:w="140"/>
              <w:bottom w:type="dxa" w:w="90"/>
              <w:right w:type="dxa" w:w="140"/>
            </w:tcMar>
          </w:tcPr>
          <w:p>
            <w:r>
              <w:rPr>
                <w:b/>
                <w:bCs/>
                <w:color w:val="1F3864"/>
              </w:rPr>
              <w:t xml:space="preserve">What you produce</w:t>
            </w:r>
          </w:p>
        </w:tc>
      </w:tr>
      <w:tr>
        <w:tc>
          <w:tcPr>
            <w:tcW w:type="dxa" w:w="1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1</w:t>
            </w:r>
          </w:p>
        </w:tc>
        <w:tc>
          <w:tcPr>
            <w:tcW w:type="dxa" w:w="3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Clarity of mandate and scope</w:t>
            </w:r>
          </w:p>
        </w:tc>
        <w:tc>
          <w:tcPr>
            <w:tcW w:type="dxa" w:w="42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1-page role audit</w:t>
            </w:r>
          </w:p>
        </w:tc>
      </w:tr>
      <w:tr>
        <w:tc>
          <w:tcPr>
            <w:tcW w:type="dxa" w:w="1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2</w:t>
            </w:r>
          </w:p>
        </w:tc>
        <w:tc>
          <w:tcPr>
            <w:tcW w:type="dxa" w:w="3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Customer discovery and synthesis</w:t>
            </w:r>
          </w:p>
        </w:tc>
        <w:tc>
          <w:tcPr>
            <w:tcW w:type="dxa" w:w="42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3 interviews, JTBD statements, 1 insight</w:t>
            </w:r>
          </w:p>
        </w:tc>
      </w:tr>
      <w:tr>
        <w:tc>
          <w:tcPr>
            <w:tcW w:type="dxa" w:w="1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3</w:t>
            </w:r>
          </w:p>
        </w:tc>
        <w:tc>
          <w:tcPr>
            <w:tcW w:type="dxa" w:w="3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Strategy and metric definition</w:t>
            </w:r>
          </w:p>
        </w:tc>
        <w:tc>
          <w:tcPr>
            <w:tcW w:type="dxa" w:w="42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Strategy one-pager, north star, 3 bets</w:t>
            </w:r>
          </w:p>
        </w:tc>
      </w:tr>
      <w:tr>
        <w:tc>
          <w:tcPr>
            <w:tcW w:type="dxa" w:w="1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4</w:t>
            </w:r>
          </w:p>
        </w:tc>
        <w:tc>
          <w:tcPr>
            <w:tcW w:type="dxa" w:w="3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Prioritization and stakeholder pushback</w:t>
            </w:r>
          </w:p>
        </w:tc>
        <w:tc>
          <w:tcPr>
            <w:tcW w:type="dxa" w:w="42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Now-Next-Later roadmap, RICE math, a “No”</w:t>
            </w:r>
          </w:p>
        </w:tc>
      </w:tr>
      <w:tr>
        <w:tc>
          <w:tcPr>
            <w:tcW w:type="dxa" w:w="1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5</w:t>
            </w:r>
          </w:p>
        </w:tc>
        <w:tc>
          <w:tcPr>
            <w:tcW w:type="dxa" w:w="3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Writing specs engineers can build from</w:t>
            </w:r>
          </w:p>
        </w:tc>
        <w:tc>
          <w:tcPr>
            <w:tcW w:type="dxa" w:w="42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8-section PRD with MUST/SHOULD/MAY</w:t>
            </w:r>
          </w:p>
        </w:tc>
      </w:tr>
      <w:tr>
        <w:tc>
          <w:tcPr>
            <w:tcW w:type="dxa" w:w="1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6</w:t>
            </w:r>
          </w:p>
        </w:tc>
        <w:tc>
          <w:tcPr>
            <w:tcW w:type="dxa" w:w="3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Design partnership and accessibility</w:t>
            </w:r>
          </w:p>
        </w:tc>
        <w:tc>
          <w:tcPr>
            <w:tcW w:type="dxa" w:w="42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Heuristic-mapped UX critique and a11y audit</w:t>
            </w:r>
          </w:p>
        </w:tc>
      </w:tr>
      <w:tr>
        <w:tc>
          <w:tcPr>
            <w:tcW w:type="dxa" w:w="1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7</w:t>
            </w:r>
          </w:p>
        </w:tc>
        <w:tc>
          <w:tcPr>
            <w:tcW w:type="dxa" w:w="3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Experiment design and data fluency</w:t>
            </w:r>
          </w:p>
        </w:tc>
        <w:tc>
          <w:tcPr>
            <w:tcW w:type="dxa" w:w="42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A/B brief with power and sample-size math</w:t>
            </w:r>
          </w:p>
        </w:tc>
      </w:tr>
      <w:tr>
        <w:tc>
          <w:tcPr>
            <w:tcW w:type="dxa" w:w="1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8</w:t>
            </w:r>
          </w:p>
        </w:tc>
        <w:tc>
          <w:tcPr>
            <w:tcW w:type="dxa" w:w="3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Launch judgment under pressure</w:t>
            </w:r>
          </w:p>
        </w:tc>
        <w:tc>
          <w:tcPr>
            <w:tcW w:type="dxa" w:w="42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GTM playbook and crisis-response plan</w:t>
            </w:r>
          </w:p>
        </w:tc>
      </w:tr>
      <w:tr>
        <w:tc>
          <w:tcPr>
            <w:tcW w:type="dxa" w:w="1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9</w:t>
            </w:r>
          </w:p>
        </w:tc>
        <w:tc>
          <w:tcPr>
            <w:tcW w:type="dxa" w:w="3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Commercial and pricing thinking</w:t>
            </w:r>
          </w:p>
        </w:tc>
        <w:tc>
          <w:tcPr>
            <w:tcW w:type="dxa" w:w="42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Growth audit and Pro tier with LTV/CAC math</w:t>
            </w:r>
          </w:p>
        </w:tc>
      </w:tr>
      <w:tr>
        <w:tc>
          <w:tcPr>
            <w:tcW w:type="dxa" w:w="15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10</w:t>
            </w:r>
          </w:p>
        </w:tc>
        <w:tc>
          <w:tcPr>
            <w:tcW w:type="dxa" w:w="360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Packaging and interview readiness</w:t>
            </w:r>
          </w:p>
        </w:tc>
        <w:tc>
          <w:tcPr>
            <w:tcW w:type="dxa" w:w="4260"/>
            <w:tcBorders>
              <w:top w:val="single" w:color="BFBFBF" w:sz="4"/>
              <w:left w:val="single" w:color="BFBFBF" w:sz="4"/>
              <w:bottom w:val="single" w:color="BFBFBF" w:sz="4"/>
              <w:right w:val="single" w:color="BFBFBF" w:sz="4"/>
            </w:tcBorders>
            <w:tcMar>
              <w:top w:type="dxa" w:w="90"/>
              <w:left w:type="dxa" w:w="140"/>
              <w:bottom w:type="dxa" w:w="90"/>
              <w:right w:type="dxa" w:w="140"/>
            </w:tcMar>
          </w:tcPr>
          <w:p>
            <w:r>
              <w:rPr>
                <w:b w:val="false"/>
                <w:bCs w:val="false"/>
              </w:rPr>
              <w:t xml:space="preserve">18-page portfolio and 3 mock interviews</w:t>
            </w:r>
          </w:p>
        </w:tc>
      </w:tr>
    </w:tbl>
    <w:p>
      <w:pPr>
        <w:spacing w:after="80"/>
      </w:pPr>
    </w:p>
    <w:p>
      <w:pPr>
        <w:spacing w:after="130" w:line="280"/>
      </w:pPr>
      <w:r>
        <w:rPr>
          <w:i/>
          <w:iCs/>
          <w:color w:val="595959"/>
        </w:rPr>
        <w:t xml:space="preserve">Notice the shape. The first three weeks are about thinking clearly (scope, customers, strategy). The middle weeks are about execution and partnership (prioritization, specs, design, data). The late weeks are about taking something live and making it pay (launch, growth). The capstone turns all of it into an interview-ready story.</w:t>
      </w:r>
    </w:p>
    <w:p>
      <w:pPr>
        <w:pStyle w:val="Heading1"/>
      </w:pPr>
      <w:r>
        <w:t xml:space="preserve">The people you will work with</w:t>
      </w:r>
    </w:p>
    <w:p>
      <w:pPr>
        <w:spacing w:after="130" w:line="280"/>
      </w:pPr>
      <w:r>
        <w:t xml:space="preserve">Eleven personas populate PixelPay. They are not decoration. Each one represents a real cross-functional relationship a PM has to manage, and each has a distinct personality that teaches you how to communicate with that function. Learning to satisfy all of them is most of the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Priya Nair</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Senior PM, your manager. The constant across all ten weeks. She reviews everything and pushes back on vague language. If you can satisfy Priya, you can satisfy a real manager.</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Aman</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CEO. Sets the high-level direction in Weeks 3 and 9 (the north star question, the call to monetize).</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Deepak, Rashida, Vikram</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The three churned merchants you interview in Week 2. They are the voice of the customer that the rest of your work answers to.</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Arjun Menon</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VP Sales, and your Week 4 antagonist. He brings deal pressure and only backs down when you show numbers.</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Rohan Kapoor</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Engineering Lead. He pressure-tests your PRD in Week 5 and rewards trade-off-aware specs.</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Maya Khanna</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UX Designer. She wants principled critique in Week 6, not opinions, and she owns the redesign.</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Riya Sharma</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Data Analyst. She catches you in Week 7 if you skip the power calculation.</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Sneha Iyer</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Product Marketing Manager. Your launch partner in Week 8 for positioning and crisis messaging.</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Anjali Rao</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CFO. Numbers-only. She rejects any Week 9 pricing proposal without CAC payback and LTV math.</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40"/>
              <w:bottom w:type="dxa" w:w="90"/>
              <w:right w:type="dxa" w:w="140"/>
            </w:tcMar>
          </w:tcPr>
          <w:p>
            <w:r>
              <w:rPr>
                <w:b/>
                <w:bCs/>
                <w:color w:val="1F3864"/>
              </w:rPr>
              <w:t xml:space="preserve">ARIA</w:t>
            </w:r>
          </w:p>
        </w:tc>
        <w:tc>
          <w:tcPr>
            <w:tcW w:type="dxa" w:w="6760"/>
            <w:tcBorders>
              <w:top w:val="single" w:color="BFBFBF" w:sz="4"/>
              <w:left w:val="single" w:color="BFBFBF" w:sz="4"/>
              <w:bottom w:val="single" w:color="BFBFBF" w:sz="4"/>
              <w:right w:val="single" w:color="BFBFBF" w:sz="4"/>
            </w:tcBorders>
            <w:tcMar>
              <w:top w:type="dxa" w:w="90"/>
              <w:left w:type="dxa" w:w="140"/>
              <w:bottom w:type="dxa" w:w="90"/>
              <w:right w:type="dxa" w:w="140"/>
            </w:tcMar>
          </w:tcPr>
          <w:p>
            <w:r>
              <w:t xml:space="preserve">Your AI mentor throughout, and your mock interviewer in the Week 10 capstone across three rounds.</w:t>
            </w:r>
          </w:p>
        </w:tc>
      </w:tr>
    </w:tbl>
    <w:p>
      <w:pPr>
        <w:pStyle w:val="Heading1"/>
        <w:pageBreakBefore/>
      </w:pPr>
      <w:r>
        <w:t xml:space="preserve">The two crisis weeks</w:t>
      </w:r>
    </w:p>
    <w:p>
      <w:pPr>
        <w:spacing w:after="130" w:line="280"/>
      </w:pPr>
      <w:r>
        <w:t xml:space="preserve">Weeks 4 and 8 are deliberately different. They are timed-pressure scenarios designed to test judgment, not just craft, and they are where the most valuable learning happens.</w:t>
      </w:r>
    </w:p>
    <w:p>
      <w:pPr>
        <w:pStyle w:val="Heading2"/>
      </w:pPr>
      <w:r>
        <w:t xml:space="preserve">Week 4: the pressure to cave</w:t>
      </w:r>
    </w:p>
    <w:p>
      <w:pPr>
        <w:spacing w:after="130" w:line="280"/>
      </w:pPr>
      <w:r>
        <w:t xml:space="preserve">VP Sales escalates a large deal to the CEO and demands a feature that contradicts your strategy. The instinctive move is to say “let me see what I can do” and quietly wreck your roadmap. The lesson is to buy time, run the RICE math, and push back with numbers. If you cave first, that is fine; recovering with data is the muscle the week is building. This exact moment becomes your strongest behavioural-interview story in Week 10.</w:t>
      </w:r>
    </w:p>
    <w:p>
      <w:pPr>
        <w:pStyle w:val="Heading2"/>
      </w:pPr>
      <w:r>
        <w:t xml:space="preserve">Week 8: the pressure to investigate</w:t>
      </w:r>
    </w:p>
    <w:p>
      <w:pPr>
        <w:spacing w:after="130" w:line="280"/>
      </w:pPr>
      <w:r>
        <w:t xml:space="preserve">Six hours after launch, support tickets spike past your rollback threshold. The instinct is to debug while the broken feature stays live. The lesson is the playbook order: rollback first, diagnose second, communicate third. Every minute the broken feature is live costs more trust than a rollback would. Senior PMs are senior largely because they have internalized this order.</w:t>
      </w:r>
    </w:p>
    <w:tbl>
      <w:tblPr>
        <w:tblW w:type="dxa" w:w="9360"/>
        <w:tblBorders>
          <w:top w:val="single" w:color="C49A2E" w:sz="4"/>
          <w:left w:val="single" w:color="C49A2E" w:sz="18"/>
          <w:bottom w:val="single" w:color="C49A2E" w:sz="4"/>
          <w:right w:val="single" w:color="C49A2E" w:sz="4"/>
          <w:insideH w:val="none"/>
          <w:insideV w:val="none"/>
        </w:tblBorders>
      </w:tblPr>
      <w:tblGrid>
        <w:gridCol w:w="9360"/>
      </w:tblGrid>
      <w:tr>
        <w:tc>
          <w:tcPr>
            <w:tcW w:type="dxa" w:w="9360"/>
            <w:shd w:fill="FBF3E2" w:val="clear"/>
            <w:tcMar>
              <w:top w:type="dxa" w:w="130"/>
              <w:left w:type="dxa" w:w="180"/>
              <w:bottom w:type="dxa" w:w="130"/>
              <w:right w:type="dxa" w:w="180"/>
            </w:tcMar>
          </w:tcPr>
          <w:p>
            <w:pPr>
              <w:spacing w:after="60"/>
            </w:pPr>
            <w:r>
              <w:rPr>
                <w:b/>
                <w:bCs/>
                <w:color w:val="C49A2E"/>
              </w:rPr>
              <w:t xml:space="preserve">Why the crises matter most</w:t>
            </w:r>
          </w:p>
          <w:p>
            <w:pPr>
              <w:spacing w:after="0" w:line="272"/>
            </w:pPr>
            <w:r>
              <w:t xml:space="preserve">Craft can be taught from a checklist. Judgment under pressure can only be practiced. The two crisis weeks are where you rehearse the decisions that actually separate senior PMs from junior ones, in a setting where the cost of getting it wrong is a redo, not a real outage.</w:t>
            </w:r>
          </w:p>
        </w:tc>
      </w:tr>
    </w:tbl>
    <w:p>
      <w:pPr>
        <w:pStyle w:val="Heading1"/>
      </w:pPr>
      <w:r>
        <w:t xml:space="preserve">How to get the most out of it</w:t>
      </w:r>
    </w:p>
    <w:p>
      <w:pPr>
        <w:pStyle w:val="ListParagraph"/>
        <w:numPr>
          <w:ilvl w:val="0"/>
          <w:numId w:val="2"/>
        </w:numPr>
        <w:spacing w:after="90" w:line="272"/>
      </w:pPr>
      <w:r>
        <w:rPr>
          <w:b/>
          <w:bCs/>
        </w:rPr>
        <w:t xml:space="preserve">Take the foundation seriously. </w:t>
      </w:r>
      <w:r>
        <w:t xml:space="preserve">Each week stands on what came before. If your Week 2 insight is weak, your Week 3 strategy will be weak, and so on down the line. Treat the early weeks as load-bearing.</w:t>
      </w:r>
    </w:p>
    <w:p>
      <w:pPr>
        <w:pStyle w:val="ListParagraph"/>
        <w:numPr>
          <w:ilvl w:val="0"/>
          <w:numId w:val="2"/>
        </w:numPr>
        <w:spacing w:after="90" w:line="272"/>
      </w:pPr>
      <w:r>
        <w:rPr>
          <w:b/>
          <w:bCs/>
        </w:rPr>
        <w:t xml:space="preserve">Resist the urge to fake it. </w:t>
      </w:r>
      <w:r>
        <w:t xml:space="preserve">In the interviews especially, never lead the witness and never pitch. In the crises, do not fake competence. The program (and ARIA) rewards honesty like “I don’t know the formula, let me learn it” far more than false confidence.</w:t>
      </w:r>
    </w:p>
    <w:p>
      <w:pPr>
        <w:pStyle w:val="ListParagraph"/>
        <w:numPr>
          <w:ilvl w:val="0"/>
          <w:numId w:val="2"/>
        </w:numPr>
        <w:spacing w:after="90" w:line="272"/>
      </w:pPr>
      <w:r>
        <w:rPr>
          <w:b/>
          <w:bCs/>
        </w:rPr>
        <w:t xml:space="preserve">Be specific to the point of discomfort. </w:t>
      </w:r>
      <w:r>
        <w:t xml:space="preserve">Vague language is the enemy in every single week. Replace adjectives with numbers: a segment, a threshold, a date, a target. That habit is the whole point.</w:t>
      </w:r>
    </w:p>
    <w:p>
      <w:pPr>
        <w:pStyle w:val="ListParagraph"/>
        <w:numPr>
          <w:ilvl w:val="0"/>
          <w:numId w:val="2"/>
        </w:numPr>
        <w:spacing w:after="90" w:line="272"/>
      </w:pPr>
      <w:r>
        <w:rPr>
          <w:b/>
          <w:bCs/>
        </w:rPr>
        <w:t xml:space="preserve">Let yourself stumble in the crises. </w:t>
      </w:r>
      <w:r>
        <w:t xml:space="preserve">You will probably make the classic mistake in Week 4 or 8. Good. Write the recovery down honestly; it is the most compelling thing in your final portfolio.</w:t>
      </w:r>
    </w:p>
    <w:p>
      <w:pPr>
        <w:pStyle w:val="ListParagraph"/>
        <w:numPr>
          <w:ilvl w:val="0"/>
          <w:numId w:val="2"/>
        </w:numPr>
        <w:spacing w:after="90" w:line="272"/>
      </w:pPr>
      <w:r>
        <w:rPr>
          <w:b/>
          <w:bCs/>
        </w:rPr>
        <w:t xml:space="preserve">Aim for the portfolio, not the completion. </w:t>
      </w:r>
      <w:r>
        <w:t xml:space="preserve">The certificate is not the prize. The 18-page portfolio is. It is the artifact you send to hiring managers, and it outlasts any badge.</w:t>
      </w:r>
    </w:p>
    <w:p>
      <w:pPr>
        <w:pStyle w:val="Heading1"/>
      </w:pPr>
      <w:r>
        <w:t xml:space="preserve">The payoff</w:t>
      </w:r>
    </w:p>
    <w:p>
      <w:pPr>
        <w:spacing w:after="130" w:line="280"/>
      </w:pPr>
      <w:r>
        <w:t xml:space="preserve">By the end you have done, not just studied, the full PM loop: discovery, strategy, prioritization, specification, design partnership, experimentation, launch, and monetization, all on one product you can talk about fluently. You will also have rehearsed the three standard PM interview formats (product sense, execution, behavioural) with a mentor who pushes back.</w:t>
      </w:r>
    </w:p>
    <w:p>
      <w:pPr>
        <w:spacing w:after="130" w:line="280"/>
      </w:pPr>
      <w:r>
        <w:t xml:space="preserve">Most importantly, you will have a single coherent portfolio that shows end-to-end product thinking rather than a pile of disconnected exercises. Hiring managers consistently value proof of work over claims, and this is proof of work. Read the detailed guide week by week as you go; use this explainer to keep the whole shape in 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08080"/>
        <w:sz w:val="16"/>
        <w:szCs w:val="16"/>
      </w:rPr>
      <w:t xml:space="preserve">How the 10 PM Projects Work  ·  Explainer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40" w:before="2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90" w:before="20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10 PM Projects Work - Explainer</dc:title>
  <dc:creator>Amandeep</dc:creator>
  <cp:lastModifiedBy>Un-named</cp:lastModifiedBy>
  <cp:revision>1</cp:revision>
  <dcterms:created xsi:type="dcterms:W3CDTF">2026-06-22T13:04:56.022Z</dcterms:created>
  <dcterms:modified xsi:type="dcterms:W3CDTF">2026-06-22T13:04:56.023Z</dcterms:modified>
</cp:coreProperties>
</file>

<file path=docProps/custom.xml><?xml version="1.0" encoding="utf-8"?>
<Properties xmlns="http://schemas.openxmlformats.org/officeDocument/2006/custom-properties" xmlns:vt="http://schemas.openxmlformats.org/officeDocument/2006/docPropsVTypes"/>
</file>