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Week 8 - GTM Launch &amp; Crisis Playbook</w:t>
      </w:r>
    </w:p>
    <w:p>
      <w:pPr>
        <w:spacing w:after="120"/>
        <w:jc w:val="center"/>
      </w:pPr>
      <w:r>
        <w:rPr>
          <w:b/>
        </w:rPr>
        <w:t>PixelPay Day-End Summary | PM: Amandeep Kaur | PMM: Sneha Iyer</w:t>
      </w:r>
    </w:p>
    <w:p>
      <w:pPr>
        <w:spacing w:after="80" w:line="252" w:lineRule="auto"/>
      </w:pPr>
      <w:r>
        <w:t>Context: The Week 7 A/B test won with D7 retention up 6 percentage points. The feature is ready to move from 10% rollout to 100% of eligible merchants, with launch messaging, support readiness, and a strict incident playbook.</w:t>
      </w:r>
    </w:p>
    <w:p>
      <w:pPr>
        <w:pStyle w:val="Heading1"/>
        <w:spacing w:before="160" w:after="60"/>
      </w:pPr>
      <w:r>
        <w:t>1. Positioning Statement with Sneha</w:t>
      </w:r>
    </w:p>
    <w:p>
      <w:pPr>
        <w:spacing w:after="80" w:line="252" w:lineRule="auto"/>
      </w:pPr>
      <w:r>
        <w:t>FOR Indian SMB merchants closing shop after a long day, WHO struggle to know where the day's money ended up without opening multiple apps, OUR Day-End Summary IS a one-glance evening summary THAT shows today's total collections, pending settlements, and net-to-bank in Hindi or English, UNLIKE manual reconciliation across payment apps, WE make the daily money check feel simple, trusted, and fast.</w:t>
      </w:r>
    </w:p>
    <w:p>
      <w:pPr>
        <w:spacing w:after="80" w:line="252" w:lineRule="auto"/>
      </w:pPr>
      <w:r>
        <w:t>Core message: Know your day's money in one glance. No spreadsheet. No confusion. No app-hopping.</w:t>
      </w:r>
    </w:p>
    <w:p>
      <w:pPr>
        <w:spacing w:after="80" w:line="252" w:lineRule="auto"/>
      </w:pPr>
      <w:r>
        <w:t>Launch tier: Tier 2 feature launch. This is meaningful enough for in-app messaging, merchant education, WhatsApp/email, and support training, but not a press launch because PixelPay remains a payments product with a stronger daily-use ritual.</w:t>
      </w:r>
    </w:p>
    <w:p>
      <w:pPr>
        <w:pStyle w:val="Heading1"/>
        <w:spacing w:before="160" w:after="60"/>
      </w:pPr>
      <w:r>
        <w:t>2. Five-Phase Launch Checklist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tcMar>
              <w:top w:w="70" w:type="dxa"/>
              <w:start w:w="70" w:type="dxa"/>
              <w:bottom w:w="70" w:type="dxa"/>
              <w:end w:w="70" w:type="dxa"/>
            </w:tcMar>
            <w:shd w:fill="D9EAF7"/>
          </w:tcPr>
          <w:p>
            <w:pPr>
              <w:spacing w:after="0" w:line="240" w:lineRule="auto"/>
            </w:pPr>
            <w:r>
              <w:rPr>
                <w:rFonts w:ascii="Arial" w:hAnsi="Arial"/>
                <w:b/>
                <w:sz w:val="16"/>
              </w:rPr>
              <w:t>Phase</w:t>
            </w:r>
          </w:p>
        </w:tc>
        <w:tc>
          <w:tcPr>
            <w:tcW w:type="dxa" w:w="2664"/>
            <w:vAlign w:val="top"/>
            <w:tcMar>
              <w:top w:w="70" w:type="dxa"/>
              <w:start w:w="70" w:type="dxa"/>
              <w:bottom w:w="70" w:type="dxa"/>
              <w:end w:w="70" w:type="dxa"/>
            </w:tcMar>
            <w:shd w:fill="D9EAF7"/>
          </w:tcPr>
          <w:p>
            <w:pPr>
              <w:spacing w:after="0" w:line="240" w:lineRule="auto"/>
            </w:pPr>
            <w:r>
              <w:rPr>
                <w:rFonts w:ascii="Arial" w:hAnsi="Arial"/>
                <w:b/>
                <w:sz w:val="16"/>
              </w:rPr>
              <w:t>Window</w:t>
            </w:r>
          </w:p>
        </w:tc>
        <w:tc>
          <w:tcPr>
            <w:tcW w:type="dxa" w:w="2664"/>
            <w:vAlign w:val="top"/>
            <w:tcMar>
              <w:top w:w="70" w:type="dxa"/>
              <w:start w:w="70" w:type="dxa"/>
              <w:bottom w:w="70" w:type="dxa"/>
              <w:end w:w="70" w:type="dxa"/>
            </w:tcMar>
            <w:shd w:fill="D9EAF7"/>
          </w:tcPr>
          <w:p>
            <w:pPr>
              <w:spacing w:after="0" w:line="240" w:lineRule="auto"/>
            </w:pPr>
            <w:r>
              <w:rPr>
                <w:rFonts w:ascii="Arial" w:hAnsi="Arial"/>
                <w:b/>
                <w:sz w:val="16"/>
              </w:rPr>
              <w:t>Owner</w:t>
            </w:r>
          </w:p>
        </w:tc>
        <w:tc>
          <w:tcPr>
            <w:tcW w:type="dxa" w:w="2664"/>
            <w:vAlign w:val="top"/>
            <w:tcMar>
              <w:top w:w="70" w:type="dxa"/>
              <w:start w:w="70" w:type="dxa"/>
              <w:bottom w:w="70" w:type="dxa"/>
              <w:end w:w="70" w:type="dxa"/>
            </w:tcMar>
            <w:shd w:fill="D9EAF7"/>
          </w:tcPr>
          <w:p>
            <w:pPr>
              <w:spacing w:after="0" w:line="240" w:lineRule="auto"/>
            </w:pPr>
            <w:r>
              <w:rPr>
                <w:rFonts w:ascii="Arial" w:hAnsi="Arial"/>
                <w:b/>
                <w:sz w:val="16"/>
              </w:rPr>
              <w:t>Must be done before moving on</w:t>
            </w:r>
          </w:p>
        </w:tc>
      </w:tr>
      <w:tr>
        <w:tc>
          <w:tcPr>
            <w:tcW w:type="dxa" w:w="2664"/>
            <w:vAlign w:val="top"/>
            <w:tcMar>
              <w:top w:w="70" w:type="dxa"/>
              <w:start w:w="70" w:type="dxa"/>
              <w:bottom w:w="70" w:type="dxa"/>
              <w:end w:w="70" w:type="dxa"/>
            </w:tcMar>
          </w:tcPr>
          <w:p>
            <w:pPr>
              <w:spacing w:after="0" w:line="240" w:lineRule="auto"/>
            </w:pPr>
            <w:r>
              <w:rPr>
                <w:rFonts w:ascii="Arial" w:hAnsi="Arial"/>
                <w:sz w:val="16"/>
              </w:rPr>
              <w:t>1. Pre-launch</w:t>
            </w:r>
          </w:p>
        </w:tc>
        <w:tc>
          <w:tcPr>
            <w:tcW w:type="dxa" w:w="2664"/>
            <w:vAlign w:val="top"/>
            <w:tcMar>
              <w:top w:w="70" w:type="dxa"/>
              <w:start w:w="70" w:type="dxa"/>
              <w:bottom w:w="70" w:type="dxa"/>
              <w:end w:w="70" w:type="dxa"/>
            </w:tcMar>
          </w:tcPr>
          <w:p>
            <w:pPr>
              <w:spacing w:after="0" w:line="240" w:lineRule="auto"/>
            </w:pPr>
            <w:r>
              <w:rPr>
                <w:rFonts w:ascii="Arial" w:hAnsi="Arial"/>
                <w:sz w:val="16"/>
              </w:rPr>
              <w:t>T-14 to T-7</w:t>
            </w:r>
          </w:p>
        </w:tc>
        <w:tc>
          <w:tcPr>
            <w:tcW w:type="dxa" w:w="2664"/>
            <w:vAlign w:val="top"/>
            <w:tcMar>
              <w:top w:w="70" w:type="dxa"/>
              <w:start w:w="70" w:type="dxa"/>
              <w:bottom w:w="70" w:type="dxa"/>
              <w:end w:w="70" w:type="dxa"/>
            </w:tcMar>
          </w:tcPr>
          <w:p>
            <w:pPr>
              <w:spacing w:after="0" w:line="240" w:lineRule="auto"/>
            </w:pPr>
            <w:r>
              <w:rPr>
                <w:rFonts w:ascii="Arial" w:hAnsi="Arial"/>
                <w:sz w:val="16"/>
              </w:rPr>
              <w:t>PM + Eng + PMM</w:t>
            </w:r>
          </w:p>
        </w:tc>
        <w:tc>
          <w:tcPr>
            <w:tcW w:type="dxa" w:w="2664"/>
            <w:vAlign w:val="top"/>
            <w:tcMar>
              <w:top w:w="70" w:type="dxa"/>
              <w:start w:w="70" w:type="dxa"/>
              <w:bottom w:w="70" w:type="dxa"/>
              <w:end w:w="70" w:type="dxa"/>
            </w:tcMar>
          </w:tcPr>
          <w:p>
            <w:pPr>
              <w:spacing w:after="0" w:line="240" w:lineRule="auto"/>
            </w:pPr>
            <w:r>
              <w:rPr>
                <w:rFonts w:ascii="Arial" w:hAnsi="Arial"/>
                <w:sz w:val="16"/>
              </w:rPr>
              <w:t>Spec frozen; QA pass; Hindi/English copy approved; analytics events checked; rollback switch tested; support article drafted.</w:t>
            </w:r>
          </w:p>
        </w:tc>
      </w:tr>
      <w:tr>
        <w:tc>
          <w:tcPr>
            <w:tcW w:type="dxa" w:w="2664"/>
            <w:vAlign w:val="top"/>
            <w:tcMar>
              <w:top w:w="70" w:type="dxa"/>
              <w:start w:w="70" w:type="dxa"/>
              <w:bottom w:w="70" w:type="dxa"/>
              <w:end w:w="70" w:type="dxa"/>
            </w:tcMar>
          </w:tcPr>
          <w:p>
            <w:pPr>
              <w:spacing w:after="0" w:line="240" w:lineRule="auto"/>
            </w:pPr>
            <w:r>
              <w:rPr>
                <w:rFonts w:ascii="Arial" w:hAnsi="Arial"/>
                <w:sz w:val="16"/>
              </w:rPr>
              <w:t>2. Soft launch</w:t>
            </w:r>
          </w:p>
        </w:tc>
        <w:tc>
          <w:tcPr>
            <w:tcW w:type="dxa" w:w="2664"/>
            <w:vAlign w:val="top"/>
            <w:tcMar>
              <w:top w:w="70" w:type="dxa"/>
              <w:start w:w="70" w:type="dxa"/>
              <w:bottom w:w="70" w:type="dxa"/>
              <w:end w:w="70" w:type="dxa"/>
            </w:tcMar>
          </w:tcPr>
          <w:p>
            <w:pPr>
              <w:spacing w:after="0" w:line="240" w:lineRule="auto"/>
            </w:pPr>
            <w:r>
              <w:rPr>
                <w:rFonts w:ascii="Arial" w:hAnsi="Arial"/>
                <w:sz w:val="16"/>
              </w:rPr>
              <w:t>T-7 to T-0</w:t>
            </w:r>
          </w:p>
        </w:tc>
        <w:tc>
          <w:tcPr>
            <w:tcW w:type="dxa" w:w="2664"/>
            <w:vAlign w:val="top"/>
            <w:tcMar>
              <w:top w:w="70" w:type="dxa"/>
              <w:start w:w="70" w:type="dxa"/>
              <w:bottom w:w="70" w:type="dxa"/>
              <w:end w:w="70" w:type="dxa"/>
            </w:tcMar>
          </w:tcPr>
          <w:p>
            <w:pPr>
              <w:spacing w:after="0" w:line="240" w:lineRule="auto"/>
            </w:pPr>
            <w:r>
              <w:rPr>
                <w:rFonts w:ascii="Arial" w:hAnsi="Arial"/>
                <w:sz w:val="16"/>
              </w:rPr>
              <w:t>PM + Data</w:t>
            </w:r>
          </w:p>
        </w:tc>
        <w:tc>
          <w:tcPr>
            <w:tcW w:type="dxa" w:w="2664"/>
            <w:vAlign w:val="top"/>
            <w:tcMar>
              <w:top w:w="70" w:type="dxa"/>
              <w:start w:w="70" w:type="dxa"/>
              <w:bottom w:w="70" w:type="dxa"/>
              <w:end w:w="70" w:type="dxa"/>
            </w:tcMar>
          </w:tcPr>
          <w:p>
            <w:pPr>
              <w:spacing w:after="0" w:line="240" w:lineRule="auto"/>
            </w:pPr>
            <w:r>
              <w:rPr>
                <w:rFonts w:ascii="Arial" w:hAnsi="Arial"/>
                <w:sz w:val="16"/>
              </w:rPr>
              <w:t>Keep 10% rollout live; monitor D7 retention, crashes, support tickets, push opt-outs, and settlement complaints.</w:t>
            </w:r>
          </w:p>
        </w:tc>
      </w:tr>
      <w:tr>
        <w:tc>
          <w:tcPr>
            <w:tcW w:type="dxa" w:w="2664"/>
            <w:vAlign w:val="top"/>
            <w:tcMar>
              <w:top w:w="70" w:type="dxa"/>
              <w:start w:w="70" w:type="dxa"/>
              <w:bottom w:w="70" w:type="dxa"/>
              <w:end w:w="70" w:type="dxa"/>
            </w:tcMar>
          </w:tcPr>
          <w:p>
            <w:pPr>
              <w:spacing w:after="0" w:line="240" w:lineRule="auto"/>
            </w:pPr>
            <w:r>
              <w:rPr>
                <w:rFonts w:ascii="Arial" w:hAnsi="Arial"/>
                <w:sz w:val="16"/>
              </w:rPr>
              <w:t>3. Full launch</w:t>
            </w:r>
          </w:p>
        </w:tc>
        <w:tc>
          <w:tcPr>
            <w:tcW w:type="dxa" w:w="2664"/>
            <w:vAlign w:val="top"/>
            <w:tcMar>
              <w:top w:w="70" w:type="dxa"/>
              <w:start w:w="70" w:type="dxa"/>
              <w:bottom w:w="70" w:type="dxa"/>
              <w:end w:w="70" w:type="dxa"/>
            </w:tcMar>
          </w:tcPr>
          <w:p>
            <w:pPr>
              <w:spacing w:after="0" w:line="240" w:lineRule="auto"/>
            </w:pPr>
            <w:r>
              <w:rPr>
                <w:rFonts w:ascii="Arial" w:hAnsi="Arial"/>
                <w:sz w:val="16"/>
              </w:rPr>
              <w:t>Launch day</w:t>
            </w:r>
          </w:p>
        </w:tc>
        <w:tc>
          <w:tcPr>
            <w:tcW w:type="dxa" w:w="2664"/>
            <w:vAlign w:val="top"/>
            <w:tcMar>
              <w:top w:w="70" w:type="dxa"/>
              <w:start w:w="70" w:type="dxa"/>
              <w:bottom w:w="70" w:type="dxa"/>
              <w:end w:w="70" w:type="dxa"/>
            </w:tcMar>
          </w:tcPr>
          <w:p>
            <w:pPr>
              <w:spacing w:after="0" w:line="240" w:lineRule="auto"/>
            </w:pPr>
            <w:r>
              <w:rPr>
                <w:rFonts w:ascii="Arial" w:hAnsi="Arial"/>
                <w:sz w:val="16"/>
              </w:rPr>
              <w:t>PMM + PM</w:t>
            </w:r>
          </w:p>
        </w:tc>
        <w:tc>
          <w:tcPr>
            <w:tcW w:type="dxa" w:w="2664"/>
            <w:vAlign w:val="top"/>
            <w:tcMar>
              <w:top w:w="70" w:type="dxa"/>
              <w:start w:w="70" w:type="dxa"/>
              <w:bottom w:w="70" w:type="dxa"/>
              <w:end w:w="70" w:type="dxa"/>
            </w:tcMar>
          </w:tcPr>
          <w:p>
            <w:pPr>
              <w:spacing w:after="0" w:line="240" w:lineRule="auto"/>
            </w:pPr>
            <w:r>
              <w:rPr>
                <w:rFonts w:ascii="Arial" w:hAnsi="Arial"/>
                <w:sz w:val="16"/>
              </w:rPr>
              <w:t>Ramp to 100%; send in-app announcement, email/WhatsApp, support macros, and help article.</w:t>
            </w:r>
          </w:p>
        </w:tc>
      </w:tr>
      <w:tr>
        <w:tc>
          <w:tcPr>
            <w:tcW w:type="dxa" w:w="2664"/>
            <w:vAlign w:val="top"/>
            <w:tcMar>
              <w:top w:w="70" w:type="dxa"/>
              <w:start w:w="70" w:type="dxa"/>
              <w:bottom w:w="70" w:type="dxa"/>
              <w:end w:w="70" w:type="dxa"/>
            </w:tcMar>
          </w:tcPr>
          <w:p>
            <w:pPr>
              <w:spacing w:after="0" w:line="240" w:lineRule="auto"/>
            </w:pPr>
            <w:r>
              <w:rPr>
                <w:rFonts w:ascii="Arial" w:hAnsi="Arial"/>
                <w:sz w:val="16"/>
              </w:rPr>
              <w:t>4. Monitoring</w:t>
            </w:r>
          </w:p>
        </w:tc>
        <w:tc>
          <w:tcPr>
            <w:tcW w:type="dxa" w:w="2664"/>
            <w:vAlign w:val="top"/>
            <w:tcMar>
              <w:top w:w="70" w:type="dxa"/>
              <w:start w:w="70" w:type="dxa"/>
              <w:bottom w:w="70" w:type="dxa"/>
              <w:end w:w="70" w:type="dxa"/>
            </w:tcMar>
          </w:tcPr>
          <w:p>
            <w:pPr>
              <w:spacing w:after="0" w:line="240" w:lineRule="auto"/>
            </w:pPr>
            <w:r>
              <w:rPr>
                <w:rFonts w:ascii="Arial" w:hAnsi="Arial"/>
                <w:sz w:val="16"/>
              </w:rPr>
              <w:t>T+1 to T+14</w:t>
            </w:r>
          </w:p>
        </w:tc>
        <w:tc>
          <w:tcPr>
            <w:tcW w:type="dxa" w:w="2664"/>
            <w:vAlign w:val="top"/>
            <w:tcMar>
              <w:top w:w="70" w:type="dxa"/>
              <w:start w:w="70" w:type="dxa"/>
              <w:bottom w:w="70" w:type="dxa"/>
              <w:end w:w="70" w:type="dxa"/>
            </w:tcMar>
          </w:tcPr>
          <w:p>
            <w:pPr>
              <w:spacing w:after="0" w:line="240" w:lineRule="auto"/>
            </w:pPr>
            <w:r>
              <w:rPr>
                <w:rFonts w:ascii="Arial" w:hAnsi="Arial"/>
                <w:sz w:val="16"/>
              </w:rPr>
              <w:t>PM + Data + Support</w:t>
            </w:r>
          </w:p>
        </w:tc>
        <w:tc>
          <w:tcPr>
            <w:tcW w:type="dxa" w:w="2664"/>
            <w:vAlign w:val="top"/>
            <w:tcMar>
              <w:top w:w="70" w:type="dxa"/>
              <w:start w:w="70" w:type="dxa"/>
              <w:bottom w:w="70" w:type="dxa"/>
              <w:end w:w="70" w:type="dxa"/>
            </w:tcMar>
          </w:tcPr>
          <w:p>
            <w:pPr>
              <w:spacing w:after="0" w:line="240" w:lineRule="auto"/>
            </w:pPr>
            <w:r>
              <w:rPr>
                <w:rFonts w:ascii="Arial" w:hAnsi="Arial"/>
                <w:sz w:val="16"/>
              </w:rPr>
              <w:t>Daily dashboard review; issue triage; watch ticket themes and merchant confusion.</w:t>
            </w:r>
          </w:p>
        </w:tc>
      </w:tr>
      <w:tr>
        <w:tc>
          <w:tcPr>
            <w:tcW w:type="dxa" w:w="2664"/>
            <w:vAlign w:val="top"/>
            <w:tcMar>
              <w:top w:w="70" w:type="dxa"/>
              <w:start w:w="70" w:type="dxa"/>
              <w:bottom w:w="70" w:type="dxa"/>
              <w:end w:w="70" w:type="dxa"/>
            </w:tcMar>
          </w:tcPr>
          <w:p>
            <w:pPr>
              <w:spacing w:after="0" w:line="240" w:lineRule="auto"/>
            </w:pPr>
            <w:r>
              <w:rPr>
                <w:rFonts w:ascii="Arial" w:hAnsi="Arial"/>
                <w:sz w:val="16"/>
              </w:rPr>
              <w:t>5. Retro</w:t>
            </w:r>
          </w:p>
        </w:tc>
        <w:tc>
          <w:tcPr>
            <w:tcW w:type="dxa" w:w="2664"/>
            <w:vAlign w:val="top"/>
            <w:tcMar>
              <w:top w:w="70" w:type="dxa"/>
              <w:start w:w="70" w:type="dxa"/>
              <w:bottom w:w="70" w:type="dxa"/>
              <w:end w:w="70" w:type="dxa"/>
            </w:tcMar>
          </w:tcPr>
          <w:p>
            <w:pPr>
              <w:spacing w:after="0" w:line="240" w:lineRule="auto"/>
            </w:pPr>
            <w:r>
              <w:rPr>
                <w:rFonts w:ascii="Arial" w:hAnsi="Arial"/>
                <w:sz w:val="16"/>
              </w:rPr>
              <w:t>T+21</w:t>
            </w:r>
          </w:p>
        </w:tc>
        <w:tc>
          <w:tcPr>
            <w:tcW w:type="dxa" w:w="2664"/>
            <w:vAlign w:val="top"/>
            <w:tcMar>
              <w:top w:w="70" w:type="dxa"/>
              <w:start w:w="70" w:type="dxa"/>
              <w:bottom w:w="70" w:type="dxa"/>
              <w:end w:w="70" w:type="dxa"/>
            </w:tcMar>
          </w:tcPr>
          <w:p>
            <w:pPr>
              <w:spacing w:after="0" w:line="240" w:lineRule="auto"/>
            </w:pPr>
            <w:r>
              <w:rPr>
                <w:rFonts w:ascii="Arial" w:hAnsi="Arial"/>
                <w:sz w:val="16"/>
              </w:rPr>
              <w:t>Full team</w:t>
            </w:r>
          </w:p>
        </w:tc>
        <w:tc>
          <w:tcPr>
            <w:tcW w:type="dxa" w:w="2664"/>
            <w:vAlign w:val="top"/>
            <w:tcMar>
              <w:top w:w="70" w:type="dxa"/>
              <w:start w:w="70" w:type="dxa"/>
              <w:bottom w:w="70" w:type="dxa"/>
              <w:end w:w="70" w:type="dxa"/>
            </w:tcMar>
          </w:tcPr>
          <w:p>
            <w:pPr>
              <w:spacing w:after="0" w:line="240" w:lineRule="auto"/>
            </w:pPr>
            <w:r>
              <w:rPr>
                <w:rFonts w:ascii="Arial" w:hAnsi="Arial"/>
                <w:sz w:val="16"/>
              </w:rPr>
              <w:t>Review launch metrics, incidents, root causes, and v2 ideas such as weekly trend and voice readout.</w:t>
            </w:r>
          </w:p>
        </w:tc>
      </w:tr>
    </w:tbl>
    <w:p>
      <w:pPr>
        <w:spacing w:after="20"/>
      </w:pPr>
    </w:p>
    <w:p>
      <w:pPr>
        <w:pStyle w:val="Heading1"/>
        <w:spacing w:before="160" w:after="60"/>
      </w:pPr>
      <w:r>
        <w:t>3. In-App Messaging</w:t>
      </w:r>
    </w:p>
    <w:p>
      <w:pPr>
        <w:spacing w:after="80" w:line="252" w:lineRule="auto"/>
      </w:pPr>
      <w:r>
        <w:t>Entry banner: New: Your Day-End Summary is ready. See today's collections, pending settlements, and net-to-bank in one glance.</w:t>
      </w:r>
    </w:p>
    <w:p>
      <w:pPr>
        <w:spacing w:after="80" w:line="252" w:lineRule="auto"/>
      </w:pPr>
      <w:r>
        <w:t>Push at close time: Today's money summary is ready. Check collections and settlement status in PixelPay.</w:t>
      </w:r>
    </w:p>
    <w:p>
      <w:pPr>
        <w:spacing w:after="80" w:line="252" w:lineRule="auto"/>
      </w:pPr>
      <w:r>
        <w:t>Empty/error state: We could not refresh this number yet. Your payouts are safe. Try again in a few minutes or contact support.</w:t>
      </w:r>
    </w:p>
    <w:p>
      <w:pPr>
        <w:spacing w:after="80" w:line="252" w:lineRule="auto"/>
      </w:pPr>
      <w:r>
        <w:t>Support tone: short, calm, and money-safe. Avoid technical language. The message must reassure merchants that settlement and payout systems are not affected.</w:t>
      </w:r>
    </w:p>
    <w:p>
      <w:pPr>
        <w:pStyle w:val="Heading1"/>
        <w:spacing w:before="160" w:after="60"/>
      </w:pPr>
      <w:r>
        <w:t>4. Launch to 100% Merchants</w:t>
      </w:r>
    </w:p>
    <w:p>
      <w:pPr>
        <w:spacing w:after="80" w:line="252" w:lineRule="auto"/>
      </w:pPr>
      <w:r>
        <w:t>Eligibility: active single-outlet SMB merchants with healthy transaction history. Rollout starts at 9:00 AM after final go/no-go review.</w:t>
      </w:r>
    </w:p>
    <w:p>
      <w:pPr>
        <w:spacing w:after="80" w:line="252" w:lineRule="auto"/>
      </w:pPr>
      <w:r>
        <w:t>Go/no-go checks: crash rate below 0.6%, support tickets below 50 per 1,000 merchants per week, push opt-out below 8%, analytics events firing correctly, and rollback path verified by engineering.</w:t>
      </w:r>
    </w:p>
    <w:p>
      <w:pPr>
        <w:spacing w:after="80" w:line="252" w:lineRule="auto"/>
      </w:pPr>
      <w:r>
        <w:t>Launch actions: enable feature flag for 100%, unpause close-time push, publish help article, send PMM announcement, open war room, and check dashboard every 30 minutes for the first 6 hours.</w:t>
      </w:r>
    </w:p>
    <w:p>
      <w:pPr>
        <w:spacing w:after="80" w:line="252" w:lineRule="auto"/>
      </w:pPr>
      <w:r>
        <w:t>Success readout: D7 retention lift holds, evening app opens increase, support tickets remain within guardrail, and merchants understand the meaning of total collections vs pending settlement.</w:t>
      </w:r>
    </w:p>
    <w:p>
      <w:pPr>
        <w:pStyle w:val="Heading1"/>
        <w:spacing w:before="160" w:after="60"/>
      </w:pPr>
      <w:r>
        <w:t>5. Crisis: 200 Tickets Say 'Total Amount Is Wrong'</w:t>
      </w:r>
    </w:p>
    <w:p>
      <w:pPr>
        <w:spacing w:after="80" w:line="252" w:lineRule="auto"/>
      </w:pPr>
      <w:r>
        <w:t>Situation: Six hours after launch, support reports 200 merchants saying the total amount is wrong. This is a trust-impacting money display issue. The response order is non-negotiable: rollback first, diagnose second, communicate third.</w:t>
      </w:r>
    </w:p>
    <w:p>
      <w:pPr>
        <w:spacing w:after="80" w:line="252" w:lineRule="auto"/>
      </w:pPr>
      <w:r>
        <w:t>Rollback trigger: if money-accuracy complaints exceed 75 tickets per 1,000 merchants per week, or if 100+ merchants report wrong totals in any 6-hour window, PM declares rollback with Engineering Lead. No debate during the incident.</w:t>
      </w:r>
    </w:p>
    <w:p>
      <w:pPr>
        <w:pStyle w:val="Heading1"/>
        <w:spacing w:before="160" w:after="60"/>
      </w:pPr>
      <w:r>
        <w:t>5A. Rollback First - Stop the Bleeding</w:t>
      </w:r>
    </w:p>
    <w:p>
      <w:pPr>
        <w:spacing w:after="80" w:line="252" w:lineRule="auto"/>
      </w:pPr>
      <w:r>
        <w:t>Within 15 minutes: turn off the Day-End Summary feature flag for 100% of merchants, revert to the last known-good old summary view, pause close-time pushes, and confirm rollback completion in the incident channel.</w:t>
      </w:r>
    </w:p>
    <w:p>
      <w:pPr>
        <w:spacing w:after="80" w:line="252" w:lineRule="auto"/>
      </w:pPr>
      <w:r>
        <w:t>Why first: merchants must not continue seeing wrong money totals while the team investigates. Debugging before rollback creates more harm and destroys trust.</w:t>
      </w:r>
    </w:p>
    <w:p>
      <w:pPr>
        <w:pStyle w:val="Heading1"/>
        <w:spacing w:before="160" w:after="60"/>
      </w:pPr>
      <w:r>
        <w:t>5B. Diagnose Second - Find the Cause</w:t>
      </w:r>
    </w:p>
    <w:p>
      <w:pPr>
        <w:spacing w:after="80" w:line="252" w:lineRule="auto"/>
      </w:pPr>
      <w:r>
        <w:t>After rollback: Riya segments affected tickets by city, merchant type, payment method, app version, settlement status, and transaction time. Engineering checks logs, recent code changes, cache refresh timing, timezone handling, and aggregation logic. Reproduce with affected merchant IDs, identify root cause, patch, QA with real edge cases, then relaunch only to 5%.</w:t>
      </w:r>
    </w:p>
    <w:p>
      <w:pPr>
        <w:pStyle w:val="Heading1"/>
        <w:spacing w:before="160" w:after="60"/>
      </w:pPr>
      <w:r>
        <w:t>5C. Communicate Third - Three Audiences</w:t>
      </w:r>
    </w:p>
    <w:tbl>
      <w:tblPr>
        <w:tblStyle w:val="TableGrid"/>
        <w:tblW w:type="auto" w:w="0"/>
        <w:jc w:val="center"/>
        <w:tblLook w:firstColumn="1" w:firstRow="1" w:lastColumn="0" w:lastRow="0" w:noHBand="0" w:noVBand="1" w:val="04A0"/>
      </w:tblPr>
      <w:tblGrid>
        <w:gridCol w:w="5328"/>
        <w:gridCol w:w="5328"/>
      </w:tblGrid>
      <w:tr>
        <w:tc>
          <w:tcPr>
            <w:tcW w:type="dxa" w:w="5328"/>
            <w:vAlign w:val="top"/>
            <w:tcMar>
              <w:top w:w="70" w:type="dxa"/>
              <w:start w:w="70" w:type="dxa"/>
              <w:bottom w:w="70" w:type="dxa"/>
              <w:end w:w="70" w:type="dxa"/>
            </w:tcMar>
            <w:shd w:fill="D9EAF7"/>
          </w:tcPr>
          <w:p>
            <w:pPr>
              <w:spacing w:after="0" w:line="240" w:lineRule="auto"/>
            </w:pPr>
            <w:r>
              <w:rPr>
                <w:rFonts w:ascii="Arial" w:hAnsi="Arial"/>
                <w:b/>
                <w:sz w:val="16"/>
              </w:rPr>
              <w:t>Audience</w:t>
            </w:r>
          </w:p>
        </w:tc>
        <w:tc>
          <w:tcPr>
            <w:tcW w:type="dxa" w:w="5328"/>
            <w:vAlign w:val="top"/>
            <w:tcMar>
              <w:top w:w="70" w:type="dxa"/>
              <w:start w:w="70" w:type="dxa"/>
              <w:bottom w:w="70" w:type="dxa"/>
              <w:end w:w="70" w:type="dxa"/>
            </w:tcMar>
            <w:shd w:fill="D9EAF7"/>
          </w:tcPr>
          <w:p>
            <w:pPr>
              <w:spacing w:after="0" w:line="240" w:lineRule="auto"/>
            </w:pPr>
            <w:r>
              <w:rPr>
                <w:rFonts w:ascii="Arial" w:hAnsi="Arial"/>
                <w:b/>
                <w:sz w:val="16"/>
              </w:rPr>
              <w:t>Message</w:t>
            </w:r>
          </w:p>
        </w:tc>
      </w:tr>
      <w:tr>
        <w:tc>
          <w:tcPr>
            <w:tcW w:type="dxa" w:w="5328"/>
            <w:vAlign w:val="top"/>
            <w:tcMar>
              <w:top w:w="70" w:type="dxa"/>
              <w:start w:w="70" w:type="dxa"/>
              <w:bottom w:w="70" w:type="dxa"/>
              <w:end w:w="70" w:type="dxa"/>
            </w:tcMar>
          </w:tcPr>
          <w:p>
            <w:pPr>
              <w:spacing w:after="0" w:line="240" w:lineRule="auto"/>
            </w:pPr>
            <w:r>
              <w:rPr>
                <w:rFonts w:ascii="Arial" w:hAnsi="Arial"/>
                <w:sz w:val="16"/>
              </w:rPr>
              <w:t>Merchants</w:t>
            </w:r>
          </w:p>
        </w:tc>
        <w:tc>
          <w:tcPr>
            <w:tcW w:type="dxa" w:w="5328"/>
            <w:vAlign w:val="top"/>
            <w:tcMar>
              <w:top w:w="70" w:type="dxa"/>
              <w:start w:w="70" w:type="dxa"/>
              <w:bottom w:w="70" w:type="dxa"/>
              <w:end w:w="70" w:type="dxa"/>
            </w:tcMar>
          </w:tcPr>
          <w:p>
            <w:pPr>
              <w:spacing w:after="0" w:line="240" w:lineRule="auto"/>
            </w:pPr>
            <w:r>
              <w:rPr>
                <w:rFonts w:ascii="Arial" w:hAnsi="Arial"/>
                <w:sz w:val="16"/>
              </w:rPr>
              <w:t>We temporarily reverted the new Day-End Summary while fixing a display issue. Your payouts and settlements are safe. You can continue using PixelPay as usual.</w:t>
            </w:r>
          </w:p>
        </w:tc>
      </w:tr>
      <w:tr>
        <w:tc>
          <w:tcPr>
            <w:tcW w:type="dxa" w:w="5328"/>
            <w:vAlign w:val="top"/>
            <w:tcMar>
              <w:top w:w="70" w:type="dxa"/>
              <w:start w:w="70" w:type="dxa"/>
              <w:bottom w:w="70" w:type="dxa"/>
              <w:end w:w="70" w:type="dxa"/>
            </w:tcMar>
          </w:tcPr>
          <w:p>
            <w:pPr>
              <w:spacing w:after="0" w:line="240" w:lineRule="auto"/>
            </w:pPr>
            <w:r>
              <w:rPr>
                <w:rFonts w:ascii="Arial" w:hAnsi="Arial"/>
                <w:sz w:val="16"/>
              </w:rPr>
              <w:t>Internal team</w:t>
            </w:r>
          </w:p>
        </w:tc>
        <w:tc>
          <w:tcPr>
            <w:tcW w:type="dxa" w:w="5328"/>
            <w:vAlign w:val="top"/>
            <w:tcMar>
              <w:top w:w="70" w:type="dxa"/>
              <w:start w:w="70" w:type="dxa"/>
              <w:bottom w:w="70" w:type="dxa"/>
              <w:end w:w="70" w:type="dxa"/>
            </w:tcMar>
          </w:tcPr>
          <w:p>
            <w:pPr>
              <w:spacing w:after="0" w:line="240" w:lineRule="auto"/>
            </w:pPr>
            <w:r>
              <w:rPr>
                <w:rFonts w:ascii="Arial" w:hAnsi="Arial"/>
                <w:sz w:val="16"/>
              </w:rPr>
              <w:t>Rollback complete. Issue: some merchants saw incorrect total amount display. Engineering and Data are diagnosing segments and root cause. Support should use the approved money-safe macro only.</w:t>
            </w:r>
          </w:p>
        </w:tc>
      </w:tr>
      <w:tr>
        <w:tc>
          <w:tcPr>
            <w:tcW w:type="dxa" w:w="5328"/>
            <w:vAlign w:val="top"/>
            <w:tcMar>
              <w:top w:w="70" w:type="dxa"/>
              <w:start w:w="70" w:type="dxa"/>
              <w:bottom w:w="70" w:type="dxa"/>
              <w:end w:w="70" w:type="dxa"/>
            </w:tcMar>
          </w:tcPr>
          <w:p>
            <w:pPr>
              <w:spacing w:after="0" w:line="240" w:lineRule="auto"/>
            </w:pPr>
            <w:r>
              <w:rPr>
                <w:rFonts w:ascii="Arial" w:hAnsi="Arial"/>
                <w:sz w:val="16"/>
              </w:rPr>
              <w:t>Leadership</w:t>
            </w:r>
          </w:p>
        </w:tc>
        <w:tc>
          <w:tcPr>
            <w:tcW w:type="dxa" w:w="5328"/>
            <w:vAlign w:val="top"/>
            <w:tcMar>
              <w:top w:w="70" w:type="dxa"/>
              <w:start w:w="70" w:type="dxa"/>
              <w:bottom w:w="70" w:type="dxa"/>
              <w:end w:w="70" w:type="dxa"/>
            </w:tcMar>
          </w:tcPr>
          <w:p>
            <w:pPr>
              <w:spacing w:after="0" w:line="240" w:lineRule="auto"/>
            </w:pPr>
            <w:r>
              <w:rPr>
                <w:rFonts w:ascii="Arial" w:hAnsi="Arial"/>
                <w:sz w:val="16"/>
              </w:rPr>
              <w:t>At 3:00 PM we saw 200 wrong-total tickets. Rollback completed within 15 minutes. No payout impact detected so far. Diagnosis is underway; next update in one hour with root cause or narrowed hypotheses.</w:t>
            </w:r>
          </w:p>
        </w:tc>
      </w:tr>
    </w:tbl>
    <w:p>
      <w:pPr>
        <w:spacing w:after="20"/>
      </w:pPr>
    </w:p>
    <w:p>
      <w:pPr>
        <w:pStyle w:val="Heading1"/>
        <w:spacing w:before="160" w:after="60"/>
      </w:pPr>
      <w:r>
        <w:t>6. Recovery and Postmortem</w:t>
      </w:r>
    </w:p>
    <w:p>
      <w:pPr>
        <w:spacing w:after="80" w:line="252" w:lineRule="auto"/>
      </w:pPr>
      <w:r>
        <w:t>Recovery plan: fix root cause, QA against affected cases, relaunch to 5%, monitor for 24 hours, ramp to 25%, then 100% only if complaints and guardrails remain normal.</w:t>
      </w:r>
    </w:p>
    <w:p>
      <w:pPr>
        <w:spacing w:after="80" w:line="252" w:lineRule="auto"/>
      </w:pPr>
      <w:r>
        <w:t>Postmortem reviews: why launch QA missed this, whether test data covered settlement edge cases, whether the rollback trigger was clear, whether support was trained, whether merchant communication was fast enough, and which monitoring alert must be added before relaunch.</w:t>
      </w:r>
    </w:p>
    <w:p>
      <w:pPr>
        <w:spacing w:after="80" w:line="252" w:lineRule="auto"/>
      </w:pPr>
      <w:r>
        <w:t>Discipline check: positioning written; 5-phase checklist complete; in-app messaging ready; 100% launch plan defined; crisis handled in exact order - rollback, diagnose, communicate.</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Week 8 GTM Crisis Playbook | Character count: 5785 / 7,500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