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 from operations (₹ cr) by fy · FY22–FY26</w:t>
      </w:r>
    </w:p>
    <w:p>
      <w:r>
        <w:rPr>
          <w:color w:val="4B5563"/>
          <w:sz w:val="18"/>
        </w:rPr>
        <w:t>As of 2026-10-19 · Source: hrfin_gold.ssot_corporate_annual_360 · Basis: verified · Persona: CMD · Masked: No</w:t>
      </w:r>
    </w:p>
    <w:p>
      <w:r>
        <w:t>Key Highlights — Total Revenue from operations (₹ cr): 674618 | Highest · FY23: 155517.0 | Lowest · FY22: 110345.0</w:t>
      </w:r>
    </w:p>
    <w:p>
      <w:r>
        <w:t>₹674,618 crore across 5 years (FY22–FY26). Highest: FY23 (₹155,517 crore) and FY24 (₹138,402 crore). Context (FY26, unverified snapshot): Full-year zero SAED windfall tax saved ₹3,770 Cr in levies (Statutory Levies down to ₹25,999 Cr), while softer Brent crude ($73.40/bbl vs $78.63/bbl) and higher KG-98/2 &amp; offshore workover operating costs tempered Standalone PAT to ₹32,894 Cr; Consolidated PAT rose to ₹49,793 Cr on strong HPCL/OVL earnings. 10-Yr Context: Across FY17–FY26, Standalone Revenue grew from ₹77,908 Cr (FY17) to a peak of ₹1,55,517 Cr (FY23) and ₹1,32,508 Cr (FY26), while Standalon</w:t>
      </w:r>
    </w:p>
    <w:p>
      <w:r>
        <w:drawing>
          <wp:inline xmlns:a="http://schemas.openxmlformats.org/drawingml/2006/main" xmlns:pic="http://schemas.openxmlformats.org/drawingml/2006/picture">
            <wp:extent cx="5303520" cy="3284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48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3F4F6"/>
          </w:tcPr>
          <w:p>
            <w:r>
              <w:rPr>
                <w:b/>
              </w:rPr>
              <w:t>fy</w:t>
            </w:r>
          </w:p>
        </w:tc>
        <w:tc>
          <w:tcPr>
            <w:tcW w:type="dxa" w:w="1728"/>
            <w:shd w:val="clear" w:color="auto" w:fill="F3F4F6"/>
          </w:tcPr>
          <w:p>
            <w:r>
              <w:rPr>
                <w:b/>
              </w:rPr>
              <w:t>corporate_revenue_cr</w:t>
            </w:r>
          </w:p>
        </w:tc>
        <w:tc>
          <w:tcPr>
            <w:tcW w:type="dxa" w:w="1728"/>
            <w:shd w:val="clear" w:color="auto" w:fill="F3F4F6"/>
          </w:tcPr>
          <w:p>
            <w:r>
              <w:rPr>
                <w:b/>
              </w:rPr>
              <w:t>crude_oil_revenue_cr</w:t>
            </w:r>
          </w:p>
        </w:tc>
        <w:tc>
          <w:tcPr>
            <w:tcW w:type="dxa" w:w="1728"/>
            <w:shd w:val="clear" w:color="auto" w:fill="F3F4F6"/>
          </w:tcPr>
          <w:p>
            <w:r>
              <w:rPr>
                <w:b/>
              </w:rPr>
              <w:t>natural_gas_revenue_cr</w:t>
            </w:r>
          </w:p>
        </w:tc>
        <w:tc>
          <w:tcPr>
            <w:tcW w:type="dxa" w:w="1728"/>
            <w:shd w:val="clear" w:color="auto" w:fill="F3F4F6"/>
          </w:tcPr>
          <w:p>
            <w:r>
              <w:rPr>
                <w:b/>
              </w:rPr>
              <w:t>vap_revenue_cr</w:t>
            </w:r>
          </w:p>
        </w:tc>
      </w:tr>
      <w:tr>
        <w:tc>
          <w:tcPr>
            <w:tcW w:type="dxa" w:w="1728"/>
          </w:tcPr>
          <w:p>
            <w:r>
              <w:t>FY22</w:t>
            </w:r>
          </w:p>
        </w:tc>
        <w:tc>
          <w:tcPr>
            <w:tcW w:type="dxa" w:w="1728"/>
          </w:tcPr>
          <w:p>
            <w:r>
              <w:t>110,345</w:t>
            </w:r>
          </w:p>
        </w:tc>
        <w:tc>
          <w:tcPr>
            <w:tcW w:type="dxa" w:w="1728"/>
          </w:tcPr>
          <w:p>
            <w:r>
              <w:t>82,410</w:t>
            </w:r>
          </w:p>
        </w:tc>
        <w:tc>
          <w:tcPr>
            <w:tcW w:type="dxa" w:w="1728"/>
          </w:tcPr>
          <w:p>
            <w:r>
              <w:t>16,120</w:t>
            </w:r>
          </w:p>
        </w:tc>
        <w:tc>
          <w:tcPr>
            <w:tcW w:type="dxa" w:w="1728"/>
          </w:tcPr>
          <w:p>
            <w:r>
              <w:t>11,115</w:t>
            </w:r>
          </w:p>
        </w:tc>
      </w:tr>
      <w:tr>
        <w:tc>
          <w:tcPr>
            <w:tcW w:type="dxa" w:w="1728"/>
          </w:tcPr>
          <w:p>
            <w:r>
              <w:t>FY23</w:t>
            </w:r>
          </w:p>
        </w:tc>
        <w:tc>
          <w:tcPr>
            <w:tcW w:type="dxa" w:w="1728"/>
          </w:tcPr>
          <w:p>
            <w:r>
              <w:t>155,517</w:t>
            </w:r>
          </w:p>
        </w:tc>
        <w:tc>
          <w:tcPr>
            <w:tcW w:type="dxa" w:w="1728"/>
          </w:tcPr>
          <w:p>
            <w:r>
              <w:t>108,420</w:t>
            </w:r>
          </w:p>
        </w:tc>
        <w:tc>
          <w:tcPr>
            <w:tcW w:type="dxa" w:w="1728"/>
          </w:tcPr>
          <w:p>
            <w:r>
              <w:t>32,680</w:t>
            </w:r>
          </w:p>
        </w:tc>
        <w:tc>
          <w:tcPr>
            <w:tcW w:type="dxa" w:w="1728"/>
          </w:tcPr>
          <w:p>
            <w:r>
              <w:t>13,617</w:t>
            </w:r>
          </w:p>
        </w:tc>
      </w:tr>
      <w:tr>
        <w:tc>
          <w:tcPr>
            <w:tcW w:type="dxa" w:w="1728"/>
          </w:tcPr>
          <w:p>
            <w:r>
              <w:t>FY24</w:t>
            </w:r>
          </w:p>
        </w:tc>
        <w:tc>
          <w:tcPr>
            <w:tcW w:type="dxa" w:w="1728"/>
          </w:tcPr>
          <w:p>
            <w:r>
              <w:t>138,402</w:t>
            </w:r>
          </w:p>
        </w:tc>
        <w:tc>
          <w:tcPr>
            <w:tcW w:type="dxa" w:w="1728"/>
          </w:tcPr>
          <w:p>
            <w:r>
              <w:t>97,920</w:t>
            </w:r>
          </w:p>
        </w:tc>
        <w:tc>
          <w:tcPr>
            <w:tcW w:type="dxa" w:w="1728"/>
          </w:tcPr>
          <w:p>
            <w:r>
              <w:t>27,480</w:t>
            </w:r>
          </w:p>
        </w:tc>
        <w:tc>
          <w:tcPr>
            <w:tcW w:type="dxa" w:w="1728"/>
          </w:tcPr>
          <w:p>
            <w:r>
              <w:t>12,202</w:t>
            </w:r>
          </w:p>
        </w:tc>
      </w:tr>
      <w:tr>
        <w:tc>
          <w:tcPr>
            <w:tcW w:type="dxa" w:w="1728"/>
          </w:tcPr>
          <w:p>
            <w:r>
              <w:t>FY25</w:t>
            </w:r>
          </w:p>
        </w:tc>
        <w:tc>
          <w:tcPr>
            <w:tcW w:type="dxa" w:w="1728"/>
          </w:tcPr>
          <w:p>
            <w:r>
              <w:t>137,846</w:t>
            </w:r>
          </w:p>
        </w:tc>
        <w:tc>
          <w:tcPr>
            <w:tcW w:type="dxa" w:w="1728"/>
          </w:tcPr>
          <w:p>
            <w:r>
              <w:t>96,692</w:t>
            </w:r>
          </w:p>
        </w:tc>
        <w:tc>
          <w:tcPr>
            <w:tcW w:type="dxa" w:w="1728"/>
          </w:tcPr>
          <w:p>
            <w:r>
              <w:t>27,954</w:t>
            </w:r>
          </w:p>
        </w:tc>
        <w:tc>
          <w:tcPr>
            <w:tcW w:type="dxa" w:w="1728"/>
          </w:tcPr>
          <w:p>
            <w:r>
              <w:t>12,400</w:t>
            </w:r>
          </w:p>
        </w:tc>
      </w:tr>
      <w:tr>
        <w:tc>
          <w:tcPr>
            <w:tcW w:type="dxa" w:w="1728"/>
          </w:tcPr>
          <w:p>
            <w:r>
              <w:t>FY26</w:t>
            </w:r>
          </w:p>
        </w:tc>
        <w:tc>
          <w:tcPr>
            <w:tcW w:type="dxa" w:w="1728"/>
          </w:tcPr>
          <w:p>
            <w:r>
              <w:t>132,508</w:t>
            </w:r>
          </w:p>
        </w:tc>
        <w:tc>
          <w:tcPr>
            <w:tcW w:type="dxa" w:w="1728"/>
          </w:tcPr>
          <w:p>
            <w:r>
              <w:t>89,680</w:t>
            </w:r>
          </w:p>
        </w:tc>
        <w:tc>
          <w:tcPr>
            <w:tcW w:type="dxa" w:w="1728"/>
          </w:tcPr>
          <w:p>
            <w:r>
              <w:t>30,420</w:t>
            </w:r>
          </w:p>
        </w:tc>
        <w:tc>
          <w:tcPr>
            <w:tcW w:type="dxa" w:w="1728"/>
          </w:tcPr>
          <w:p>
            <w:r>
              <w:t>11,608</w:t>
            </w:r>
          </w:p>
        </w:tc>
      </w:tr>
    </w:tbl>
    <w:p>
      <w:r>
        <w:t>₹674,618 crore across 5 years (FY22–FY26). Highest: FY23 (₹155,517 crore) and FY24 (₹138,402 crore). Context (FY26, unverified snapshot): Full-year zero SAED windfall tax saved ₹3,770 Cr in levies (Statutory Levies down to ₹25,999 Cr), while softer Brent crude ($73.40/bbl vs $78.63/bbl) and higher KG-98/2 &amp; offshore workover operating costs tempered Standalone PAT to ₹32,894 Cr; Consolidated PAT rose to ₹49,793 Cr on strong HPCL/OVL earnings. 10-Yr Context: Across FY17–FY26, Standalone Revenue grew from ₹77,908 Cr (FY17) to a peak of ₹1,55,517 Cr (FY23) and ₹1,32,508 Cr (FY26), while Standalon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