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12"/>
        <w:gridCol w:w="3312"/>
        <w:gridCol w:w="3312"/>
      </w:tblGrid>
      <w:tr>
        <w:tc>
          <w:tcPr>
            <w:tcW w:type="dxa" w:w="1728"/>
            <w:vAlign w:val="center"/>
          </w:tcPr>
          <w:p>
            <w:pPr>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mopng_crest.png"/>
                          <pic:cNvPicPr/>
                        </pic:nvPicPr>
                        <pic:blipFill>
                          <a:blip r:embed="rId9"/>
                          <a:stretch>
                            <a:fillRect/>
                          </a:stretch>
                        </pic:blipFill>
                        <pic:spPr>
                          <a:xfrm>
                            <a:off x="0" y="0"/>
                            <a:ext cx="960120" cy="960120"/>
                          </a:xfrm>
                          <a:prstGeom prst="rect"/>
                        </pic:spPr>
                      </pic:pic>
                    </a:graphicData>
                  </a:graphic>
                </wp:inline>
              </w:drawing>
            </w:r>
          </w:p>
        </w:tc>
        <w:tc>
          <w:tcPr>
            <w:tcW w:type="dxa" w:w="6480"/>
            <w:vAlign w:val="center"/>
          </w:tcPr>
          <w:p>
            <w:pPr>
              <w:jc w:val="center"/>
            </w:pPr>
            <w:r>
              <w:rPr>
                <w:rFonts w:ascii="Calibri" w:hAnsi="Calibri"/>
                <w:b/>
                <w:color w:val="2E5B88"/>
                <w:sz w:val="17"/>
              </w:rPr>
              <w:t>GOVERNMENT OF INDIA • MINISTRY OF PETROLEUM &amp; NATURAL GAS</w:t>
              <w:br/>
            </w:r>
            <w:r>
              <w:rPr>
                <w:rFonts w:ascii="Calibri" w:hAnsi="Calibri"/>
                <w:b/>
                <w:color w:val="1B365D"/>
                <w:sz w:val="26"/>
              </w:rPr>
              <w:t>PETROLEUM PLANNING &amp; ANALYSIS CELL (PPAC)</w:t>
              <w:br/>
            </w:r>
            <w:r>
              <w:rPr>
                <w:rFonts w:ascii="Calibri" w:hAnsi="Calibri"/>
                <w:b/>
                <w:color w:val="1B365D"/>
                <w:sz w:val="28"/>
              </w:rPr>
              <w:t>EXECUTIVE HYDROCARBON INTELLIGENCE REPORT</w:t>
              <w:br/>
              <w:t>MONTHLY STATUTORY DIGEST — 2026-08</w:t>
              <w:br/>
            </w:r>
            <w:r>
              <w:rPr>
                <w:rFonts w:ascii="Calibri" w:hAnsi="Calibri"/>
                <w:i/>
                <w:color w:val="666666"/>
                <w:sz w:val="15"/>
              </w:rPr>
              <w:t>Classification: Sovereign Official Digest | Market Data Live as of: 2026-09-18 | Source: yfinance &amp; OMC Drops</w:t>
              <w:br/>
            </w:r>
          </w:p>
        </w:tc>
        <w:tc>
          <w:tcPr>
            <w:tcW w:type="dxa" w:w="1728"/>
            <w:vAlign w:val="center"/>
          </w:tcPr>
          <w:p>
            <w:pPr>
              <w:jc w:val="center"/>
            </w:pPr>
            <w:r>
              <w:drawing>
                <wp:inline xmlns:a="http://schemas.openxmlformats.org/drawingml/2006/main" xmlns:pic="http://schemas.openxmlformats.org/drawingml/2006/picture">
                  <wp:extent cx="960120" cy="960120"/>
                  <wp:docPr id="2" name="Picture 2"/>
                  <wp:cNvGraphicFramePr>
                    <a:graphicFrameLocks noChangeAspect="1"/>
                  </wp:cNvGraphicFramePr>
                  <a:graphic>
                    <a:graphicData uri="http://schemas.openxmlformats.org/drawingml/2006/picture">
                      <pic:pic>
                        <pic:nvPicPr>
                          <pic:cNvPr id="0" name="ppac_logo.png"/>
                          <pic:cNvPicPr/>
                        </pic:nvPicPr>
                        <pic:blipFill>
                          <a:blip r:embed="rId10"/>
                          <a:stretch>
                            <a:fillRect/>
                          </a:stretch>
                        </pic:blipFill>
                        <pic:spPr>
                          <a:xfrm>
                            <a:off x="0" y="0"/>
                            <a:ext cx="960120" cy="960120"/>
                          </a:xfrm>
                          <a:prstGeom prst="rect"/>
                        </pic:spPr>
                      </pic:pic>
                    </a:graphicData>
                  </a:graphic>
                </wp:inline>
              </w:drawing>
            </w:r>
          </w:p>
        </w:tc>
      </w:tr>
    </w:tbl>
    <w:p>
      <w:pPr>
        <w:spacing w:after="80"/>
      </w:pP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shd w:fill="F0F4F8"/>
            <w:tcMar>
              <w:top w:w="140" w:type="dxa"/>
              <w:bottom w:w="140" w:type="dxa"/>
              <w:left w:w="100" w:type="dxa"/>
              <w:right w:w="100" w:type="dxa"/>
            </w:tcMar>
          </w:tcPr>
          <w:p>
            <w:pPr>
              <w:spacing w:after="0"/>
              <w:jc w:val="center"/>
            </w:pPr>
            <w:r>
              <w:rPr>
                <w:b/>
                <w:color w:val="2E5B88"/>
                <w:sz w:val="13"/>
              </w:rPr>
              <w:t>BRENT SPOT (LIVE)</w:t>
              <w:br/>
            </w:r>
            <w:r>
              <w:rPr>
                <w:b/>
                <w:color w:val="1B365D"/>
                <w:sz w:val="26"/>
              </w:rPr>
              <w:t>$98.77</w:t>
              <w:br/>
            </w:r>
            <w:r>
              <w:rPr>
                <w:b/>
                <w:color w:val="C68A4C"/>
                <w:sz w:val="14"/>
              </w:rPr>
              <w:t>-5.77% 24h</w:t>
              <w:br/>
            </w:r>
            <w:r>
              <w:rPr>
                <w:i/>
                <w:color w:val="666666"/>
                <w:sz w:val="12"/>
              </w:rPr>
              <w:t>yfinance (BZ=F)</w:t>
            </w:r>
          </w:p>
        </w:tc>
        <w:tc>
          <w:tcPr>
            <w:tcW w:type="dxa" w:w="1987"/>
            <w:shd w:fill="F0F4F8"/>
            <w:tcMar>
              <w:top w:w="140" w:type="dxa"/>
              <w:bottom w:w="140" w:type="dxa"/>
              <w:left w:w="100" w:type="dxa"/>
              <w:right w:w="100" w:type="dxa"/>
            </w:tcMar>
          </w:tcPr>
          <w:p>
            <w:pPr>
              <w:spacing w:after="0"/>
              <w:jc w:val="center"/>
            </w:pPr>
            <w:r>
              <w:rPr>
                <w:b/>
                <w:color w:val="2E5B88"/>
                <w:sz w:val="13"/>
              </w:rPr>
              <w:t>INDIAN BASKET (ICB)</w:t>
              <w:br/>
            </w:r>
            <w:r>
              <w:rPr>
                <w:b/>
                <w:color w:val="1B365D"/>
                <w:sz w:val="26"/>
              </w:rPr>
              <w:t>$90.19</w:t>
              <w:br/>
            </w:r>
            <w:r>
              <w:rPr>
                <w:b/>
                <w:color w:val="C68A4C"/>
                <w:sz w:val="14"/>
              </w:rPr>
              <w:t>₹8646/bbl</w:t>
              <w:br/>
            </w:r>
            <w:r>
              <w:rPr>
                <w:i/>
                <w:color w:val="666666"/>
                <w:sz w:val="12"/>
              </w:rPr>
              <w:t>Statutory Weighted</w:t>
            </w:r>
          </w:p>
        </w:tc>
        <w:tc>
          <w:tcPr>
            <w:tcW w:type="dxa" w:w="1987"/>
            <w:shd w:fill="F0F4F8"/>
            <w:tcMar>
              <w:top w:w="140" w:type="dxa"/>
              <w:bottom w:w="140" w:type="dxa"/>
              <w:left w:w="100" w:type="dxa"/>
              <w:right w:w="100" w:type="dxa"/>
            </w:tcMar>
          </w:tcPr>
          <w:p>
            <w:pPr>
              <w:spacing w:after="0"/>
              <w:jc w:val="center"/>
            </w:pPr>
            <w:r>
              <w:rPr>
                <w:b/>
                <w:color w:val="2E5B88"/>
                <w:sz w:val="13"/>
              </w:rPr>
              <w:t>MONTHLY SALES</w:t>
              <w:br/>
            </w:r>
            <w:r>
              <w:rPr>
                <w:b/>
                <w:color w:val="1B365D"/>
                <w:sz w:val="26"/>
              </w:rPr>
              <w:t>13,649 TMT</w:t>
              <w:br/>
            </w:r>
            <w:r>
              <w:rPr>
                <w:b/>
                <w:color w:val="2E7D32"/>
                <w:sz w:val="14"/>
              </w:rPr>
              <w:t>+4.2% YoY</w:t>
              <w:br/>
            </w:r>
            <w:r>
              <w:rPr>
                <w:i/>
                <w:color w:val="666666"/>
                <w:sz w:val="12"/>
              </w:rPr>
              <w:t>OMC Consolidated</w:t>
            </w:r>
          </w:p>
        </w:tc>
        <w:tc>
          <w:tcPr>
            <w:tcW w:type="dxa" w:w="1987"/>
            <w:shd w:fill="F0F4F8"/>
            <w:tcMar>
              <w:top w:w="140" w:type="dxa"/>
              <w:bottom w:w="140" w:type="dxa"/>
              <w:left w:w="100" w:type="dxa"/>
              <w:right w:w="100" w:type="dxa"/>
            </w:tcMar>
          </w:tcPr>
          <w:p>
            <w:pPr>
              <w:spacing w:after="0"/>
              <w:jc w:val="center"/>
            </w:pPr>
            <w:r>
              <w:rPr>
                <w:b/>
                <w:color w:val="2E5B88"/>
                <w:sz w:val="13"/>
              </w:rPr>
              <w:t>IMPORT DEPENDENCY</w:t>
              <w:br/>
            </w:r>
            <w:r>
              <w:rPr>
                <w:b/>
                <w:color w:val="1B365D"/>
                <w:sz w:val="26"/>
              </w:rPr>
              <w:t>87.8%</w:t>
              <w:br/>
            </w:r>
            <w:r>
              <w:rPr>
                <w:b/>
                <w:color w:val="C68A4C"/>
                <w:sz w:val="14"/>
              </w:rPr>
              <w:t>Crude vs Processing</w:t>
              <w:br/>
            </w:r>
            <w:r>
              <w:rPr>
                <w:i/>
                <w:color w:val="666666"/>
                <w:sz w:val="12"/>
              </w:rPr>
              <w:t>National Balance</w:t>
            </w:r>
          </w:p>
        </w:tc>
        <w:tc>
          <w:tcPr>
            <w:tcW w:type="dxa" w:w="1987"/>
            <w:shd w:fill="F0F4F8"/>
            <w:tcMar>
              <w:top w:w="140" w:type="dxa"/>
              <w:bottom w:w="140" w:type="dxa"/>
              <w:left w:w="100" w:type="dxa"/>
              <w:right w:w="100" w:type="dxa"/>
            </w:tcMar>
          </w:tcPr>
          <w:p>
            <w:pPr>
              <w:spacing w:after="0"/>
              <w:jc w:val="center"/>
            </w:pPr>
            <w:r>
              <w:rPr>
                <w:b/>
                <w:color w:val="2E5B88"/>
                <w:sz w:val="13"/>
              </w:rPr>
              <w:t>NATURAL GAS APM</w:t>
              <w:br/>
            </w:r>
            <w:r>
              <w:rPr>
                <w:b/>
                <w:color w:val="1B365D"/>
                <w:sz w:val="26"/>
              </w:rPr>
              <w:t>$7.00</w:t>
              <w:br/>
            </w:r>
            <w:r>
              <w:rPr>
                <w:b/>
                <w:color w:val="2E7D32"/>
                <w:sz w:val="14"/>
              </w:rPr>
              <w:t>Statutory Cap</w:t>
              <w:br/>
            </w:r>
            <w:r>
              <w:rPr>
                <w:i/>
                <w:color w:val="666666"/>
                <w:sz w:val="12"/>
              </w:rPr>
              <w:t>Kirit Parikh Formula</w:t>
            </w:r>
          </w:p>
        </w:tc>
      </w:tr>
    </w:tbl>
    <w:p>
      <w:pPr>
        <w:spacing w:after="120"/>
      </w:pPr>
    </w:p>
    <w:p>
      <w:r>
        <w:rPr>
          <w:b/>
          <w:color w:val="A82222"/>
          <w:sz w:val="21"/>
        </w:rPr>
        <w:t>🔴 SECTION 0: AI AUDIT &amp; LINEAGE RECONCILIATION CHECKLIST (ACTION REQUIRED)</w:t>
      </w:r>
    </w:p>
    <w:tbl>
      <w:tblPr>
        <w:tblW w:type="auto" w:w="0"/>
        <w:jc w:val="center"/>
        <w:tblLook w:firstColumn="1" w:firstRow="1" w:lastColumn="0" w:lastRow="0" w:noHBand="0" w:noVBand="1" w:val="04A0"/>
      </w:tblPr>
      <w:tblGrid>
        <w:gridCol w:w="9936"/>
      </w:tblGrid>
      <w:tr>
        <w:tc>
          <w:tcPr>
            <w:tcW w:type="dxa" w:w="9936"/>
            <w:shd w:fill="FFF2F2"/>
            <w:tcMar>
              <w:top w:w="140" w:type="dxa"/>
              <w:bottom w:w="140" w:type="dxa"/>
              <w:left w:w="150" w:type="dxa"/>
              <w:right w:w="150" w:type="dxa"/>
            </w:tcMar>
          </w:tcPr>
          <w:p>
            <w:r>
              <w:rPr>
                <w:sz w:val="17"/>
              </w:rPr>
              <w:t>AUDIT ALERT: Ingestion Engine detected 2 high-variance record(s) exceeding the MoPNG statutory threshold (MoM &gt; 15%).</w:t>
              <w:br/>
              <w:t>Document status is held at 'DRAFT_NEEDS_REVIEW'. Publication requires analyst verification via ResolveAuditFlag API.</w:t>
              <w:br/>
              <w:br/>
            </w:r>
            <w:r>
              <w:rPr>
                <w:b/>
                <w:color w:val="A82222"/>
                <w:sz w:val="16"/>
              </w:rPr>
              <w:t>• [FLAG-7E16CA] HPCL — Retail MS Sales: Reported 921.0 TMT (Variance: 10.4% vs prior month). Lineage: Sheet: MS (Row 4)</w:t>
              <w:br/>
              <w:t xml:space="preserve">  Action Required: Verify distributor reporting ERP data migration before final gazette sign-off.</w:t>
              <w:br/>
            </w:r>
            <w:r>
              <w:rPr>
                <w:b/>
                <w:color w:val="A82222"/>
                <w:sz w:val="16"/>
              </w:rPr>
              <w:t>• [FLAG-7F0777] BPCL — Domestic LPG Sales: Reported 1,100.0 TMT (Variance: 69.2% vs prior month). Lineage: Sheet: LPG (Row 3)</w:t>
              <w:br/>
              <w:t xml:space="preserve">  Action Required: Verify distributor reporting ERP data migration before final gazette sign-off.</w:t>
              <w:br/>
            </w:r>
          </w:p>
        </w:tc>
      </w:tr>
    </w:tbl>
    <w:p>
      <w:pPr>
        <w:spacing w:after="160"/>
      </w:pPr>
    </w:p>
    <w:p>
      <w:r>
        <w:rPr>
          <w:b/>
          <w:color w:val="1B365D"/>
          <w:sz w:val="24"/>
        </w:rPr>
        <w:t>Chapter 1: Macro-Economic Backdrop &amp; Global Crude Benchmarks</w:t>
      </w:r>
    </w:p>
    <w:p>
      <w:pPr>
        <w:spacing w:line="276" w:lineRule="auto"/>
      </w:pPr>
      <w:r>
        <w:rPr>
          <w:sz w:val="18"/>
        </w:rPr>
        <w:t xml:space="preserve">The Indian macroeconomic landscape during 2026-08 demonstrated resilient fundamentals, characterized by GDP expansion of 7.2% and an IIP General Index at 142.5. On the external front, global crude benchmarks exhibited dynamic price discovery. Live spot quotes recorded Brent Dated at $98.77/bbl and WTI at $95.47/bbl. </w:t>
        <w:br/>
        <w:br/>
        <w:t>Geopolitical &amp; Supply Developments: - OPEC+ ministerial monitoring committee confirmed adherence to voluntary output adjustments of</w:t>
      </w:r>
    </w:p>
    <w:p>
      <w:pPr>
        <w:jc w:val="center"/>
      </w:pPr>
      <w:r>
        <w:drawing>
          <wp:inline xmlns:a="http://schemas.openxmlformats.org/drawingml/2006/main" xmlns:pic="http://schemas.openxmlformats.org/drawingml/2006/picture">
            <wp:extent cx="6217920" cy="2738846"/>
            <wp:docPr id="3" name="Picture 3"/>
            <wp:cNvGraphicFramePr>
              <a:graphicFrameLocks noChangeAspect="1"/>
            </wp:cNvGraphicFramePr>
            <a:graphic>
              <a:graphicData uri="http://schemas.openxmlformats.org/drawingml/2006/picture">
                <pic:pic>
                  <pic:nvPicPr>
                    <pic:cNvPr id="0" name="brent_wti_spot_trend.png"/>
                    <pic:cNvPicPr/>
                  </pic:nvPicPr>
                  <pic:blipFill>
                    <a:blip r:embed="rId11"/>
                    <a:stretch>
                      <a:fillRect/>
                    </a:stretch>
                  </pic:blipFill>
                  <pic:spPr>
                    <a:xfrm>
                      <a:off x="0" y="0"/>
                      <a:ext cx="6217920" cy="2738846"/>
                    </a:xfrm>
                    <a:prstGeom prst="rect"/>
                  </pic:spPr>
                </pic:pic>
              </a:graphicData>
            </a:graphic>
          </wp:inline>
        </w:drawing>
      </w:r>
    </w:p>
    <w:p>
      <w:pPr>
        <w:jc w:val="center"/>
      </w:pPr>
      <w:r>
        <w:rPr>
          <w:i/>
          <w:sz w:val="15"/>
        </w:rPr>
        <w:t>Figure 1.1: 30-Day Live Daily Trajectory of Global Crude Benchmarks (Source: yfinance)</w:t>
      </w:r>
    </w:p>
    <w:p>
      <w:pPr>
        <w:spacing w:after="160"/>
      </w:pPr>
    </w:p>
    <w:p>
      <w:r>
        <w:rPr>
          <w:b/>
          <w:color w:val="1B365D"/>
          <w:sz w:val="24"/>
        </w:rPr>
        <w:t>Chapter 2: Statutory Indian Crude Basket (ICB) &amp; Domestic Natural Gas APM</w:t>
      </w:r>
    </w:p>
    <w:p>
      <w:r>
        <w:rPr>
          <w:sz w:val="18"/>
        </w:rPr>
        <w:t>In accordance with MoPNG statutory notifications, the Indian Crude Basket (ICB) evaluation for 2026-08 settled at $90.19/bbl (₹8,645.61/bbl), computed via weighted dynamic averaging of 75.6% Sour crude (Oman/Dubai at $89.98) and 24.4% Sweet crude (Brent at $98.77) at an average exchange rate of ₹95.86/USD.</w:t>
        <w:br/>
        <w:br/>
        <w:t>Statutory Natural Gas Regulation: - In accordance with the statutory Kirit Parikh committee guidelines notified by MoPNG, the domestic APM natural gas price remains capped at the statutory ceiling of $6.50/MMBTU (Gross Calorific Value basis), shielding city gas distribution (CGD) and fertilizer sectors from international LNG volatility.</w:t>
        <w:br/>
        <w:t>- HPHT (High Pressure High Temperature) deepwater gas ceiling benchmark notified at $9.87/MMBTU for the ongoing pricing half-year, incentivizing domestic production in KG-DWN-98/2 and Reliance-bp deepwater blocks. Effective domestic APM gas price for priority sectors (City Gas CGD and Fertilizers) is formally locked at the statutory ceiling of $7.00/MMBTU.</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B365D"/>
          </w:tcPr>
          <w:p>
            <w:pPr>
              <w:jc w:val="center"/>
            </w:pPr>
            <w:r>
              <w:rPr>
                <w:b/>
                <w:color w:val="FFFFFF"/>
                <w:sz w:val="16"/>
              </w:rPr>
              <w:t>Pricing Benchmark Component</w:t>
            </w:r>
          </w:p>
        </w:tc>
        <w:tc>
          <w:tcPr>
            <w:tcW w:type="dxa" w:w="2484"/>
            <w:shd w:fill="1B365D"/>
          </w:tcPr>
          <w:p>
            <w:pPr>
              <w:jc w:val="center"/>
            </w:pPr>
            <w:r>
              <w:rPr>
                <w:b/>
                <w:color w:val="FFFFFF"/>
                <w:sz w:val="16"/>
              </w:rPr>
              <w:t>Statutory Weight</w:t>
            </w:r>
          </w:p>
        </w:tc>
        <w:tc>
          <w:tcPr>
            <w:tcW w:type="dxa" w:w="2484"/>
            <w:shd w:fill="1B365D"/>
          </w:tcPr>
          <w:p>
            <w:pPr>
              <w:jc w:val="center"/>
            </w:pPr>
            <w:r>
              <w:rPr>
                <w:b/>
                <w:color w:val="FFFFFF"/>
                <w:sz w:val="16"/>
              </w:rPr>
              <w:t>USD Equivalent</w:t>
            </w:r>
          </w:p>
        </w:tc>
        <w:tc>
          <w:tcPr>
            <w:tcW w:type="dxa" w:w="2484"/>
            <w:shd w:fill="1B365D"/>
          </w:tcPr>
          <w:p>
            <w:pPr>
              <w:jc w:val="center"/>
            </w:pPr>
            <w:r>
              <w:rPr>
                <w:b/>
                <w:color w:val="FFFFFF"/>
                <w:sz w:val="16"/>
              </w:rPr>
              <w:t>INR Equivalent</w:t>
            </w:r>
          </w:p>
        </w:tc>
      </w:tr>
      <w:tr>
        <w:tc>
          <w:tcPr>
            <w:tcW w:type="dxa" w:w="2484"/>
            <w:shd w:fill="F8FAFC"/>
            <w:tcMar>
              <w:top w:w="80" w:type="dxa"/>
              <w:bottom w:w="80" w:type="dxa"/>
              <w:left w:w="100" w:type="dxa"/>
              <w:right w:w="100" w:type="dxa"/>
            </w:tcMar>
          </w:tcPr>
          <w:p>
            <w:pPr>
              <w:jc w:val="left"/>
            </w:pPr>
            <w:r>
              <w:rPr>
                <w:sz w:val="16"/>
              </w:rPr>
              <w:t>Oman &amp; Dubai Sour Crude Blend</w:t>
            </w:r>
          </w:p>
        </w:tc>
        <w:tc>
          <w:tcPr>
            <w:tcW w:type="dxa" w:w="2484"/>
            <w:shd w:fill="F8FAFC"/>
            <w:tcMar>
              <w:top w:w="80" w:type="dxa"/>
              <w:bottom w:w="80" w:type="dxa"/>
              <w:left w:w="100" w:type="dxa"/>
              <w:right w:w="100" w:type="dxa"/>
            </w:tcMar>
          </w:tcPr>
          <w:p>
            <w:pPr>
              <w:jc w:val="right"/>
            </w:pPr>
            <w:r>
              <w:rPr>
                <w:sz w:val="16"/>
              </w:rPr>
              <w:t>75.6%</w:t>
            </w:r>
          </w:p>
        </w:tc>
        <w:tc>
          <w:tcPr>
            <w:tcW w:type="dxa" w:w="2484"/>
            <w:shd w:fill="F8FAFC"/>
            <w:tcMar>
              <w:top w:w="80" w:type="dxa"/>
              <w:bottom w:w="80" w:type="dxa"/>
              <w:left w:w="100" w:type="dxa"/>
              <w:right w:w="100" w:type="dxa"/>
            </w:tcMar>
          </w:tcPr>
          <w:p>
            <w:pPr>
              <w:jc w:val="right"/>
            </w:pPr>
            <w:r>
              <w:rPr>
                <w:sz w:val="16"/>
              </w:rPr>
              <w:t>$89.98/bbl</w:t>
            </w:r>
          </w:p>
        </w:tc>
        <w:tc>
          <w:tcPr>
            <w:tcW w:type="dxa" w:w="2484"/>
            <w:shd w:fill="F8FAFC"/>
            <w:tcMar>
              <w:top w:w="80" w:type="dxa"/>
              <w:bottom w:w="80" w:type="dxa"/>
              <w:left w:w="100" w:type="dxa"/>
              <w:right w:w="100" w:type="dxa"/>
            </w:tcMar>
          </w:tcPr>
          <w:p>
            <w:pPr>
              <w:jc w:val="right"/>
            </w:pPr>
            <w:r>
              <w:rPr>
                <w:sz w:val="16"/>
              </w:rPr>
              <w:t>₹8625.48/bbl</w:t>
            </w:r>
          </w:p>
        </w:tc>
      </w:tr>
      <w:tr>
        <w:tc>
          <w:tcPr>
            <w:tcW w:type="dxa" w:w="2484"/>
            <w:shd w:fill="FFFFFF"/>
            <w:tcMar>
              <w:top w:w="80" w:type="dxa"/>
              <w:bottom w:w="80" w:type="dxa"/>
              <w:left w:w="100" w:type="dxa"/>
              <w:right w:w="100" w:type="dxa"/>
            </w:tcMar>
          </w:tcPr>
          <w:p>
            <w:pPr>
              <w:jc w:val="left"/>
            </w:pPr>
            <w:r>
              <w:rPr>
                <w:sz w:val="16"/>
              </w:rPr>
              <w:t>Brent Dated Sweet Crude</w:t>
            </w:r>
          </w:p>
        </w:tc>
        <w:tc>
          <w:tcPr>
            <w:tcW w:type="dxa" w:w="2484"/>
            <w:shd w:fill="FFFFFF"/>
            <w:tcMar>
              <w:top w:w="80" w:type="dxa"/>
              <w:bottom w:w="80" w:type="dxa"/>
              <w:left w:w="100" w:type="dxa"/>
              <w:right w:w="100" w:type="dxa"/>
            </w:tcMar>
          </w:tcPr>
          <w:p>
            <w:pPr>
              <w:jc w:val="right"/>
            </w:pPr>
            <w:r>
              <w:rPr>
                <w:sz w:val="16"/>
              </w:rPr>
              <w:t>24.4%</w:t>
            </w:r>
          </w:p>
        </w:tc>
        <w:tc>
          <w:tcPr>
            <w:tcW w:type="dxa" w:w="2484"/>
            <w:shd w:fill="FFFFFF"/>
            <w:tcMar>
              <w:top w:w="80" w:type="dxa"/>
              <w:bottom w:w="80" w:type="dxa"/>
              <w:left w:w="100" w:type="dxa"/>
              <w:right w:w="100" w:type="dxa"/>
            </w:tcMar>
          </w:tcPr>
          <w:p>
            <w:pPr>
              <w:jc w:val="right"/>
            </w:pPr>
            <w:r>
              <w:rPr>
                <w:sz w:val="16"/>
              </w:rPr>
              <w:t>$98.77/bbl</w:t>
            </w:r>
          </w:p>
        </w:tc>
        <w:tc>
          <w:tcPr>
            <w:tcW w:type="dxa" w:w="2484"/>
            <w:shd w:fill="FFFFFF"/>
            <w:tcMar>
              <w:top w:w="80" w:type="dxa"/>
              <w:bottom w:w="80" w:type="dxa"/>
              <w:left w:w="100" w:type="dxa"/>
              <w:right w:w="100" w:type="dxa"/>
            </w:tcMar>
          </w:tcPr>
          <w:p>
            <w:pPr>
              <w:jc w:val="right"/>
            </w:pPr>
            <w:r>
              <w:rPr>
                <w:sz w:val="16"/>
              </w:rPr>
              <w:t>₹9468.09/bbl</w:t>
            </w:r>
          </w:p>
        </w:tc>
      </w:tr>
      <w:tr>
        <w:tc>
          <w:tcPr>
            <w:tcW w:type="dxa" w:w="2484"/>
            <w:shd w:fill="F8FAFC"/>
            <w:tcMar>
              <w:top w:w="80" w:type="dxa"/>
              <w:bottom w:w="80" w:type="dxa"/>
              <w:left w:w="100" w:type="dxa"/>
              <w:right w:w="100" w:type="dxa"/>
            </w:tcMar>
          </w:tcPr>
          <w:p>
            <w:pPr>
              <w:jc w:val="left"/>
            </w:pPr>
            <w:r>
              <w:rPr>
                <w:b/>
                <w:color w:val="1B365D"/>
                <w:sz w:val="16"/>
              </w:rPr>
              <w:t>Indian Crude Basket (ICB Composite)</w:t>
            </w:r>
          </w:p>
        </w:tc>
        <w:tc>
          <w:tcPr>
            <w:tcW w:type="dxa" w:w="2484"/>
            <w:shd w:fill="F8FAFC"/>
            <w:tcMar>
              <w:top w:w="80" w:type="dxa"/>
              <w:bottom w:w="80" w:type="dxa"/>
              <w:left w:w="100" w:type="dxa"/>
              <w:right w:w="100" w:type="dxa"/>
            </w:tcMar>
          </w:tcPr>
          <w:p>
            <w:pPr>
              <w:jc w:val="right"/>
            </w:pPr>
            <w:r>
              <w:rPr>
                <w:b/>
                <w:color w:val="1B365D"/>
                <w:sz w:val="16"/>
              </w:rPr>
              <w:t>100.0%</w:t>
            </w:r>
          </w:p>
        </w:tc>
        <w:tc>
          <w:tcPr>
            <w:tcW w:type="dxa" w:w="2484"/>
            <w:shd w:fill="F8FAFC"/>
            <w:tcMar>
              <w:top w:w="80" w:type="dxa"/>
              <w:bottom w:w="80" w:type="dxa"/>
              <w:left w:w="100" w:type="dxa"/>
              <w:right w:w="100" w:type="dxa"/>
            </w:tcMar>
          </w:tcPr>
          <w:p>
            <w:pPr>
              <w:jc w:val="right"/>
            </w:pPr>
            <w:r>
              <w:rPr>
                <w:b/>
                <w:color w:val="1B365D"/>
                <w:sz w:val="16"/>
              </w:rPr>
              <w:t>$90.19/bbl</w:t>
            </w:r>
          </w:p>
        </w:tc>
        <w:tc>
          <w:tcPr>
            <w:tcW w:type="dxa" w:w="2484"/>
            <w:shd w:fill="F8FAFC"/>
            <w:tcMar>
              <w:top w:w="80" w:type="dxa"/>
              <w:bottom w:w="80" w:type="dxa"/>
              <w:left w:w="100" w:type="dxa"/>
              <w:right w:w="100" w:type="dxa"/>
            </w:tcMar>
          </w:tcPr>
          <w:p>
            <w:pPr>
              <w:jc w:val="right"/>
            </w:pPr>
            <w:r>
              <w:rPr>
                <w:b/>
                <w:color w:val="1B365D"/>
                <w:sz w:val="16"/>
              </w:rPr>
              <w:t>₹8645.61/bbl</w:t>
            </w:r>
          </w:p>
        </w:tc>
      </w:tr>
      <w:tr>
        <w:tc>
          <w:tcPr>
            <w:tcW w:type="dxa" w:w="2484"/>
            <w:shd w:fill="FFFFFF"/>
            <w:tcMar>
              <w:top w:w="80" w:type="dxa"/>
              <w:bottom w:w="80" w:type="dxa"/>
              <w:left w:w="100" w:type="dxa"/>
              <w:right w:w="100" w:type="dxa"/>
            </w:tcMar>
          </w:tcPr>
          <w:p>
            <w:pPr>
              <w:jc w:val="left"/>
            </w:pPr>
            <w:r>
              <w:rPr>
                <w:sz w:val="16"/>
              </w:rPr>
              <w:t>Administered Price Mechanism (APM) Gas</w:t>
            </w:r>
          </w:p>
        </w:tc>
        <w:tc>
          <w:tcPr>
            <w:tcW w:type="dxa" w:w="2484"/>
            <w:shd w:fill="FFFFFF"/>
            <w:tcMar>
              <w:top w:w="80" w:type="dxa"/>
              <w:bottom w:w="80" w:type="dxa"/>
              <w:left w:w="100" w:type="dxa"/>
              <w:right w:w="100" w:type="dxa"/>
            </w:tcMar>
          </w:tcPr>
          <w:p>
            <w:pPr>
              <w:jc w:val="right"/>
            </w:pPr>
            <w:r>
              <w:rPr>
                <w:sz w:val="16"/>
              </w:rPr>
              <w:t>Statutory Cap</w:t>
            </w:r>
          </w:p>
        </w:tc>
        <w:tc>
          <w:tcPr>
            <w:tcW w:type="dxa" w:w="2484"/>
            <w:shd w:fill="FFFFFF"/>
            <w:tcMar>
              <w:top w:w="80" w:type="dxa"/>
              <w:bottom w:w="80" w:type="dxa"/>
              <w:left w:w="100" w:type="dxa"/>
              <w:right w:w="100" w:type="dxa"/>
            </w:tcMar>
          </w:tcPr>
          <w:p>
            <w:pPr>
              <w:jc w:val="right"/>
            </w:pPr>
            <w:r>
              <w:rPr>
                <w:sz w:val="16"/>
              </w:rPr>
              <w:t>$7.00/MMBTU</w:t>
            </w:r>
          </w:p>
        </w:tc>
        <w:tc>
          <w:tcPr>
            <w:tcW w:type="dxa" w:w="2484"/>
            <w:shd w:fill="FFFFFF"/>
            <w:tcMar>
              <w:top w:w="80" w:type="dxa"/>
              <w:bottom w:w="80" w:type="dxa"/>
              <w:left w:w="100" w:type="dxa"/>
              <w:right w:w="100" w:type="dxa"/>
            </w:tcMar>
          </w:tcPr>
          <w:p>
            <w:pPr>
              <w:jc w:val="right"/>
            </w:pPr>
            <w:r>
              <w:rPr>
                <w:sz w:val="16"/>
              </w:rPr>
              <w:t>₹545.68/MMBTU</w:t>
            </w:r>
          </w:p>
        </w:tc>
      </w:tr>
      <w:tr>
        <w:tc>
          <w:tcPr>
            <w:tcW w:type="dxa" w:w="9936"/>
            <w:gridSpan w:val="4"/>
            <w:shd w:fill="F0F4F8"/>
            <w:tcMar>
              <w:top w:w="60" w:type="dxa"/>
              <w:bottom w:w="60" w:type="dxa"/>
              <w:left w:w="100" w:type="dxa"/>
              <w:right w:w="100" w:type="dxa"/>
            </w:tcMar>
          </w:tcPr>
          <w:p>
            <w:r>
              <w:rPr>
                <w:i/>
                <w:color w:val="666666"/>
                <w:sz w:val="14"/>
              </w:rPr>
              <w:t>Source: Live Financial Feed — yfinance API (BZ=F &amp; INR=X as of 2026-09-18) &amp; PPAC Statutory Weighted Pricing Formula.</w:t>
            </w:r>
          </w:p>
        </w:tc>
      </w:tr>
    </w:tbl>
    <w:p>
      <w:pPr>
        <w:spacing w:after="160"/>
      </w:pPr>
    </w:p>
    <w:p>
      <w:r>
        <w:rPr>
          <w:b/>
          <w:color w:val="1B365D"/>
          <w:sz w:val="24"/>
        </w:rPr>
        <w:t>Chapter 3: Domestic Petroleum Consumption &amp; OMC Sales Performance</w:t>
      </w:r>
    </w:p>
    <w:p>
      <w:r>
        <w:rPr>
          <w:sz w:val="18"/>
        </w:rPr>
        <w:t>Consolidated domestic consumption across Oil Marketing Companies (IOCL, BPCL, HPCL) recorded robust offtake. - Monsoon precipitation recorded at 104% of Long Period Average (LPA) during August, leading to seasonal moderation in agricultural diesel consumption for pump-sets across Northern agrarian corridors.</w:t>
        <w:br/>
        <w:t>- Commercial aviation turbine fuel (ATF) exhibited robust 8.4% YoY expansion driven by post-pandemic record passenger throughput at metro terminals (DEL, BOM, BLR).</w:t>
        <w:br/>
        <w:t>- BPCL reported a provisional anomaly in rural LPG off-take (-30.0% MoM) attributable to local distributor ERP database migration across 4 state circles. Data reconciliation underway under Section 0 audit protocols.</w:t>
        <w:br/>
        <w:t>High-Speed Diesel (HSD) continues as the bedrock commercial fuel, while Motor Spirit (MS) registered consistent private mobility gains across urban corridors.</w:t>
      </w:r>
    </w:p>
    <w:p>
      <w:pPr>
        <w:jc w:val="center"/>
      </w:pPr>
      <w:r>
        <w:drawing>
          <wp:inline xmlns:a="http://schemas.openxmlformats.org/drawingml/2006/main" xmlns:pic="http://schemas.openxmlformats.org/drawingml/2006/picture">
            <wp:extent cx="6217920" cy="2912190"/>
            <wp:docPr id="4" name="Picture 4"/>
            <wp:cNvGraphicFramePr>
              <a:graphicFrameLocks noChangeAspect="1"/>
            </wp:cNvGraphicFramePr>
            <a:graphic>
              <a:graphicData uri="http://schemas.openxmlformats.org/drawingml/2006/picture">
                <pic:pic>
                  <pic:nvPicPr>
                    <pic:cNvPr id="0" name="omc_sales_distribution.png"/>
                    <pic:cNvPicPr/>
                  </pic:nvPicPr>
                  <pic:blipFill>
                    <a:blip r:embed="rId12"/>
                    <a:stretch>
                      <a:fillRect/>
                    </a:stretch>
                  </pic:blipFill>
                  <pic:spPr>
                    <a:xfrm>
                      <a:off x="0" y="0"/>
                      <a:ext cx="6217920" cy="2912190"/>
                    </a:xfrm>
                    <a:prstGeom prst="rect"/>
                  </pic:spPr>
                </pic:pic>
              </a:graphicData>
            </a:graphic>
          </wp:inline>
        </w:drawing>
      </w:r>
    </w:p>
    <w:p>
      <w:pPr>
        <w:jc w:val="center"/>
      </w:pPr>
      <w:r>
        <w:rPr>
          <w:i/>
          <w:sz w:val="15"/>
        </w:rPr>
        <w:t>Figure 3.1: Fuel Sales Distribution across Public Sector OMCs (TMT)</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B365D"/>
          </w:tcPr>
          <w:p>
            <w:pPr>
              <w:jc w:val="center"/>
            </w:pPr>
            <w:r>
              <w:rPr>
                <w:b/>
                <w:color w:val="FFFFFF"/>
                <w:sz w:val="16"/>
              </w:rPr>
              <w:t>Product Category</w:t>
            </w:r>
          </w:p>
        </w:tc>
        <w:tc>
          <w:tcPr>
            <w:tcW w:type="dxa" w:w="2484"/>
            <w:shd w:fill="1B365D"/>
          </w:tcPr>
          <w:p>
            <w:pPr>
              <w:jc w:val="center"/>
            </w:pPr>
            <w:r>
              <w:rPr>
                <w:b/>
                <w:color w:val="FFFFFF"/>
                <w:sz w:val="16"/>
              </w:rPr>
              <w:t>IOCL (TMT)</w:t>
            </w:r>
          </w:p>
        </w:tc>
        <w:tc>
          <w:tcPr>
            <w:tcW w:type="dxa" w:w="2484"/>
            <w:shd w:fill="1B365D"/>
          </w:tcPr>
          <w:p>
            <w:pPr>
              <w:jc w:val="center"/>
            </w:pPr>
            <w:r>
              <w:rPr>
                <w:b/>
                <w:color w:val="FFFFFF"/>
                <w:sz w:val="16"/>
              </w:rPr>
              <w:t>BPCL (TMT)</w:t>
            </w:r>
          </w:p>
        </w:tc>
        <w:tc>
          <w:tcPr>
            <w:tcW w:type="dxa" w:w="2484"/>
            <w:shd w:fill="1B365D"/>
          </w:tcPr>
          <w:p>
            <w:pPr>
              <w:jc w:val="center"/>
            </w:pPr>
            <w:r>
              <w:rPr>
                <w:b/>
                <w:color w:val="FFFFFF"/>
                <w:sz w:val="16"/>
              </w:rPr>
              <w:t>HPCL (TMT)</w:t>
            </w:r>
          </w:p>
        </w:tc>
      </w:tr>
      <w:tr>
        <w:tc>
          <w:tcPr>
            <w:tcW w:type="dxa" w:w="2484"/>
            <w:shd w:fill="F8FAFC"/>
            <w:tcMar>
              <w:top w:w="70" w:type="dxa"/>
              <w:bottom w:w="70" w:type="dxa"/>
              <w:left w:w="90" w:type="dxa"/>
              <w:right w:w="90" w:type="dxa"/>
            </w:tcMar>
          </w:tcPr>
          <w:p>
            <w:pPr>
              <w:jc w:val="left"/>
            </w:pPr>
            <w:r>
              <w:rPr>
                <w:sz w:val="16"/>
              </w:rPr>
              <w:t>High-Speed Diesel (HSD)</w:t>
            </w:r>
          </w:p>
        </w:tc>
        <w:tc>
          <w:tcPr>
            <w:tcW w:type="dxa" w:w="2484"/>
            <w:shd w:fill="F8FAFC"/>
            <w:tcMar>
              <w:top w:w="70" w:type="dxa"/>
              <w:bottom w:w="70" w:type="dxa"/>
              <w:left w:w="90" w:type="dxa"/>
              <w:right w:w="90" w:type="dxa"/>
            </w:tcMar>
          </w:tcPr>
          <w:p>
            <w:pPr>
              <w:jc w:val="right"/>
            </w:pPr>
            <w:r>
              <w:rPr>
                <w:sz w:val="16"/>
              </w:rPr>
              <w:t>3,850.0</w:t>
            </w:r>
          </w:p>
        </w:tc>
        <w:tc>
          <w:tcPr>
            <w:tcW w:type="dxa" w:w="2484"/>
            <w:shd w:fill="F8FAFC"/>
            <w:tcMar>
              <w:top w:w="70" w:type="dxa"/>
              <w:bottom w:w="70" w:type="dxa"/>
              <w:left w:w="90" w:type="dxa"/>
              <w:right w:w="90" w:type="dxa"/>
            </w:tcMar>
          </w:tcPr>
          <w:p>
            <w:pPr>
              <w:jc w:val="right"/>
            </w:pPr>
            <w:r>
              <w:rPr>
                <w:sz w:val="16"/>
              </w:rPr>
              <w:t>2,240.0</w:t>
            </w:r>
          </w:p>
        </w:tc>
        <w:tc>
          <w:tcPr>
            <w:tcW w:type="dxa" w:w="2484"/>
            <w:shd w:fill="F8FAFC"/>
            <w:tcMar>
              <w:top w:w="70" w:type="dxa"/>
              <w:bottom w:w="70" w:type="dxa"/>
              <w:left w:w="90" w:type="dxa"/>
              <w:right w:w="90" w:type="dxa"/>
            </w:tcMar>
          </w:tcPr>
          <w:p>
            <w:pPr>
              <w:jc w:val="right"/>
            </w:pPr>
            <w:r>
              <w:rPr>
                <w:sz w:val="16"/>
              </w:rPr>
              <w:t>1,980.0</w:t>
            </w:r>
          </w:p>
        </w:tc>
      </w:tr>
      <w:tr>
        <w:tc>
          <w:tcPr>
            <w:tcW w:type="dxa" w:w="2484"/>
            <w:shd w:fill="FFFFFF"/>
            <w:tcMar>
              <w:top w:w="70" w:type="dxa"/>
              <w:bottom w:w="70" w:type="dxa"/>
              <w:left w:w="90" w:type="dxa"/>
              <w:right w:w="90" w:type="dxa"/>
            </w:tcMar>
          </w:tcPr>
          <w:p>
            <w:pPr>
              <w:jc w:val="left"/>
            </w:pPr>
            <w:r>
              <w:rPr>
                <w:sz w:val="16"/>
              </w:rPr>
              <w:t>Motor Spirit (Petrol / MS)</w:t>
            </w:r>
          </w:p>
        </w:tc>
        <w:tc>
          <w:tcPr>
            <w:tcW w:type="dxa" w:w="2484"/>
            <w:shd w:fill="FFFFFF"/>
            <w:tcMar>
              <w:top w:w="70" w:type="dxa"/>
              <w:bottom w:w="70" w:type="dxa"/>
              <w:left w:w="90" w:type="dxa"/>
              <w:right w:w="90" w:type="dxa"/>
            </w:tcMar>
          </w:tcPr>
          <w:p>
            <w:pPr>
              <w:jc w:val="right"/>
            </w:pPr>
            <w:r>
              <w:rPr>
                <w:sz w:val="16"/>
              </w:rPr>
              <w:t>1,420.0</w:t>
            </w:r>
          </w:p>
        </w:tc>
        <w:tc>
          <w:tcPr>
            <w:tcW w:type="dxa" w:w="2484"/>
            <w:shd w:fill="FFFFFF"/>
            <w:tcMar>
              <w:top w:w="70" w:type="dxa"/>
              <w:bottom w:w="70" w:type="dxa"/>
              <w:left w:w="90" w:type="dxa"/>
              <w:right w:w="90" w:type="dxa"/>
            </w:tcMar>
          </w:tcPr>
          <w:p>
            <w:pPr>
              <w:jc w:val="right"/>
            </w:pPr>
            <w:r>
              <w:rPr>
                <w:sz w:val="16"/>
              </w:rPr>
              <w:t>860.0</w:t>
            </w:r>
          </w:p>
        </w:tc>
        <w:tc>
          <w:tcPr>
            <w:tcW w:type="dxa" w:w="2484"/>
            <w:shd w:fill="FFFFFF"/>
            <w:tcMar>
              <w:top w:w="70" w:type="dxa"/>
              <w:bottom w:w="70" w:type="dxa"/>
              <w:left w:w="90" w:type="dxa"/>
              <w:right w:w="90" w:type="dxa"/>
            </w:tcMar>
          </w:tcPr>
          <w:p>
            <w:pPr>
              <w:jc w:val="right"/>
            </w:pPr>
            <w:r>
              <w:rPr>
                <w:sz w:val="16"/>
              </w:rPr>
              <w:t>780.0</w:t>
            </w:r>
          </w:p>
        </w:tc>
      </w:tr>
      <w:tr>
        <w:tc>
          <w:tcPr>
            <w:tcW w:type="dxa" w:w="2484"/>
            <w:shd w:fill="F8FAFC"/>
            <w:tcMar>
              <w:top w:w="70" w:type="dxa"/>
              <w:bottom w:w="70" w:type="dxa"/>
              <w:left w:w="90" w:type="dxa"/>
              <w:right w:w="90" w:type="dxa"/>
            </w:tcMar>
          </w:tcPr>
          <w:p>
            <w:pPr>
              <w:jc w:val="left"/>
            </w:pPr>
            <w:r>
              <w:rPr>
                <w:sz w:val="16"/>
              </w:rPr>
              <w:t>Liquefied Petroleum Gas (LPG)</w:t>
            </w:r>
          </w:p>
        </w:tc>
        <w:tc>
          <w:tcPr>
            <w:tcW w:type="dxa" w:w="2484"/>
            <w:shd w:fill="F8FAFC"/>
            <w:tcMar>
              <w:top w:w="70" w:type="dxa"/>
              <w:bottom w:w="70" w:type="dxa"/>
              <w:left w:w="90" w:type="dxa"/>
              <w:right w:w="90" w:type="dxa"/>
            </w:tcMar>
          </w:tcPr>
          <w:p>
            <w:pPr>
              <w:jc w:val="right"/>
            </w:pPr>
            <w:r>
              <w:rPr>
                <w:sz w:val="16"/>
              </w:rPr>
              <w:t>1,280.0</w:t>
            </w:r>
          </w:p>
        </w:tc>
        <w:tc>
          <w:tcPr>
            <w:tcW w:type="dxa" w:w="2484"/>
            <w:shd w:fill="F8FAFC"/>
            <w:tcMar>
              <w:top w:w="70" w:type="dxa"/>
              <w:bottom w:w="70" w:type="dxa"/>
              <w:left w:w="90" w:type="dxa"/>
              <w:right w:w="90" w:type="dxa"/>
            </w:tcMar>
          </w:tcPr>
          <w:p>
            <w:pPr>
              <w:jc w:val="right"/>
            </w:pPr>
            <w:r>
              <w:rPr>
                <w:sz w:val="16"/>
              </w:rPr>
              <w:t>445.0</w:t>
            </w:r>
          </w:p>
        </w:tc>
        <w:tc>
          <w:tcPr>
            <w:tcW w:type="dxa" w:w="2484"/>
            <w:shd w:fill="F8FAFC"/>
            <w:tcMar>
              <w:top w:w="70" w:type="dxa"/>
              <w:bottom w:w="70" w:type="dxa"/>
              <w:left w:w="90" w:type="dxa"/>
              <w:right w:w="90" w:type="dxa"/>
            </w:tcMar>
          </w:tcPr>
          <w:p>
            <w:pPr>
              <w:jc w:val="right"/>
            </w:pPr>
            <w:r>
              <w:rPr>
                <w:sz w:val="16"/>
              </w:rPr>
              <w:t>695.0</w:t>
            </w:r>
          </w:p>
        </w:tc>
      </w:tr>
      <w:tr>
        <w:tc>
          <w:tcPr>
            <w:tcW w:type="dxa" w:w="9936"/>
            <w:gridSpan w:val="4"/>
            <w:shd w:fill="F0F4F8"/>
            <w:tcMar>
              <w:top w:w="60" w:type="dxa"/>
              <w:bottom w:w="60" w:type="dxa"/>
              <w:left w:w="90" w:type="dxa"/>
              <w:right w:w="90" w:type="dxa"/>
            </w:tcMar>
          </w:tcPr>
          <w:p>
            <w:r>
              <w:rPr>
                <w:i/>
                <w:color w:val="666666"/>
                <w:sz w:val="14"/>
              </w:rPr>
              <w:t>Source: Enterprise Spreadsheets — Monthly Marketing Division Submissions (IOCL, BPCL, HPCL) via PPAC Portal, Reconciled under Section 0.</w:t>
            </w:r>
          </w:p>
        </w:tc>
      </w:tr>
    </w:tbl>
    <w:p>
      <w:pPr>
        <w:spacing w:after="160"/>
      </w:pPr>
    </w:p>
    <w:p>
      <w:r>
        <w:rPr>
          <w:b/>
          <w:color w:val="1B365D"/>
          <w:sz w:val="24"/>
        </w:rPr>
        <w:t>Chapter 4: Retail Selling Price (RSP) Build-up in Delhi Metro</w:t>
      </w:r>
    </w:p>
    <w:p>
      <w:r>
        <w:rPr>
          <w:sz w:val="18"/>
        </w:rPr>
        <w:t>The retail pricing structure for auto fuels reflects statutory fiscal stabilization. Ex-depot base prices are benchmarked to international import parity, upon which central excise duties, state VAT, and dealer commissions are layered to arrive at final pump rates.</w:t>
      </w:r>
    </w:p>
    <w:p>
      <w:pPr>
        <w:jc w:val="center"/>
      </w:pPr>
      <w:r>
        <w:drawing>
          <wp:inline xmlns:a="http://schemas.openxmlformats.org/drawingml/2006/main" xmlns:pic="http://schemas.openxmlformats.org/drawingml/2006/picture">
            <wp:extent cx="6217920" cy="2738846"/>
            <wp:docPr id="5" name="Picture 5"/>
            <wp:cNvGraphicFramePr>
              <a:graphicFrameLocks noChangeAspect="1"/>
            </wp:cNvGraphicFramePr>
            <a:graphic>
              <a:graphicData uri="http://schemas.openxmlformats.org/drawingml/2006/picture">
                <pic:pic>
                  <pic:nvPicPr>
                    <pic:cNvPr id="0" name="price_buildup.png"/>
                    <pic:cNvPicPr/>
                  </pic:nvPicPr>
                  <pic:blipFill>
                    <a:blip r:embed="rId13"/>
                    <a:stretch>
                      <a:fillRect/>
                    </a:stretch>
                  </pic:blipFill>
                  <pic:spPr>
                    <a:xfrm>
                      <a:off x="0" y="0"/>
                      <a:ext cx="6217920" cy="2738846"/>
                    </a:xfrm>
                    <a:prstGeom prst="rect"/>
                  </pic:spPr>
                </pic:pic>
              </a:graphicData>
            </a:graphic>
          </wp:inline>
        </w:drawing>
      </w:r>
    </w:p>
    <w:p>
      <w:pPr>
        <w:jc w:val="center"/>
      </w:pPr>
      <w:r>
        <w:rPr>
          <w:i/>
          <w:sz w:val="15"/>
        </w:rPr>
        <w:t>Figure 4.1: Delhi Metro Auto Fuel Fiscal &amp; Duty Architecture (₹ per Litre)</w:t>
      </w:r>
    </w:p>
    <w:p>
      <w:r>
        <w:rPr>
          <w:i/>
          <w:color w:val="666666"/>
          <w:sz w:val="14"/>
        </w:rPr>
        <w:t>Source: IOCL State Level Coordinator (SLC) Delhi Metro Price Build-up Gazette &amp; Ministry of Finance (CBIC) Excise Notifications.</w:t>
      </w:r>
    </w:p>
    <w:p>
      <w:pPr>
        <w:spacing w:after="160"/>
      </w:pPr>
    </w:p>
    <w:p>
      <w:r>
        <w:rPr>
          <w:b/>
          <w:color w:val="1B365D"/>
          <w:sz w:val="24"/>
        </w:rPr>
        <w:t>Chapter 5: Sovereign &amp; Regulatory Intelligence (Parliament Watch &amp; Global Outlook)</w:t>
      </w:r>
    </w:p>
    <w:p>
      <w:r>
        <w:rPr>
          <w:sz w:val="17"/>
        </w:rPr>
        <w:t>Adhering to EIA sovereign reporting standards, this chapter synthesizes both online intelligence feeds and discrete inter-ministerial Office Memoranda (OMs) received from other government bodies:</w:t>
        <w:br/>
        <w:br/>
        <w:t>• Parliamentary Scrutiny (Lok Sabha &amp; Rajya Sabha):</w:t>
        <w:br/>
        <w:t>- Lok Sabha Starred Question No. 142 (Answered 12 Aug 2026): Ministry of Petroleum &amp; Natural Gas confirmed that OMC under-recoveries on domestic LPG were fully amortized through targeted fiscal provisions, with ₹12,000 Cr allocated for PMUY (Pradhan Mantri Ujjwala Yojana) DBT subsidies.</w:t>
        <w:br/>
        <w:t>- Parliamentary Standing Committee on Petroleum (32nd Report): Tabled recommendations emphasizing accelerated crude storage filling at Strategic Petroleum Reserves (SPR) Phase-II caverns in Chandikhol (Odisha) and Padur (Karnataka) to insulate against tanker disruptions in the Strait of Hormuz.</w:t>
        <w:br/>
        <w:t>- Rajya Sabha Unstarred Question No. 984: Ethanol blending in petrol (E20) reached a national average of 18.6% across 24 States, achieving foreign exchange savings of over ₹28,500 Cr in the current fiscal cycle.</w:t>
        <w:br/>
        <w:br/>
        <w:t>• Statutory Regulatory Orders (PNGRB &amp; DGH Gazette):</w:t>
        <w:br/>
        <w:t>- Petroleum &amp; Natural Gas Regulatory Board (PNGRB) issued Public Notice 45/2026 notifying revised unified pipeline tariffs across the National Gas Grid, equalizing transmission tariffs across Zone 1 (&lt;300 km) and Zone 2 (&gt;300 km) to incentivize industrial natural gas adoption in Eastern India.</w:t>
        <w:br/>
        <w:t>- Directorate General of Hydrocarbons (DGH) formally opened bids for 28 exploration blocks under Open Acreage Licensing Policy (OALP) Bid Round X, covering deepwater sedimentary basins in the Mahanadi and Andaman offshore tracts.</w:t>
        <w:br/>
        <w:br/>
        <w:t>• Global Benchmark Watch (EIA STEO &amp; IEA Oil Market Report):</w:t>
        <w:br/>
        <w:t>- U.S. Energy Information Administration (EIA STEO): Forecasts global liquid fuels consumption to average 104.2 million bpd in late 2026, driven predominantly by Asian non-OECD transportation demand.</w:t>
        <w:br/>
        <w:t>- International Energy Agency (IEA Oil Market Report): Revised Indian oil demand growth projection upward to +240 kb/d YoY, highlighting India as the world's primary global demand growth engine through 2030.</w:t>
      </w:r>
    </w:p>
    <w:p>
      <w:pPr>
        <w:spacing w:after="40"/>
      </w:pPr>
    </w:p>
    <w:p>
      <w:r>
        <w:rPr>
          <w:b/>
          <w:color w:val="1B365D"/>
          <w:sz w:val="19"/>
        </w:rPr>
        <w:t>Table 5.1: Ingested Inter-Ministerial Letters &amp; Parliamentary Question Packets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B365D"/>
          </w:tcPr>
          <w:p>
            <w:pPr>
              <w:jc w:val="center"/>
            </w:pPr>
            <w:r>
              <w:rPr>
                <w:b/>
                <w:color w:val="FFFFFF"/>
                <w:sz w:val="15"/>
              </w:rPr>
              <w:t>Originating Sovereign Entity</w:t>
            </w:r>
          </w:p>
        </w:tc>
        <w:tc>
          <w:tcPr>
            <w:tcW w:type="dxa" w:w="2484"/>
            <w:shd w:fill="1B365D"/>
          </w:tcPr>
          <w:p>
            <w:pPr>
              <w:jc w:val="center"/>
            </w:pPr>
            <w:r>
              <w:rPr>
                <w:b/>
                <w:color w:val="FFFFFF"/>
                <w:sz w:val="15"/>
              </w:rPr>
              <w:t>Official Reference No.</w:t>
            </w:r>
          </w:p>
        </w:tc>
        <w:tc>
          <w:tcPr>
            <w:tcW w:type="dxa" w:w="2484"/>
            <w:shd w:fill="1B365D"/>
          </w:tcPr>
          <w:p>
            <w:pPr>
              <w:jc w:val="center"/>
            </w:pPr>
            <w:r>
              <w:rPr>
                <w:b/>
                <w:color w:val="FFFFFF"/>
                <w:sz w:val="15"/>
              </w:rPr>
              <w:t>Date</w:t>
            </w:r>
          </w:p>
        </w:tc>
        <w:tc>
          <w:tcPr>
            <w:tcW w:type="dxa" w:w="2484"/>
            <w:shd w:fill="1B365D"/>
          </w:tcPr>
          <w:p>
            <w:pPr>
              <w:jc w:val="center"/>
            </w:pPr>
            <w:r>
              <w:rPr>
                <w:b/>
                <w:color w:val="FFFFFF"/>
                <w:sz w:val="15"/>
              </w:rPr>
              <w:t>Subject / Policy Determination</w:t>
            </w:r>
          </w:p>
        </w:tc>
      </w:tr>
      <w:tr>
        <w:tc>
          <w:tcPr>
            <w:tcW w:type="dxa" w:w="2484"/>
            <w:shd w:fill="F8FAFC"/>
            <w:tcMar>
              <w:top w:w="60" w:type="dxa"/>
              <w:bottom w:w="60" w:type="dxa"/>
              <w:left w:w="80" w:type="dxa"/>
              <w:right w:w="80" w:type="dxa"/>
            </w:tcMar>
          </w:tcPr>
          <w:p>
            <w:pPr>
              <w:jc w:val="left"/>
            </w:pPr>
            <w:r>
              <w:rPr>
                <w:b/>
                <w:sz w:val="15"/>
              </w:rPr>
              <w:t>Ministry of Finance (Dept. of Expenditure)</w:t>
            </w:r>
          </w:p>
        </w:tc>
        <w:tc>
          <w:tcPr>
            <w:tcW w:type="dxa" w:w="2484"/>
            <w:shd w:fill="F8FAFC"/>
            <w:tcMar>
              <w:top w:w="60" w:type="dxa"/>
              <w:bottom w:w="60" w:type="dxa"/>
              <w:left w:w="80" w:type="dxa"/>
              <w:right w:w="80" w:type="dxa"/>
            </w:tcMar>
          </w:tcPr>
          <w:p>
            <w:pPr>
              <w:jc w:val="left"/>
            </w:pPr>
            <w:r>
              <w:rPr>
                <w:sz w:val="15"/>
              </w:rPr>
              <w:t>Unknown</w:t>
            </w:r>
          </w:p>
        </w:tc>
        <w:tc>
          <w:tcPr>
            <w:tcW w:type="dxa" w:w="2484"/>
            <w:shd w:fill="F8FAFC"/>
            <w:tcMar>
              <w:top w:w="60" w:type="dxa"/>
              <w:bottom w:w="60" w:type="dxa"/>
              <w:left w:w="80" w:type="dxa"/>
              <w:right w:w="80" w:type="dxa"/>
            </w:tcMar>
          </w:tcPr>
          <w:p>
            <w:pPr>
              <w:jc w:val="left"/>
            </w:pPr>
            <w:r>
              <w:rPr>
                <w:sz w:val="15"/>
              </w:rPr>
              <w:t>04 August 2026</w:t>
            </w:r>
          </w:p>
        </w:tc>
        <w:tc>
          <w:tcPr>
            <w:tcW w:type="dxa" w:w="2484"/>
            <w:shd w:fill="F8FAFC"/>
            <w:tcMar>
              <w:top w:w="60" w:type="dxa"/>
              <w:bottom w:w="60" w:type="dxa"/>
              <w:left w:w="80" w:type="dxa"/>
              <w:right w:w="80" w:type="dxa"/>
            </w:tcMar>
          </w:tcPr>
          <w:p>
            <w:pPr>
              <w:jc w:val="left"/>
            </w:pPr>
            <w:r>
              <w:rPr>
                <w:sz w:val="15"/>
              </w:rPr>
              <w:t>BUDGETARY PROVISIONING &amp; DBT RELEASE AUTHORIZATION FOR PRADHAN MANTRI UJJWALA YOJANA (PMUY) DOMESTIC LPG SUBSIDIES</w:t>
            </w:r>
          </w:p>
        </w:tc>
      </w:tr>
      <w:tr>
        <w:tc>
          <w:tcPr>
            <w:tcW w:type="dxa" w:w="2484"/>
            <w:shd w:fill="FFFFFF"/>
            <w:tcMar>
              <w:top w:w="60" w:type="dxa"/>
              <w:bottom w:w="60" w:type="dxa"/>
              <w:left w:w="80" w:type="dxa"/>
              <w:right w:w="80" w:type="dxa"/>
            </w:tcMar>
          </w:tcPr>
          <w:p>
            <w:pPr>
              <w:jc w:val="left"/>
            </w:pPr>
            <w:r>
              <w:rPr>
                <w:b/>
                <w:sz w:val="15"/>
              </w:rPr>
              <w:t>Petroleum &amp; Natural Gas Regulatory Board (PNGRB)</w:t>
            </w:r>
          </w:p>
        </w:tc>
        <w:tc>
          <w:tcPr>
            <w:tcW w:type="dxa" w:w="2484"/>
            <w:shd w:fill="FFFFFF"/>
            <w:tcMar>
              <w:top w:w="60" w:type="dxa"/>
              <w:bottom w:w="60" w:type="dxa"/>
              <w:left w:w="80" w:type="dxa"/>
              <w:right w:w="80" w:type="dxa"/>
            </w:tcMar>
          </w:tcPr>
          <w:p>
            <w:pPr>
              <w:jc w:val="left"/>
            </w:pPr>
            <w:r>
              <w:rPr>
                <w:sz w:val="15"/>
              </w:rPr>
              <w:t>PNGRB/COM/12-NGPL/Tariff(1)/2026/PublicNotice-45</w:t>
            </w:r>
          </w:p>
        </w:tc>
        <w:tc>
          <w:tcPr>
            <w:tcW w:type="dxa" w:w="2484"/>
            <w:shd w:fill="FFFFFF"/>
            <w:tcMar>
              <w:top w:w="60" w:type="dxa"/>
              <w:bottom w:w="60" w:type="dxa"/>
              <w:left w:w="80" w:type="dxa"/>
              <w:right w:w="80" w:type="dxa"/>
            </w:tcMar>
          </w:tcPr>
          <w:p>
            <w:pPr>
              <w:jc w:val="left"/>
            </w:pPr>
            <w:r>
              <w:rPr>
                <w:sz w:val="15"/>
              </w:rPr>
              <w:t>01 August 2026</w:t>
            </w:r>
          </w:p>
        </w:tc>
        <w:tc>
          <w:tcPr>
            <w:tcW w:type="dxa" w:w="2484"/>
            <w:shd w:fill="FFFFFF"/>
            <w:tcMar>
              <w:top w:w="60" w:type="dxa"/>
              <w:bottom w:w="60" w:type="dxa"/>
              <w:left w:w="80" w:type="dxa"/>
              <w:right w:w="80" w:type="dxa"/>
            </w:tcMar>
          </w:tcPr>
          <w:p>
            <w:pPr>
              <w:jc w:val="left"/>
            </w:pPr>
            <w:r>
              <w:rPr>
                <w:sz w:val="15"/>
              </w:rPr>
              <w:t>PROMULGATION OF UNIFIED TARIFF ARCHITECTURE FOR THE NATIONAL NATURAL GAS GRID (AMENDMENT NO. 3/2026)</w:t>
            </w:r>
          </w:p>
        </w:tc>
      </w:tr>
      <w:tr>
        <w:tc>
          <w:tcPr>
            <w:tcW w:type="dxa" w:w="2484"/>
            <w:shd w:fill="F8FAFC"/>
            <w:tcMar>
              <w:top w:w="60" w:type="dxa"/>
              <w:bottom w:w="60" w:type="dxa"/>
              <w:left w:w="80" w:type="dxa"/>
              <w:right w:w="80" w:type="dxa"/>
            </w:tcMar>
          </w:tcPr>
          <w:p>
            <w:pPr>
              <w:jc w:val="left"/>
            </w:pPr>
            <w:r>
              <w:rPr>
                <w:b/>
                <w:sz w:val="15"/>
              </w:rPr>
              <w:t>Lok Sabha Secretariat (Parliament of India)</w:t>
            </w:r>
          </w:p>
        </w:tc>
        <w:tc>
          <w:tcPr>
            <w:tcW w:type="dxa" w:w="2484"/>
            <w:shd w:fill="F8FAFC"/>
            <w:tcMar>
              <w:top w:w="60" w:type="dxa"/>
              <w:bottom w:w="60" w:type="dxa"/>
              <w:left w:w="80" w:type="dxa"/>
              <w:right w:w="80" w:type="dxa"/>
            </w:tcMar>
          </w:tcPr>
          <w:p>
            <w:pPr>
              <w:jc w:val="left"/>
            </w:pPr>
            <w:r>
              <w:rPr>
                <w:sz w:val="15"/>
              </w:rPr>
              <w:t>F.No. 14/1/2026-Q(P&amp;NG)</w:t>
            </w:r>
          </w:p>
        </w:tc>
        <w:tc>
          <w:tcPr>
            <w:tcW w:type="dxa" w:w="2484"/>
            <w:shd w:fill="F8FAFC"/>
            <w:tcMar>
              <w:top w:w="60" w:type="dxa"/>
              <w:bottom w:w="60" w:type="dxa"/>
              <w:left w:w="80" w:type="dxa"/>
              <w:right w:w="80" w:type="dxa"/>
            </w:tcMar>
          </w:tcPr>
          <w:p>
            <w:pPr>
              <w:jc w:val="left"/>
            </w:pPr>
            <w:r>
              <w:rPr>
                <w:sz w:val="15"/>
              </w:rPr>
              <w:t>08 August 2026</w:t>
            </w:r>
          </w:p>
        </w:tc>
        <w:tc>
          <w:tcPr>
            <w:tcW w:type="dxa" w:w="2484"/>
            <w:shd w:fill="F8FAFC"/>
            <w:tcMar>
              <w:top w:w="60" w:type="dxa"/>
              <w:bottom w:w="60" w:type="dxa"/>
              <w:left w:w="80" w:type="dxa"/>
              <w:right w:w="80" w:type="dxa"/>
            </w:tcMar>
          </w:tcPr>
          <w:p>
            <w:pPr>
              <w:jc w:val="left"/>
            </w:pPr>
            <w:r>
              <w:rPr>
                <w:sz w:val="15"/>
              </w:rPr>
              <w:t>ADMITTED LOK SABHA QUESTIONS - STATISTICAL BRIEFS REQUIRED (STARRED Q. 1875 &amp; UNSTARRED Q. 3165)</w:t>
            </w:r>
          </w:p>
        </w:tc>
      </w:tr>
      <w:tr>
        <w:tc>
          <w:tcPr>
            <w:tcW w:type="dxa" w:w="9936"/>
            <w:gridSpan w:val="4"/>
            <w:shd w:fill="F0F4F8"/>
            <w:tcMar>
              <w:top w:w="50" w:type="dxa"/>
              <w:bottom w:w="50" w:type="dxa"/>
              <w:left w:w="80" w:type="dxa"/>
              <w:right w:w="80" w:type="dxa"/>
            </w:tcMar>
          </w:tcPr>
          <w:p>
            <w:r>
              <w:rPr>
                <w:i/>
                <w:color w:val="666666"/>
                <w:sz w:val="14"/>
              </w:rPr>
              <w:t>Source: Discrete Government Packets received via Ministry e-Office / NIC Mail &amp; Lok Sabha Secretariat Parliamentary Notices.</w:t>
            </w:r>
          </w:p>
        </w:tc>
      </w:tr>
    </w:tbl>
    <w:p>
      <w:pPr>
        <w:spacing w:after="160"/>
      </w:pPr>
    </w:p>
    <w:p>
      <w:r>
        <w:rPr>
          <w:b/>
          <w:color w:val="1B365D"/>
          <w:sz w:val="24"/>
        </w:rPr>
        <w:t>Chapter 6: 60-Day Econometric Demand Projections &amp; Operational Mandate</w:t>
      </w:r>
    </w:p>
    <w:p>
      <w:r>
        <w:rPr>
          <w:sz w:val="18"/>
        </w:rPr>
        <w:t>To support proactive downstream allocation and supply-chain readiness, forward-looking econometric demand curves are projected across the 60-day post-monsoon horizon. The projection below transitions from verified historical actuals (solid navy line) to the forward modeled trajectory (dotted amber line with 95% confidence corridor).</w:t>
      </w:r>
    </w:p>
    <w:p>
      <w:pPr>
        <w:jc w:val="center"/>
      </w:pPr>
      <w:r>
        <w:drawing>
          <wp:inline xmlns:a="http://schemas.openxmlformats.org/drawingml/2006/main" xmlns:pic="http://schemas.openxmlformats.org/drawingml/2006/picture">
            <wp:extent cx="6217920" cy="2802807"/>
            <wp:docPr id="6" name="Picture 6"/>
            <wp:cNvGraphicFramePr>
              <a:graphicFrameLocks noChangeAspect="1"/>
            </wp:cNvGraphicFramePr>
            <a:graphic>
              <a:graphicData uri="http://schemas.openxmlformats.org/drawingml/2006/picture">
                <pic:pic>
                  <pic:nvPicPr>
                    <pic:cNvPr id="0" name="hsd_demand_projection.png"/>
                    <pic:cNvPicPr/>
                  </pic:nvPicPr>
                  <pic:blipFill>
                    <a:blip r:embed="rId14"/>
                    <a:stretch>
                      <a:fillRect/>
                    </a:stretch>
                  </pic:blipFill>
                  <pic:spPr>
                    <a:xfrm>
                      <a:off x="0" y="0"/>
                      <a:ext cx="6217920" cy="2802807"/>
                    </a:xfrm>
                    <a:prstGeom prst="rect"/>
                  </pic:spPr>
                </pic:pic>
              </a:graphicData>
            </a:graphic>
          </wp:inline>
        </w:drawing>
      </w:r>
    </w:p>
    <w:p>
      <w:pPr>
        <w:jc w:val="center"/>
      </w:pPr>
      <w:r>
        <w:rPr>
          <w:i/>
          <w:sz w:val="15"/>
        </w:rPr>
        <w:t>Figure 6.1: High-Speed Diesel (HSD) 60-Day Econometric Projection Horizon (TMT)</w:t>
      </w:r>
    </w:p>
    <w:p>
      <w:r>
        <w:rPr>
          <w:i/>
          <w:color w:val="666666"/>
          <w:sz w:val="14"/>
        </w:rPr>
        <w:t>Source: PPAC Predictive Analytics Division (Solid Navy: Historical Audited Actuals; Dotted Amber: 60-Day Forward Look with 95% Confidence Corridor).</w:t>
      </w:r>
    </w:p>
    <w:p>
      <w:pPr>
        <w:spacing w:after="80"/>
      </w:pPr>
    </w:p>
    <w:tbl>
      <w:tblPr>
        <w:tblW w:type="auto" w:w="0"/>
        <w:jc w:val="center"/>
        <w:tblLook w:firstColumn="1" w:firstRow="1" w:lastColumn="0" w:lastRow="0" w:noHBand="0" w:noVBand="1" w:val="04A0"/>
      </w:tblPr>
      <w:tblGrid>
        <w:gridCol w:w="9936"/>
      </w:tblGrid>
      <w:tr>
        <w:tc>
          <w:tcPr>
            <w:tcW w:type="dxa" w:w="9936"/>
            <w:shd w:fill="FFFBEB"/>
            <w:tcMar>
              <w:top w:w="140" w:type="dxa"/>
              <w:bottom w:w="140" w:type="dxa"/>
              <w:left w:w="160" w:type="dxa"/>
              <w:right w:w="160" w:type="dxa"/>
            </w:tcMar>
          </w:tcPr>
          <w:p>
            <w:r>
              <w:rPr>
                <w:b/>
                <w:color w:val="1B365D"/>
                <w:sz w:val="19"/>
              </w:rPr>
              <w:t>⚡ EXECUTIVE 'SO WHAT' &amp; POLICY ACTION MANDATE FOR LEADERSHIP:</w:t>
              <w:br/>
            </w:r>
            <w:r>
              <w:rPr>
                <w:b w:val="0"/>
                <w:color w:val="222222"/>
                <w:sz w:val="16"/>
              </w:rPr>
              <w:t>• 1. Secondary Depot Buffer Stocking: Projected +11.1% post-monsoon festive diesel surge (8,420 TMT in October) requires IOCL, BPCL, and HPCL to build 14 days of additional secondary depot buffer stocks in Northern agrarian corridors by September 25 to prevent harvest pump-set stockouts.</w:t>
              <w:br/>
            </w:r>
            <w:r>
              <w:rPr>
                <w:b w:val="0"/>
                <w:color w:val="222222"/>
                <w:sz w:val="16"/>
              </w:rPr>
              <w:t>• 2. Refinery Intake &amp; Crude Sourcing: Anticipated fuel volume expansion necessitates an incremental 1.2 MMT in domestic crude processing, expanding the October petroleum import bill by ~$780M-$820M at current live Brent spot levels ($82.45/bbl). Refiners must optimize sweet/sour blending schedules immediately.</w:t>
              <w:br/>
            </w:r>
            <w:r>
              <w:rPr>
                <w:b w:val="0"/>
                <w:color w:val="222222"/>
                <w:sz w:val="16"/>
              </w:rPr>
              <w:t>• 3. LPG Subsidy Accrual Provisioning: Festive domestic LPG offtake is modeled to rise 4.8% MoM; MoPNG Economic Division must ensure advance release of ₹640 Cr in Direct Benefit Transfer (DBT) PMUY provisions to maintain OMC liquidity.</w:t>
              <w:br/>
            </w:r>
          </w:p>
        </w:tc>
      </w:tr>
    </w:tbl>
    <w:p>
      <w:pPr>
        <w:spacing w:after="200"/>
      </w:pPr>
    </w:p>
    <w:p>
      <w:r>
        <w:rPr>
          <w:b/>
          <w:color w:val="2E5B88"/>
          <w:sz w:val="22"/>
        </w:rPr>
        <w:t>Appendix: Enterprise Data Provenance &amp; Autonomous Pipeline Log</w:t>
      </w:r>
    </w:p>
    <w:p>
      <w:r>
        <w:rPr>
          <w:i/>
          <w:color w:val="666666"/>
          <w:sz w:val="15"/>
        </w:rPr>
        <w:t>Autonomous Run ID: RUN-2026-08-EXEC904 | Target Period: 2026-08</w:t>
        <w:br/>
        <w:t>Multi-Source Ingestion Manifest:</w:t>
        <w:br/>
        <w:t>• Live Financial Stream: yfinance API v0.2+ (Quotes: BZ=F, CL=F, NG=F, INR=X as of 2026-09-18)</w:t>
        <w:br/>
        <w:t>• Discrete Government Letters: Official OMs &amp; Lok Sabha Notices (F.No. 14/1/2026-Q, OM 28(4)/PF-II, PNGRB Order 45)</w:t>
        <w:br/>
        <w:t>• Enterprise Spreadsheets: OMC Sales Workbooks (IOCL, BPCL, HPCL) with fuzzy schema alignment</w:t>
        <w:br/>
        <w:t>• Sovereign Intelligence: Parliament of India Q&amp;A, PNGRB Regulatory Orders &amp; EIA/IEA Benchmark Outlooks</w:t>
        <w:br/>
        <w:t>• Statutory Pricing Engines: Dynamic ICB Calculator &amp; Kirit Parikh Gas APM Corridor</w:t>
        <w:br/>
        <w:t>• Governance Standard: A2A JSON-RPC 1.0 &amp; GCS 4-Tier Medallion Storage Standard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