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GOVERNMENT OF INDIA</w:t>
        <w:br/>
      </w:r>
      <w:r>
        <w:rPr>
          <w:b/>
          <w:color w:val="1F4E79"/>
          <w:sz w:val="22"/>
        </w:rPr>
        <w:t>MINISTRY OF PETROLEUM &amp; NATURAL GAS</w:t>
        <w:br/>
      </w:r>
      <w:r>
        <w:rPr>
          <w:b/>
          <w:color w:val="1F4E79"/>
          <w:sz w:val="26"/>
        </w:rPr>
        <w:t>PETROLEUM PLANNING &amp; ANALYSIS CELL (PPAC)</w:t>
        <w:br/>
        <w:br/>
      </w:r>
      <w:r>
        <w:rPr>
          <w:b/>
          <w:color w:val="1F4E79"/>
          <w:sz w:val="32"/>
        </w:rPr>
        <w:t>MONTHLY READY RECKONER &amp; FLASH REPORT</w:t>
        <w:br/>
        <w:t>HYDROCARBON STATISTICS — 2026-08</w:t>
        <w:br/>
      </w:r>
      <w:r>
        <w:rPr>
          <w:i/>
          <w:sz w:val="18"/>
        </w:rPr>
        <w:t>Release Date: 2026-08-05 | Classification: Official Sovereign Digest</w:t>
        <w:br/>
      </w:r>
    </w:p>
    <w:p>
      <w:r>
        <w:rPr>
          <w:b/>
          <w:color w:val="1F4E79"/>
          <w:sz w:val="22"/>
        </w:rPr>
        <w:t>🔴 SECTION 0: AI AUDIT &amp; REVIEW CHECKLIST (ACTION REQUIRED BEFORE STATUTORY RELEASE)</w:t>
      </w:r>
    </w:p>
    <w:tbl>
      <w:tblPr>
        <w:tblW w:type="auto" w:w="0"/>
        <w:jc w:val="center"/>
        <w:tblLook w:firstColumn="1" w:firstRow="1" w:lastColumn="0" w:lastRow="0" w:noHBand="0" w:noVBand="1" w:val="04A0"/>
      </w:tblPr>
      <w:tblGrid>
        <w:gridCol w:w="9648"/>
      </w:tblGrid>
      <w:tr>
        <w:tc>
          <w:tcPr>
            <w:tcW w:type="dxa" w:w="9648"/>
            <w:shd w:fill="F2F8F2"/>
          </w:tcPr>
          <w:p>
            <w:r>
              <w:t>================================================================================</w:t>
              <w:br/>
              <w:t>🔴 SECTION 0: AI AUDIT &amp; REVIEW CHECKLIST (ACTION REQUIRED BEFORE PUBLISHING)</w:t>
              <w:br/>
              <w:t>================================================================================</w:t>
              <w:br/>
              <w:t>Instructions: Pipeline completed with 0 active anomalies (0 CRITICAL, 0 WARNING). Review and resolve each item below. Remove this section prior to statutory release.</w:t>
              <w:br/>
              <w:br/>
              <w:t xml:space="preserve"> [✔] ALL RECONCILIATION &amp; ANOMALY CHECKS PASSED. DOCUMENT READY FOR SIGN-OFF.</w:t>
              <w:br/>
              <w:t>--------------------------------------------------------------------------------</w:t>
            </w:r>
          </w:p>
        </w:tc>
      </w:tr>
    </w:tbl>
    <w:p>
      <w:r>
        <w:br w:type="page"/>
      </w:r>
    </w:p>
    <w:p>
      <w:pPr>
        <w:pStyle w:val="Heading1"/>
        <w:spacing w:before="240" w:after="80"/>
      </w:pPr>
      <w:r>
        <w:rPr>
          <w:color w:val="1F4E79"/>
          <w:sz w:val="26"/>
        </w:rPr>
        <w:t>Chapter 1: Selected Macro-Economic Indicators</w:t>
      </w:r>
    </w:p>
    <w:p>
      <w:r>
        <w:t>The Indian macroeconomic landscape in 2026-08 remained anchored by robust domestic demand, measured consumer inflation, and steady capital goods expansion. These fundamentals directly underpinned national transport and industrial petroleum product sendouts.</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Indicator</w:t>
            </w:r>
          </w:p>
        </w:tc>
        <w:tc>
          <w:tcPr>
            <w:tcW w:type="dxa" w:w="3216"/>
            <w:shd w:fill="D9E1F2"/>
          </w:tcPr>
          <w:p>
            <w:r>
              <w:rPr>
                <w:b/>
                <w:sz w:val="19"/>
              </w:rPr>
              <w:t>Current Metric</w:t>
            </w:r>
          </w:p>
        </w:tc>
        <w:tc>
          <w:tcPr>
            <w:tcW w:type="dxa" w:w="3216"/>
            <w:shd w:fill="D9E1F2"/>
          </w:tcPr>
          <w:p>
            <w:r>
              <w:rPr>
                <w:b/>
                <w:sz w:val="19"/>
              </w:rPr>
              <w:t>Institutional Source / Benchmark</w:t>
            </w:r>
          </w:p>
        </w:tc>
      </w:tr>
      <w:tr>
        <w:tc>
          <w:tcPr>
            <w:tcW w:type="dxa" w:w="3216"/>
          </w:tcPr>
          <w:p>
            <w:r>
              <w:t>GDP Growth Rate</w:t>
            </w:r>
          </w:p>
        </w:tc>
        <w:tc>
          <w:tcPr>
            <w:tcW w:type="dxa" w:w="3216"/>
          </w:tcPr>
          <w:p>
            <w:r>
              <w:t>7.2%</w:t>
            </w:r>
          </w:p>
        </w:tc>
        <w:tc>
          <w:tcPr>
            <w:tcW w:type="dxa" w:w="3216"/>
          </w:tcPr>
          <w:p>
            <w:r>
              <w:t>National Statistical Office (NSO)</w:t>
            </w:r>
          </w:p>
        </w:tc>
      </w:tr>
      <w:tr>
        <w:tc>
          <w:tcPr>
            <w:tcW w:type="dxa" w:w="3216"/>
          </w:tcPr>
          <w:p>
            <w:r>
              <w:t>Index of Industrial Production (IIP General)</w:t>
            </w:r>
          </w:p>
        </w:tc>
        <w:tc>
          <w:tcPr>
            <w:tcW w:type="dxa" w:w="3216"/>
          </w:tcPr>
          <w:p>
            <w:r>
              <w:t>142.5</w:t>
            </w:r>
          </w:p>
        </w:tc>
        <w:tc>
          <w:tcPr>
            <w:tcW w:type="dxa" w:w="3216"/>
          </w:tcPr>
          <w:p>
            <w:r>
              <w:t>Base 2011-12 = 100</w:t>
            </w:r>
          </w:p>
        </w:tc>
      </w:tr>
      <w:tr>
        <w:tc>
          <w:tcPr>
            <w:tcW w:type="dxa" w:w="3216"/>
          </w:tcPr>
          <w:p>
            <w:r>
              <w:t>IIP Manufacturing Growth</w:t>
            </w:r>
          </w:p>
        </w:tc>
        <w:tc>
          <w:tcPr>
            <w:tcW w:type="dxa" w:w="3216"/>
          </w:tcPr>
          <w:p>
            <w:r>
              <w:t>4.8% YoY</w:t>
            </w:r>
          </w:p>
        </w:tc>
        <w:tc>
          <w:tcPr>
            <w:tcW w:type="dxa" w:w="3216"/>
          </w:tcPr>
          <w:p>
            <w:r>
              <w:t>Ministry of Statistics &amp; PI</w:t>
            </w:r>
          </w:p>
        </w:tc>
      </w:tr>
      <w:tr>
        <w:tc>
          <w:tcPr>
            <w:tcW w:type="dxa" w:w="3216"/>
          </w:tcPr>
          <w:p>
            <w:r>
              <w:t>CPI Inflation (Combined)</w:t>
            </w:r>
          </w:p>
        </w:tc>
        <w:tc>
          <w:tcPr>
            <w:tcW w:type="dxa" w:w="3216"/>
          </w:tcPr>
          <w:p>
            <w:r>
              <w:t>4.3%</w:t>
            </w:r>
          </w:p>
        </w:tc>
        <w:tc>
          <w:tcPr>
            <w:tcW w:type="dxa" w:w="3216"/>
          </w:tcPr>
          <w:p>
            <w:r>
              <w:t>RBI Target Corridor (4.0% ± 2%)</w:t>
            </w:r>
          </w:p>
        </w:tc>
      </w:tr>
      <w:tr>
        <w:tc>
          <w:tcPr>
            <w:tcW w:type="dxa" w:w="3216"/>
          </w:tcPr>
          <w:p>
            <w:r>
              <w:t>Foreign Exchange Rate (Mean)</w:t>
            </w:r>
          </w:p>
        </w:tc>
        <w:tc>
          <w:tcPr>
            <w:tcW w:type="dxa" w:w="3216"/>
          </w:tcPr>
          <w:p>
            <w:r>
              <w:t>₹83.95 / USD</w:t>
            </w:r>
          </w:p>
        </w:tc>
        <w:tc>
          <w:tcPr>
            <w:tcW w:type="dxa" w:w="3216"/>
          </w:tcPr>
          <w:p>
            <w:r>
              <w:t>Reserve Bank of India (RBI) Reference</w:t>
            </w:r>
          </w:p>
        </w:tc>
      </w:tr>
    </w:tbl>
    <w:p/>
    <w:p>
      <w:pPr>
        <w:pStyle w:val="Heading1"/>
        <w:spacing w:before="240" w:after="80"/>
      </w:pPr>
      <w:r>
        <w:rPr>
          <w:color w:val="1F4E79"/>
          <w:sz w:val="26"/>
        </w:rPr>
        <w:t>Chapter 2: Indigenous Crude Production &amp; Net Import Dependency</w:t>
      </w:r>
    </w:p>
    <w:p>
      <w:r>
        <w:t>Indigenous crude oil and condensate production during 2026-08 stood at 2.42 MMT. Total refinery crude processing reached 22.5 MMT. Based on net crude import throughput less refined product exports, India's petroleum import dependency was computed at 87.8% (gross import bill: ₹104,100 Crores / $12.4 Billion).</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Producer / Stream</w:t>
            </w:r>
          </w:p>
        </w:tc>
        <w:tc>
          <w:tcPr>
            <w:tcW w:type="dxa" w:w="3216"/>
            <w:shd w:fill="D9E1F2"/>
          </w:tcPr>
          <w:p>
            <w:r>
              <w:rPr>
                <w:b/>
                <w:sz w:val="19"/>
              </w:rPr>
              <w:t>Production Volume (MMT)</w:t>
            </w:r>
          </w:p>
        </w:tc>
        <w:tc>
          <w:tcPr>
            <w:tcW w:type="dxa" w:w="3216"/>
            <w:shd w:fill="D9E1F2"/>
          </w:tcPr>
          <w:p>
            <w:r>
              <w:rPr>
                <w:b/>
                <w:sz w:val="19"/>
              </w:rPr>
              <w:t>% Contribution</w:t>
            </w:r>
          </w:p>
        </w:tc>
      </w:tr>
      <w:tr>
        <w:tc>
          <w:tcPr>
            <w:tcW w:type="dxa" w:w="3216"/>
          </w:tcPr>
          <w:p>
            <w:r>
              <w:t>ONGC (Nomination Offshore &amp; Onshore)</w:t>
            </w:r>
          </w:p>
        </w:tc>
        <w:tc>
          <w:tcPr>
            <w:tcW w:type="dxa" w:w="3216"/>
          </w:tcPr>
          <w:p>
            <w:r>
              <w:t>1.62 MMT</w:t>
            </w:r>
          </w:p>
        </w:tc>
        <w:tc>
          <w:tcPr>
            <w:tcW w:type="dxa" w:w="3216"/>
          </w:tcPr>
          <w:p>
            <w:r>
              <w:t>66.9%</w:t>
            </w:r>
          </w:p>
        </w:tc>
      </w:tr>
      <w:tr>
        <w:tc>
          <w:tcPr>
            <w:tcW w:type="dxa" w:w="3216"/>
          </w:tcPr>
          <w:p>
            <w:r>
              <w:t>Oil India Limited (OIL)</w:t>
            </w:r>
          </w:p>
        </w:tc>
        <w:tc>
          <w:tcPr>
            <w:tcW w:type="dxa" w:w="3216"/>
          </w:tcPr>
          <w:p>
            <w:r>
              <w:t>0.28 MMT</w:t>
            </w:r>
          </w:p>
        </w:tc>
        <w:tc>
          <w:tcPr>
            <w:tcW w:type="dxa" w:w="3216"/>
          </w:tcPr>
          <w:p>
            <w:r>
              <w:t>11.6%</w:t>
            </w:r>
          </w:p>
        </w:tc>
      </w:tr>
      <w:tr>
        <w:tc>
          <w:tcPr>
            <w:tcW w:type="dxa" w:w="3216"/>
          </w:tcPr>
          <w:p>
            <w:r>
              <w:t>PSC Fields &amp; Private / JV Operators</w:t>
            </w:r>
          </w:p>
        </w:tc>
        <w:tc>
          <w:tcPr>
            <w:tcW w:type="dxa" w:w="3216"/>
          </w:tcPr>
          <w:p>
            <w:r>
              <w:t>0.52 MMT</w:t>
            </w:r>
          </w:p>
        </w:tc>
        <w:tc>
          <w:tcPr>
            <w:tcW w:type="dxa" w:w="3216"/>
          </w:tcPr>
          <w:p>
            <w:r>
              <w:t>21.5%</w:t>
            </w:r>
          </w:p>
        </w:tc>
      </w:tr>
      <w:tr>
        <w:tc>
          <w:tcPr>
            <w:tcW w:type="dxa" w:w="3216"/>
          </w:tcPr>
          <w:p>
            <w:r>
              <w:t>Total Indigenous Production</w:t>
            </w:r>
          </w:p>
        </w:tc>
        <w:tc>
          <w:tcPr>
            <w:tcW w:type="dxa" w:w="3216"/>
          </w:tcPr>
          <w:p>
            <w:r>
              <w:t>2.42 MMT</w:t>
            </w:r>
          </w:p>
        </w:tc>
        <w:tc>
          <w:tcPr>
            <w:tcW w:type="dxa" w:w="3216"/>
          </w:tcPr>
          <w:p>
            <w:r>
              <w:t>100.0%</w:t>
            </w:r>
          </w:p>
        </w:tc>
      </w:tr>
    </w:tbl>
    <w:p>
      <w:r>
        <w:br w:type="page"/>
      </w:r>
    </w:p>
    <w:p>
      <w:pPr>
        <w:pStyle w:val="Heading1"/>
        <w:spacing w:before="240" w:after="80"/>
      </w:pPr>
      <w:r>
        <w:rPr>
          <w:color w:val="1F4E79"/>
          <w:sz w:val="26"/>
        </w:rPr>
        <w:t>Chapter 3: Refinery Crude Intake &amp; Capacity Utilization</w:t>
      </w:r>
    </w:p>
    <w:p>
      <w:r>
        <w:t>Indian domestic refineries operated at an average capacity utilization of 103.2% during 2026-08, processing a aggregate 22.5 MMT of crude oil across public sector units (IOCL, BPCL, HPCL, CPCL, MRPL, NRL) and private/joint venture facilities (Reliance Industries Jamnagar DTA/SEZ, Nayara Energy Vadinar, and HMEL Bathinda).</w:t>
      </w:r>
    </w:p>
    <w:p>
      <w:pPr>
        <w:pStyle w:val="Heading1"/>
        <w:spacing w:before="240" w:after="80"/>
      </w:pPr>
      <w:r>
        <w:rPr>
          <w:color w:val="1F4E79"/>
          <w:sz w:val="26"/>
        </w:rPr>
        <w:t>Chapter 4: Domestic Petroleum Product Sales &amp; OMC Breakdown</w:t>
      </w:r>
    </w:p>
    <w:p>
      <w:r>
        <w:t>Consumption of petroleum products was led by High-Speed Diesel (HSD) and Motor Spirit (Petrol), which together account for over 52% of national product demand. Below is the multi-OMC operational distribution: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D9E1F2"/>
          </w:tcPr>
          <w:p>
            <w:r>
              <w:rPr>
                <w:b/>
                <w:sz w:val="19"/>
              </w:rPr>
              <w:t>Entity / Submitter</w:t>
            </w:r>
          </w:p>
        </w:tc>
        <w:tc>
          <w:tcPr>
            <w:tcW w:type="dxa" w:w="2412"/>
            <w:shd w:fill="D9E1F2"/>
          </w:tcPr>
          <w:p>
            <w:r>
              <w:rPr>
                <w:b/>
                <w:sz w:val="19"/>
              </w:rPr>
              <w:t>Product Category</w:t>
            </w:r>
          </w:p>
        </w:tc>
        <w:tc>
          <w:tcPr>
            <w:tcW w:type="dxa" w:w="2412"/>
            <w:shd w:fill="D9E1F2"/>
          </w:tcPr>
          <w:p>
            <w:r>
              <w:rPr>
                <w:b/>
                <w:sz w:val="19"/>
              </w:rPr>
              <w:t>Consumer Sector</w:t>
            </w:r>
          </w:p>
        </w:tc>
        <w:tc>
          <w:tcPr>
            <w:tcW w:type="dxa" w:w="2412"/>
            <w:shd w:fill="D9E1F2"/>
          </w:tcPr>
          <w:p>
            <w:r>
              <w:rPr>
                <w:b/>
                <w:sz w:val="19"/>
              </w:rPr>
              <w:t>Volume (TMT)</w:t>
            </w:r>
          </w:p>
        </w:tc>
      </w:tr>
      <w:tr>
        <w:tc>
          <w:tcPr>
            <w:tcW w:type="dxa" w:w="2412"/>
          </w:tcPr>
          <w:p>
            <w:r>
              <w:t>IOCL</w:t>
            </w:r>
          </w:p>
        </w:tc>
        <w:tc>
          <w:tcPr>
            <w:tcW w:type="dxa" w:w="2412"/>
          </w:tcPr>
          <w:p>
            <w:r>
              <w:t>MS</w:t>
            </w:r>
          </w:p>
        </w:tc>
        <w:tc>
          <w:tcPr>
            <w:tcW w:type="dxa" w:w="2412"/>
          </w:tcPr>
          <w:p>
            <w:r>
              <w:t>Retail</w:t>
            </w:r>
          </w:p>
        </w:tc>
        <w:tc>
          <w:tcPr>
            <w:tcW w:type="dxa" w:w="2412"/>
          </w:tcPr>
          <w:p>
            <w:r>
              <w:t>1,250.0</w:t>
            </w:r>
          </w:p>
        </w:tc>
      </w:tr>
      <w:tr>
        <w:tc>
          <w:tcPr>
            <w:tcW w:type="dxa" w:w="2412"/>
          </w:tcPr>
          <w:p>
            <w:r>
              <w:t>BPCL</w:t>
            </w:r>
          </w:p>
        </w:tc>
        <w:tc>
          <w:tcPr>
            <w:tcW w:type="dxa" w:w="2412"/>
          </w:tcPr>
          <w:p>
            <w:r>
              <w:t>MS</w:t>
            </w:r>
          </w:p>
        </w:tc>
        <w:tc>
          <w:tcPr>
            <w:tcW w:type="dxa" w:w="2412"/>
          </w:tcPr>
          <w:p>
            <w:r>
              <w:t>Retail</w:t>
            </w:r>
          </w:p>
        </w:tc>
        <w:tc>
          <w:tcPr>
            <w:tcW w:type="dxa" w:w="2412"/>
          </w:tcPr>
          <w:p>
            <w:r>
              <w:t>820.0</w:t>
            </w:r>
          </w:p>
        </w:tc>
      </w:tr>
      <w:tr>
        <w:tc>
          <w:tcPr>
            <w:tcW w:type="dxa" w:w="2412"/>
          </w:tcPr>
          <w:p>
            <w:r>
              <w:t>HPCL</w:t>
            </w:r>
          </w:p>
        </w:tc>
        <w:tc>
          <w:tcPr>
            <w:tcW w:type="dxa" w:w="2412"/>
          </w:tcPr>
          <w:p>
            <w:r>
              <w:t>MS</w:t>
            </w:r>
          </w:p>
        </w:tc>
        <w:tc>
          <w:tcPr>
            <w:tcW w:type="dxa" w:w="2412"/>
          </w:tcPr>
          <w:p>
            <w:r>
              <w:t>Retail</w:t>
            </w:r>
          </w:p>
        </w:tc>
        <w:tc>
          <w:tcPr>
            <w:tcW w:type="dxa" w:w="2412"/>
          </w:tcPr>
          <w:p>
            <w:r>
              <w:t>780.0</w:t>
            </w:r>
          </w:p>
        </w:tc>
      </w:tr>
      <w:tr>
        <w:tc>
          <w:tcPr>
            <w:tcW w:type="dxa" w:w="2412"/>
          </w:tcPr>
          <w:p>
            <w:r>
              <w:t>RIL</w:t>
            </w:r>
          </w:p>
        </w:tc>
        <w:tc>
          <w:tcPr>
            <w:tcW w:type="dxa" w:w="2412"/>
          </w:tcPr>
          <w:p>
            <w:r>
              <w:t>MS</w:t>
            </w:r>
          </w:p>
        </w:tc>
        <w:tc>
          <w:tcPr>
            <w:tcW w:type="dxa" w:w="2412"/>
          </w:tcPr>
          <w:p>
            <w:r>
              <w:t>Retail</w:t>
            </w:r>
          </w:p>
        </w:tc>
        <w:tc>
          <w:tcPr>
            <w:tcW w:type="dxa" w:w="2412"/>
          </w:tcPr>
          <w:p>
            <w:r>
              <w:t>220.0</w:t>
            </w:r>
          </w:p>
        </w:tc>
      </w:tr>
      <w:tr>
        <w:tc>
          <w:tcPr>
            <w:tcW w:type="dxa" w:w="2412"/>
          </w:tcPr>
          <w:p>
            <w:r>
              <w:t>Nayara</w:t>
            </w:r>
          </w:p>
        </w:tc>
        <w:tc>
          <w:tcPr>
            <w:tcW w:type="dxa" w:w="2412"/>
          </w:tcPr>
          <w:p>
            <w:r>
              <w:t>MS</w:t>
            </w:r>
          </w:p>
        </w:tc>
        <w:tc>
          <w:tcPr>
            <w:tcW w:type="dxa" w:w="2412"/>
          </w:tcPr>
          <w:p>
            <w:r>
              <w:t>Retail</w:t>
            </w:r>
          </w:p>
        </w:tc>
        <w:tc>
          <w:tcPr>
            <w:tcW w:type="dxa" w:w="2412"/>
          </w:tcPr>
          <w:p>
            <w:r>
              <w:t>180.0</w:t>
            </w:r>
          </w:p>
        </w:tc>
      </w:tr>
      <w:tr>
        <w:tc>
          <w:tcPr>
            <w:tcW w:type="dxa" w:w="2412"/>
          </w:tcPr>
          <w:p>
            <w:r>
              <w:t>IOCL</w:t>
            </w:r>
          </w:p>
        </w:tc>
        <w:tc>
          <w:tcPr>
            <w:tcW w:type="dxa" w:w="2412"/>
          </w:tcPr>
          <w:p>
            <w:r>
              <w:t>HSD</w:t>
            </w:r>
          </w:p>
        </w:tc>
        <w:tc>
          <w:tcPr>
            <w:tcW w:type="dxa" w:w="2412"/>
          </w:tcPr>
          <w:p>
            <w:r>
              <w:t>Retail</w:t>
            </w:r>
          </w:p>
        </w:tc>
        <w:tc>
          <w:tcPr>
            <w:tcW w:type="dxa" w:w="2412"/>
          </w:tcPr>
          <w:p>
            <w:r>
              <w:t>3,450.0</w:t>
            </w:r>
          </w:p>
        </w:tc>
      </w:tr>
      <w:tr>
        <w:tc>
          <w:tcPr>
            <w:tcW w:type="dxa" w:w="2412"/>
          </w:tcPr>
          <w:p>
            <w:r>
              <w:t>BPCL</w:t>
            </w:r>
          </w:p>
        </w:tc>
        <w:tc>
          <w:tcPr>
            <w:tcW w:type="dxa" w:w="2412"/>
          </w:tcPr>
          <w:p>
            <w:r>
              <w:t>HSD</w:t>
            </w:r>
          </w:p>
        </w:tc>
        <w:tc>
          <w:tcPr>
            <w:tcW w:type="dxa" w:w="2412"/>
          </w:tcPr>
          <w:p>
            <w:r>
              <w:t>Retail</w:t>
            </w:r>
          </w:p>
        </w:tc>
        <w:tc>
          <w:tcPr>
            <w:tcW w:type="dxa" w:w="2412"/>
          </w:tcPr>
          <w:p>
            <w:r>
              <w:t>2,010.0</w:t>
            </w:r>
          </w:p>
        </w:tc>
      </w:tr>
      <w:tr>
        <w:tc>
          <w:tcPr>
            <w:tcW w:type="dxa" w:w="2412"/>
          </w:tcPr>
          <w:p>
            <w:r>
              <w:t>HPCL</w:t>
            </w:r>
          </w:p>
        </w:tc>
        <w:tc>
          <w:tcPr>
            <w:tcW w:type="dxa" w:w="2412"/>
          </w:tcPr>
          <w:p>
            <w:r>
              <w:t>HSD</w:t>
            </w:r>
          </w:p>
        </w:tc>
        <w:tc>
          <w:tcPr>
            <w:tcW w:type="dxa" w:w="2412"/>
          </w:tcPr>
          <w:p>
            <w:r>
              <w:t>Retail</w:t>
            </w:r>
          </w:p>
        </w:tc>
        <w:tc>
          <w:tcPr>
            <w:tcW w:type="dxa" w:w="2412"/>
          </w:tcPr>
          <w:p>
            <w:r>
              <w:t>1,920.0</w:t>
            </w:r>
          </w:p>
        </w:tc>
      </w:tr>
      <w:tr>
        <w:tc>
          <w:tcPr>
            <w:tcW w:type="dxa" w:w="2412"/>
          </w:tcPr>
          <w:p>
            <w:r>
              <w:t>RIL</w:t>
            </w:r>
          </w:p>
        </w:tc>
        <w:tc>
          <w:tcPr>
            <w:tcW w:type="dxa" w:w="2412"/>
          </w:tcPr>
          <w:p>
            <w:r>
              <w:t>HSD</w:t>
            </w:r>
          </w:p>
        </w:tc>
        <w:tc>
          <w:tcPr>
            <w:tcW w:type="dxa" w:w="2412"/>
          </w:tcPr>
          <w:p>
            <w:r>
              <w:t>Retail</w:t>
            </w:r>
          </w:p>
        </w:tc>
        <w:tc>
          <w:tcPr>
            <w:tcW w:type="dxa" w:w="2412"/>
          </w:tcPr>
          <w:p>
            <w:r>
              <w:t>480.0</w:t>
            </w:r>
          </w:p>
        </w:tc>
      </w:tr>
      <w:tr>
        <w:tc>
          <w:tcPr>
            <w:tcW w:type="dxa" w:w="2412"/>
          </w:tcPr>
          <w:p>
            <w:r>
              <w:t>Nayara</w:t>
            </w:r>
          </w:p>
        </w:tc>
        <w:tc>
          <w:tcPr>
            <w:tcW w:type="dxa" w:w="2412"/>
          </w:tcPr>
          <w:p>
            <w:r>
              <w:t>HSD</w:t>
            </w:r>
          </w:p>
        </w:tc>
        <w:tc>
          <w:tcPr>
            <w:tcW w:type="dxa" w:w="2412"/>
          </w:tcPr>
          <w:p>
            <w:r>
              <w:t>Retail</w:t>
            </w:r>
          </w:p>
        </w:tc>
        <w:tc>
          <w:tcPr>
            <w:tcW w:type="dxa" w:w="2412"/>
          </w:tcPr>
          <w:p>
            <w:r>
              <w:t>360.0</w:t>
            </w:r>
          </w:p>
        </w:tc>
      </w:tr>
      <w:tr>
        <w:tc>
          <w:tcPr>
            <w:tcW w:type="dxa" w:w="2412"/>
          </w:tcPr>
          <w:p>
            <w:r>
              <w:t>IOCL</w:t>
            </w:r>
          </w:p>
        </w:tc>
        <w:tc>
          <w:tcPr>
            <w:tcW w:type="dxa" w:w="2412"/>
          </w:tcPr>
          <w:p>
            <w:r>
              <w:t>LPG</w:t>
            </w:r>
          </w:p>
        </w:tc>
        <w:tc>
          <w:tcPr>
            <w:tcW w:type="dxa" w:w="2412"/>
          </w:tcPr>
          <w:p>
            <w:r>
              <w:t>Total</w:t>
            </w:r>
          </w:p>
        </w:tc>
        <w:tc>
          <w:tcPr>
            <w:tcW w:type="dxa" w:w="2412"/>
          </w:tcPr>
          <w:p>
            <w:r>
              <w:t>1,200.0</w:t>
            </w:r>
          </w:p>
        </w:tc>
      </w:tr>
      <w:tr>
        <w:tc>
          <w:tcPr>
            <w:tcW w:type="dxa" w:w="2412"/>
          </w:tcPr>
          <w:p>
            <w:r>
              <w:t>BPCL</w:t>
            </w:r>
          </w:p>
        </w:tc>
        <w:tc>
          <w:tcPr>
            <w:tcW w:type="dxa" w:w="2412"/>
          </w:tcPr>
          <w:p>
            <w:r>
              <w:t>LPG</w:t>
            </w:r>
          </w:p>
        </w:tc>
        <w:tc>
          <w:tcPr>
            <w:tcW w:type="dxa" w:w="2412"/>
          </w:tcPr>
          <w:p>
            <w:r>
              <w:t>Rural</w:t>
            </w:r>
          </w:p>
        </w:tc>
        <w:tc>
          <w:tcPr>
            <w:tcW w:type="dxa" w:w="2412"/>
          </w:tcPr>
          <w:p>
            <w:r>
              <w:t>315.0</w:t>
            </w:r>
          </w:p>
        </w:tc>
      </w:tr>
      <w:tr>
        <w:tc>
          <w:tcPr>
            <w:tcW w:type="dxa" w:w="2412"/>
          </w:tcPr>
          <w:p>
            <w:r>
              <w:t>HPCL</w:t>
            </w:r>
          </w:p>
        </w:tc>
        <w:tc>
          <w:tcPr>
            <w:tcW w:type="dxa" w:w="2412"/>
          </w:tcPr>
          <w:p>
            <w:r>
              <w:t>LPG</w:t>
            </w:r>
          </w:p>
        </w:tc>
        <w:tc>
          <w:tcPr>
            <w:tcW w:type="dxa" w:w="2412"/>
          </w:tcPr>
          <w:p>
            <w:r>
              <w:t>Total</w:t>
            </w:r>
          </w:p>
        </w:tc>
        <w:tc>
          <w:tcPr>
            <w:tcW w:type="dxa" w:w="2412"/>
          </w:tcPr>
          <w:p>
            <w:r>
              <w:t>720.0</w:t>
            </w:r>
          </w:p>
        </w:tc>
      </w:tr>
      <w:tr>
        <w:tc>
          <w:tcPr>
            <w:tcW w:type="dxa" w:w="2412"/>
          </w:tcPr>
          <w:p>
            <w:r>
              <w:t>IOCL</w:t>
            </w:r>
          </w:p>
        </w:tc>
        <w:tc>
          <w:tcPr>
            <w:tcW w:type="dxa" w:w="2412"/>
          </w:tcPr>
          <w:p>
            <w:r>
              <w:t>ATF</w:t>
            </w:r>
          </w:p>
        </w:tc>
        <w:tc>
          <w:tcPr>
            <w:tcW w:type="dxa" w:w="2412"/>
          </w:tcPr>
          <w:p>
            <w:r>
              <w:t>Aviation</w:t>
            </w:r>
          </w:p>
        </w:tc>
        <w:tc>
          <w:tcPr>
            <w:tcW w:type="dxa" w:w="2412"/>
          </w:tcPr>
          <w:p>
            <w:r>
              <w:t>350.0</w:t>
            </w:r>
          </w:p>
        </w:tc>
      </w:tr>
      <w:tr>
        <w:tc>
          <w:tcPr>
            <w:tcW w:type="dxa" w:w="2412"/>
          </w:tcPr>
          <w:p>
            <w:r>
              <w:t>BPCL</w:t>
            </w:r>
          </w:p>
        </w:tc>
        <w:tc>
          <w:tcPr>
            <w:tcW w:type="dxa" w:w="2412"/>
          </w:tcPr>
          <w:p>
            <w:r>
              <w:t>ATF</w:t>
            </w:r>
          </w:p>
        </w:tc>
        <w:tc>
          <w:tcPr>
            <w:tcW w:type="dxa" w:w="2412"/>
          </w:tcPr>
          <w:p>
            <w:r>
              <w:t>Aviation</w:t>
            </w:r>
          </w:p>
        </w:tc>
        <w:tc>
          <w:tcPr>
            <w:tcW w:type="dxa" w:w="2412"/>
          </w:tcPr>
          <w:p>
            <w:r>
              <w:t>210.0</w:t>
            </w:r>
          </w:p>
        </w:tc>
      </w:tr>
      <w:tr>
        <w:tc>
          <w:tcPr>
            <w:tcW w:type="dxa" w:w="2412"/>
          </w:tcPr>
          <w:p>
            <w:r>
              <w:t>HPCL</w:t>
            </w:r>
          </w:p>
        </w:tc>
        <w:tc>
          <w:tcPr>
            <w:tcW w:type="dxa" w:w="2412"/>
          </w:tcPr>
          <w:p>
            <w:r>
              <w:t>ATF</w:t>
            </w:r>
          </w:p>
        </w:tc>
        <w:tc>
          <w:tcPr>
            <w:tcW w:type="dxa" w:w="2412"/>
          </w:tcPr>
          <w:p>
            <w:r>
              <w:t>Aviation</w:t>
            </w:r>
          </w:p>
        </w:tc>
        <w:tc>
          <w:tcPr>
            <w:tcW w:type="dxa" w:w="2412"/>
          </w:tcPr>
          <w:p>
            <w:r>
              <w:t>170.0</w:t>
            </w:r>
          </w:p>
        </w:tc>
      </w:tr>
      <w:tr>
        <w:tc>
          <w:tcPr>
            <w:tcW w:type="dxa" w:w="2412"/>
          </w:tcPr>
          <w:p>
            <w:r>
              <w:t>Fertilizers</w:t>
            </w:r>
          </w:p>
        </w:tc>
        <w:tc>
          <w:tcPr>
            <w:tcW w:type="dxa" w:w="2412"/>
          </w:tcPr>
          <w:p>
            <w:r>
              <w:t>NAPHTHA</w:t>
            </w:r>
          </w:p>
        </w:tc>
        <w:tc>
          <w:tcPr>
            <w:tcW w:type="dxa" w:w="2412"/>
          </w:tcPr>
          <w:p>
            <w:r>
              <w:t>Industrial</w:t>
            </w:r>
          </w:p>
        </w:tc>
        <w:tc>
          <w:tcPr>
            <w:tcW w:type="dxa" w:w="2412"/>
          </w:tcPr>
          <w:p>
            <w:r>
              <w:t>480.0</w:t>
            </w:r>
          </w:p>
        </w:tc>
      </w:tr>
      <w:tr>
        <w:tc>
          <w:tcPr>
            <w:tcW w:type="dxa" w:w="2412"/>
          </w:tcPr>
          <w:p>
            <w:r>
              <w:t>Petrochemicals</w:t>
            </w:r>
          </w:p>
        </w:tc>
        <w:tc>
          <w:tcPr>
            <w:tcW w:type="dxa" w:w="2412"/>
          </w:tcPr>
          <w:p>
            <w:r>
              <w:t>NAPHTHA</w:t>
            </w:r>
          </w:p>
        </w:tc>
        <w:tc>
          <w:tcPr>
            <w:tcW w:type="dxa" w:w="2412"/>
          </w:tcPr>
          <w:p>
            <w:r>
              <w:t>Industrial</w:t>
            </w:r>
          </w:p>
        </w:tc>
        <w:tc>
          <w:tcPr>
            <w:tcW w:type="dxa" w:w="2412"/>
          </w:tcPr>
          <w:p>
            <w:r>
              <w:t>620.0</w:t>
            </w:r>
          </w:p>
        </w:tc>
      </w:tr>
      <w:tr>
        <w:tc>
          <w:tcPr>
            <w:tcW w:type="dxa" w:w="2412"/>
          </w:tcPr>
          <w:p>
            <w:r>
              <w:t>NHAI &amp; State PWDs</w:t>
            </w:r>
          </w:p>
        </w:tc>
        <w:tc>
          <w:tcPr>
            <w:tcW w:type="dxa" w:w="2412"/>
          </w:tcPr>
          <w:p>
            <w:r>
              <w:t>BITUMEN</w:t>
            </w:r>
          </w:p>
        </w:tc>
        <w:tc>
          <w:tcPr>
            <w:tcW w:type="dxa" w:w="2412"/>
          </w:tcPr>
          <w:p>
            <w:r>
              <w:t>Infrastructure</w:t>
            </w:r>
          </w:p>
        </w:tc>
        <w:tc>
          <w:tcPr>
            <w:tcW w:type="dxa" w:w="2412"/>
          </w:tcPr>
          <w:p>
            <w:r>
              <w:t>540.0</w:t>
            </w:r>
          </w:p>
        </w:tc>
      </w:tr>
    </w:tbl>
    <w:p/>
    <w:p>
      <w:pPr>
        <w:pStyle w:val="Heading1"/>
        <w:spacing w:before="240" w:after="80"/>
      </w:pPr>
      <w:r>
        <w:rPr>
          <w:color w:val="1F4E79"/>
          <w:sz w:val="26"/>
        </w:rPr>
        <w:t>Chapter 5: Indian Crude Basket (ICB) &amp; International Prices</w:t>
      </w:r>
    </w:p>
    <w:p>
      <w:r>
        <w:t>The composite Indian Crude Basket averaged $79.38/bbl (₹6,663.95/bbl) in 2026-08. The basket incorporates a weighted blend of Oman-Dubai Sour (75.6%) and Dated Brent Sweet (24.4%) reflecting actual refinery crude slate procurement.</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Price Benchmark</w:t>
            </w:r>
          </w:p>
        </w:tc>
        <w:tc>
          <w:tcPr>
            <w:tcW w:type="dxa" w:w="3216"/>
            <w:shd w:fill="D9E1F2"/>
          </w:tcPr>
          <w:p>
            <w:r>
              <w:rPr>
                <w:b/>
                <w:sz w:val="19"/>
              </w:rPr>
              <w:t>Monthly Average</w:t>
            </w:r>
          </w:p>
        </w:tc>
        <w:tc>
          <w:tcPr>
            <w:tcW w:type="dxa" w:w="3216"/>
            <w:shd w:fill="D9E1F2"/>
          </w:tcPr>
          <w:p>
            <w:r>
              <w:rPr>
                <w:b/>
                <w:sz w:val="19"/>
              </w:rPr>
              <w:t>Statutory Rule / Weights</w:t>
            </w:r>
          </w:p>
        </w:tc>
      </w:tr>
      <w:tr>
        <w:tc>
          <w:tcPr>
            <w:tcW w:type="dxa" w:w="3216"/>
          </w:tcPr>
          <w:p>
            <w:r>
              <w:t>Dated Brent (Sweet Benchmark)</w:t>
            </w:r>
          </w:p>
        </w:tc>
        <w:tc>
          <w:tcPr>
            <w:tcW w:type="dxa" w:w="3216"/>
          </w:tcPr>
          <w:p>
            <w:r>
              <w:t>$82.10 / bbl</w:t>
            </w:r>
          </w:p>
        </w:tc>
        <w:tc>
          <w:tcPr>
            <w:tcW w:type="dxa" w:w="3216"/>
          </w:tcPr>
          <w:p>
            <w:r>
              <w:t>Weight: 24.4%</w:t>
            </w:r>
          </w:p>
        </w:tc>
      </w:tr>
      <w:tr>
        <w:tc>
          <w:tcPr>
            <w:tcW w:type="dxa" w:w="3216"/>
          </w:tcPr>
          <w:p>
            <w:r>
              <w:t>Oman-Dubai Average (Sour Benchmark)</w:t>
            </w:r>
          </w:p>
        </w:tc>
        <w:tc>
          <w:tcPr>
            <w:tcW w:type="dxa" w:w="3216"/>
          </w:tcPr>
          <w:p>
            <w:r>
              <w:t>$78.50 / bbl</w:t>
            </w:r>
          </w:p>
        </w:tc>
        <w:tc>
          <w:tcPr>
            <w:tcW w:type="dxa" w:w="3216"/>
          </w:tcPr>
          <w:p>
            <w:r>
              <w:t>Weight: 75.6%</w:t>
            </w:r>
          </w:p>
        </w:tc>
      </w:tr>
      <w:tr>
        <w:tc>
          <w:tcPr>
            <w:tcW w:type="dxa" w:w="3216"/>
          </w:tcPr>
          <w:p>
            <w:r>
              <w:t>Indian Crude Basket (ICB)</w:t>
            </w:r>
          </w:p>
        </w:tc>
        <w:tc>
          <w:tcPr>
            <w:tcW w:type="dxa" w:w="3216"/>
          </w:tcPr>
          <w:p>
            <w:r>
              <w:t>$79.38 / bbl</w:t>
            </w:r>
          </w:p>
        </w:tc>
        <w:tc>
          <w:tcPr>
            <w:tcW w:type="dxa" w:w="3216"/>
          </w:tcPr>
          <w:p>
            <w:r>
              <w:t>₹6,663.95 / bbl</w:t>
            </w:r>
          </w:p>
        </w:tc>
      </w:tr>
      <w:tr>
        <w:tc>
          <w:tcPr>
            <w:tcW w:type="dxa" w:w="3216"/>
          </w:tcPr>
          <w:p>
            <w:r>
              <w:t>Natural Gas APM Price</w:t>
            </w:r>
          </w:p>
        </w:tc>
        <w:tc>
          <w:tcPr>
            <w:tcW w:type="dxa" w:w="3216"/>
          </w:tcPr>
          <w:p>
            <w:r>
              <w:t>$6.50 / MMBTU</w:t>
            </w:r>
          </w:p>
        </w:tc>
        <w:tc>
          <w:tcPr>
            <w:tcW w:type="dxa" w:w="3216"/>
          </w:tcPr>
          <w:p>
            <w:r>
              <w:t>Kirit Parikh Formula (Floor $4.00, Cap $6.50)</w:t>
            </w:r>
          </w:p>
        </w:tc>
      </w:tr>
    </w:tbl>
    <w:p>
      <w:r>
        <w:br w:type="page"/>
      </w:r>
    </w:p>
    <w:p>
      <w:pPr>
        <w:pStyle w:val="Heading1"/>
        <w:spacing w:before="240" w:after="80"/>
      </w:pPr>
      <w:r>
        <w:rPr>
          <w:color w:val="1F4E79"/>
          <w:sz w:val="26"/>
        </w:rPr>
        <w:t>Chapter 6: Natural Gas Administered Pricing &amp; HPHT Deepwater Ceiling</w:t>
      </w:r>
    </w:p>
    <w:p>
      <w:r>
        <w:t>Under the Revised Domestic Natural Gas Pricing Guidelines (April 2023), domestic APM gas price is established monthly at 10% of the Indian Crude Basket price of the previous month. For 2026-08, raw indexation evaluated to $8.20/MMBTU, which was statutory constrained to the ceiling of $6.50/MMBTU.</w:t>
        <w:br/>
        <w:br/>
        <w:t>For difficult fields (Deepwater, Ultra-Deepwater, High-Pressure High-Temperature / HPHT), the bi-annual ceiling price administered by PPAC stood at $9.87/MMBTU.</w:t>
      </w:r>
    </w:p>
    <w:p>
      <w:pPr>
        <w:pStyle w:val="Heading1"/>
        <w:spacing w:before="240" w:after="80"/>
      </w:pPr>
      <w:r>
        <w:rPr>
          <w:color w:val="1F4E79"/>
          <w:sz w:val="26"/>
        </w:rPr>
        <w:t>Chapter 7: Retail Selling Price (RSP) Build-up in Delhi Metro</w:t>
      </w:r>
    </w:p>
    <w:p>
      <w:r>
        <w:t>Retail prices of Petrol and Diesel at Indian Oil Corporation (IOCL) retail outlets in National Capital Territory (NCT) of Delhi reflect base product cost, central excise duty, dealer commission, and state value-added tax (VAT):</w:t>
      </w:r>
    </w:p>
    <w:tbl>
      <w:tblPr>
        <w:tblW w:type="auto" w:w="0"/>
        <w:jc w:val="center"/>
        <w:tblLook w:firstColumn="1" w:firstRow="1" w:lastColumn="0" w:lastRow="0" w:noHBand="0" w:noVBand="1" w:val="04A0"/>
      </w:tblPr>
      <w:tblGrid>
        <w:gridCol w:w="3216"/>
        <w:gridCol w:w="3216"/>
        <w:gridCol w:w="3216"/>
      </w:tblGrid>
      <w:tr>
        <w:tc>
          <w:tcPr>
            <w:tcW w:type="dxa" w:w="3216"/>
            <w:shd w:fill="D9E1F2"/>
          </w:tcPr>
          <w:p>
            <w:r>
              <w:rPr>
                <w:b/>
                <w:sz w:val="19"/>
              </w:rPr>
              <w:t>Cost Component</w:t>
            </w:r>
          </w:p>
        </w:tc>
        <w:tc>
          <w:tcPr>
            <w:tcW w:type="dxa" w:w="3216"/>
            <w:shd w:fill="D9E1F2"/>
          </w:tcPr>
          <w:p>
            <w:r>
              <w:rPr>
                <w:b/>
                <w:sz w:val="19"/>
              </w:rPr>
              <w:t>Petrol (₹ / Litre)</w:t>
            </w:r>
          </w:p>
        </w:tc>
        <w:tc>
          <w:tcPr>
            <w:tcW w:type="dxa" w:w="3216"/>
            <w:shd w:fill="D9E1F2"/>
          </w:tcPr>
          <w:p>
            <w:r>
              <w:rPr>
                <w:b/>
                <w:sz w:val="19"/>
              </w:rPr>
              <w:t>Diesel (₹ / Litre)</w:t>
            </w:r>
          </w:p>
        </w:tc>
      </w:tr>
      <w:tr>
        <w:tc>
          <w:tcPr>
            <w:tcW w:type="dxa" w:w="3216"/>
          </w:tcPr>
          <w:p>
            <w:r>
              <w:t>Price Charged to Dealers (Base + Freight)</w:t>
            </w:r>
          </w:p>
        </w:tc>
        <w:tc>
          <w:tcPr>
            <w:tcW w:type="dxa" w:w="3216"/>
          </w:tcPr>
          <w:p>
            <w:r>
              <w:t>₹ 55.60</w:t>
            </w:r>
          </w:p>
        </w:tc>
        <w:tc>
          <w:tcPr>
            <w:tcW w:type="dxa" w:w="3216"/>
          </w:tcPr>
          <w:p>
            <w:r>
              <w:t>₹ 56.42</w:t>
            </w:r>
          </w:p>
        </w:tc>
      </w:tr>
      <w:tr>
        <w:tc>
          <w:tcPr>
            <w:tcW w:type="dxa" w:w="3216"/>
          </w:tcPr>
          <w:p>
            <w:r>
              <w:t>Central Excise Duty (Government of India)</w:t>
            </w:r>
          </w:p>
        </w:tc>
        <w:tc>
          <w:tcPr>
            <w:tcW w:type="dxa" w:w="3216"/>
          </w:tcPr>
          <w:p>
            <w:r>
              <w:t>₹ 19.90</w:t>
            </w:r>
          </w:p>
        </w:tc>
        <w:tc>
          <w:tcPr>
            <w:tcW w:type="dxa" w:w="3216"/>
          </w:tcPr>
          <w:p>
            <w:r>
              <w:t>₹ 15.80</w:t>
            </w:r>
          </w:p>
        </w:tc>
      </w:tr>
      <w:tr>
        <w:tc>
          <w:tcPr>
            <w:tcW w:type="dxa" w:w="3216"/>
          </w:tcPr>
          <w:p>
            <w:r>
              <w:t>Dealer Commission (Average)</w:t>
            </w:r>
          </w:p>
        </w:tc>
        <w:tc>
          <w:tcPr>
            <w:tcW w:type="dxa" w:w="3216"/>
          </w:tcPr>
          <w:p>
            <w:r>
              <w:t>₹ 3.80</w:t>
            </w:r>
          </w:p>
        </w:tc>
        <w:tc>
          <w:tcPr>
            <w:tcW w:type="dxa" w:w="3216"/>
          </w:tcPr>
          <w:p>
            <w:r>
              <w:t>₹ 2.60</w:t>
            </w:r>
          </w:p>
        </w:tc>
      </w:tr>
      <w:tr>
        <w:tc>
          <w:tcPr>
            <w:tcW w:type="dxa" w:w="3216"/>
          </w:tcPr>
          <w:p>
            <w:r>
              <w:t>State VAT (Government of NCT Delhi)</w:t>
            </w:r>
          </w:p>
        </w:tc>
        <w:tc>
          <w:tcPr>
            <w:tcW w:type="dxa" w:w="3216"/>
          </w:tcPr>
          <w:p>
            <w:r>
              <w:t>₹ 15.42</w:t>
            </w:r>
          </w:p>
        </w:tc>
        <w:tc>
          <w:tcPr>
            <w:tcW w:type="dxa" w:w="3216"/>
          </w:tcPr>
          <w:p>
            <w:r>
              <w:t>₹ 12.80</w:t>
            </w:r>
          </w:p>
        </w:tc>
      </w:tr>
      <w:tr>
        <w:tc>
          <w:tcPr>
            <w:tcW w:type="dxa" w:w="3216"/>
          </w:tcPr>
          <w:p>
            <w:r>
              <w:t>Total Retail Selling Price (Delhi RSP)</w:t>
            </w:r>
          </w:p>
        </w:tc>
        <w:tc>
          <w:tcPr>
            <w:tcW w:type="dxa" w:w="3216"/>
          </w:tcPr>
          <w:p>
            <w:r>
              <w:t>₹ 94.72</w:t>
            </w:r>
          </w:p>
        </w:tc>
        <w:tc>
          <w:tcPr>
            <w:tcW w:type="dxa" w:w="3216"/>
          </w:tcPr>
          <w:p>
            <w:r>
              <w:t>₹ 87.62</w:t>
            </w:r>
          </w:p>
        </w:tc>
      </w:tr>
      <w:tr>
        <w:tc>
          <w:tcPr>
            <w:tcW w:type="dxa" w:w="3216"/>
          </w:tcPr>
          <w:p>
            <w:r>
              <w:t>Central + State Tax Incidence (% of RSP)</w:t>
            </w:r>
          </w:p>
        </w:tc>
        <w:tc>
          <w:tcPr>
            <w:tcW w:type="dxa" w:w="3216"/>
          </w:tcPr>
          <w:p>
            <w:r>
              <w:t>37.3%</w:t>
            </w:r>
          </w:p>
        </w:tc>
        <w:tc>
          <w:tcPr>
            <w:tcW w:type="dxa" w:w="3216"/>
          </w:tcPr>
          <w:p>
            <w:r>
              <w:t>32.6%</w:t>
            </w:r>
          </w:p>
        </w:tc>
      </w:tr>
    </w:tbl>
    <w:p/>
    <w:p>
      <w:pPr>
        <w:pStyle w:val="Heading1"/>
        <w:spacing w:before="240" w:after="80"/>
      </w:pPr>
      <w:r>
        <w:rPr>
          <w:color w:val="1F4E79"/>
          <w:sz w:val="26"/>
        </w:rPr>
        <w:t>Chapter 8: Econometric 60-Day Fuel Demand Forecast (SARIMAX)</w:t>
      </w:r>
    </w:p>
    <w:p>
      <w:r>
        <w:t>Statistically rigorous econometric time-series models (SARIMAX(1, 1, 0)(1, 1, 0, 12)) were fitted on 104 months of historical monthly consumption records, integrating macroeconomic and meteorological regressors (Index of Industrial Production and IMD Monsoon Departure). Backtested out-of-sample MAPE evaluated to 0.82%, meeting statutory forecasting guidelines.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HSD_Forecast_2026-08.png"/>
                    <pic:cNvPicPr/>
                  </pic:nvPicPr>
                  <pic:blipFill>
                    <a:blip r:embed="rId9"/>
                    <a:stretch>
                      <a:fillRect/>
                    </a:stretch>
                  </pic:blipFill>
                  <pic:spPr>
                    <a:xfrm>
                      <a:off x="0" y="0"/>
                      <a:ext cx="5669280" cy="2834640"/>
                    </a:xfrm>
                    <a:prstGeom prst="rect"/>
                  </pic:spPr>
                </pic:pic>
              </a:graphicData>
            </a:graphic>
          </wp:inline>
        </w:drawing>
      </w:r>
    </w:p>
    <w:p>
      <w:pPr>
        <w:jc w:val="center"/>
      </w:pPr>
      <w:r>
        <w:t>Figure 8.1: National High-Speed Diesel (HSD) Consumption Forecast with 95% Confidence Bounds</w:t>
      </w:r>
    </w:p>
    <w:p/>
    <w:tbl>
      <w:tblPr>
        <w:tblW w:type="auto" w:w="0"/>
        <w:jc w:val="center"/>
        <w:tblLook w:firstColumn="1" w:firstRow="1" w:lastColumn="0" w:lastRow="0" w:noHBand="0" w:noVBand="1" w:val="04A0"/>
      </w:tblPr>
      <w:tblGrid>
        <w:gridCol w:w="2412"/>
        <w:gridCol w:w="2412"/>
        <w:gridCol w:w="2412"/>
        <w:gridCol w:w="2412"/>
      </w:tblGrid>
      <w:tr>
        <w:tc>
          <w:tcPr>
            <w:tcW w:type="dxa" w:w="2412"/>
            <w:shd w:fill="D9E1F2"/>
          </w:tcPr>
          <w:p>
            <w:r>
              <w:rPr>
                <w:b/>
                <w:sz w:val="19"/>
              </w:rPr>
              <w:t>Forecast Period</w:t>
            </w:r>
          </w:p>
        </w:tc>
        <w:tc>
          <w:tcPr>
            <w:tcW w:type="dxa" w:w="2412"/>
            <w:shd w:fill="D9E1F2"/>
          </w:tcPr>
          <w:p>
            <w:r>
              <w:rPr>
                <w:b/>
                <w:sz w:val="19"/>
              </w:rPr>
              <w:t>Projected Demand (TMT)</w:t>
            </w:r>
          </w:p>
        </w:tc>
        <w:tc>
          <w:tcPr>
            <w:tcW w:type="dxa" w:w="2412"/>
            <w:shd w:fill="D9E1F2"/>
          </w:tcPr>
          <w:p>
            <w:r>
              <w:rPr>
                <w:b/>
                <w:sz w:val="19"/>
              </w:rPr>
              <w:t>Lower 95% Bound</w:t>
            </w:r>
          </w:p>
        </w:tc>
        <w:tc>
          <w:tcPr>
            <w:tcW w:type="dxa" w:w="2412"/>
            <w:shd w:fill="D9E1F2"/>
          </w:tcPr>
          <w:p>
            <w:r>
              <w:rPr>
                <w:b/>
                <w:sz w:val="19"/>
              </w:rPr>
              <w:t>Upper 95% Bound</w:t>
            </w:r>
          </w:p>
        </w:tc>
      </w:tr>
      <w:tr>
        <w:tc>
          <w:tcPr>
            <w:tcW w:type="dxa" w:w="2412"/>
          </w:tcPr>
          <w:p>
            <w:r>
              <w:t>2026-09</w:t>
            </w:r>
          </w:p>
        </w:tc>
        <w:tc>
          <w:tcPr>
            <w:tcW w:type="dxa" w:w="2412"/>
          </w:tcPr>
          <w:p>
            <w:r>
              <w:t>7,817.4</w:t>
            </w:r>
          </w:p>
        </w:tc>
        <w:tc>
          <w:tcPr>
            <w:tcW w:type="dxa" w:w="2412"/>
          </w:tcPr>
          <w:p>
            <w:r>
              <w:t>7,585.4</w:t>
            </w:r>
          </w:p>
        </w:tc>
        <w:tc>
          <w:tcPr>
            <w:tcW w:type="dxa" w:w="2412"/>
          </w:tcPr>
          <w:p>
            <w:r>
              <w:t>8,049.3</w:t>
            </w:r>
          </w:p>
        </w:tc>
      </w:tr>
      <w:tr>
        <w:tc>
          <w:tcPr>
            <w:tcW w:type="dxa" w:w="2412"/>
          </w:tcPr>
          <w:p>
            <w:r>
              <w:t>2026-10</w:t>
            </w:r>
          </w:p>
        </w:tc>
        <w:tc>
          <w:tcPr>
            <w:tcW w:type="dxa" w:w="2412"/>
          </w:tcPr>
          <w:p>
            <w:r>
              <w:t>7,736.2</w:t>
            </w:r>
          </w:p>
        </w:tc>
        <w:tc>
          <w:tcPr>
            <w:tcW w:type="dxa" w:w="2412"/>
          </w:tcPr>
          <w:p>
            <w:r>
              <w:t>7,481.7</w:t>
            </w:r>
          </w:p>
        </w:tc>
        <w:tc>
          <w:tcPr>
            <w:tcW w:type="dxa" w:w="2412"/>
          </w:tcPr>
          <w:p>
            <w:r>
              <w:t>7,990.7</w:t>
            </w:r>
          </w:p>
        </w:tc>
      </w:tr>
    </w:tbl>
    <w:p/>
    <w:p>
      <w:pPr>
        <w:pStyle w:val="Heading1"/>
        <w:spacing w:before="240" w:after="80"/>
      </w:pPr>
      <w:r>
        <w:rPr>
          <w:color w:val="1F4E79"/>
          <w:sz w:val="26"/>
        </w:rPr>
        <w:t>Statutory Glossary &amp; Standard Conversion Factors</w:t>
      </w:r>
    </w:p>
    <w:p>
      <w:r>
        <w:t>1. TMT = Thousand Metric Tonnes (1,000 MT); MMT = Million Metric Tonnes (1,000 TMT).</w:t>
        <w:br/>
        <w:t>2. MMSCM = Million Standard Cubic Metres; MMSCMD = Million Standard Cubic Metres per Day.</w:t>
        <w:br/>
        <w:t>3. 1 Metric Tonne of Crude Oil ~ 7.33 Barrels; 1 Barrel = 158.98 Litres.</w:t>
        <w:br/>
        <w:t>4. 1 Million Metric Tonnes (MMT) of LNG ~ 1.379 Billion Cubic Metres (BCM) of Natural Gas.</w:t>
        <w:br/>
        <w:t>5. Indian Crude Basket (ICB) composition reflects the sour-to-sweet crude intake ratio of Indian refineries.</w:t>
        <w:br/>
        <w:t>6. Petroleum Planning &amp; Analysis Cell (PPAC), Scope Complex, Core-8, 2nd Floor, Lodhi Road, New Delhi 110003.</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