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A96E" w14:textId="6BB229FD" w:rsidR="009874D6" w:rsidRDefault="001A0323">
      <w:pPr>
        <w:rPr>
          <w:sz w:val="28"/>
          <w:szCs w:val="28"/>
        </w:rPr>
      </w:pPr>
      <w:r>
        <w:rPr>
          <w:sz w:val="28"/>
          <w:szCs w:val="28"/>
        </w:rPr>
        <w:t>Sales of company = $2,565 million</w:t>
      </w:r>
    </w:p>
    <w:p w14:paraId="36BE9C86" w14:textId="1640537E" w:rsidR="001A0323" w:rsidRDefault="001A0323">
      <w:pPr>
        <w:rPr>
          <w:sz w:val="28"/>
          <w:szCs w:val="28"/>
        </w:rPr>
      </w:pPr>
      <w:r>
        <w:rPr>
          <w:sz w:val="28"/>
          <w:szCs w:val="28"/>
        </w:rPr>
        <w:t>Beginning net receivables = $261 million</w:t>
      </w:r>
    </w:p>
    <w:p w14:paraId="69440856" w14:textId="7200B4AA" w:rsidR="001A0323" w:rsidRDefault="001A0323">
      <w:pPr>
        <w:rPr>
          <w:sz w:val="28"/>
          <w:szCs w:val="28"/>
        </w:rPr>
      </w:pPr>
      <w:r>
        <w:rPr>
          <w:sz w:val="28"/>
          <w:szCs w:val="28"/>
        </w:rPr>
        <w:t>Ending net receivables = $299 million</w:t>
      </w:r>
    </w:p>
    <w:p w14:paraId="7F17B4C4" w14:textId="2F3D592A" w:rsidR="001A0323" w:rsidRDefault="001A0323">
      <w:pPr>
        <w:rPr>
          <w:sz w:val="28"/>
          <w:szCs w:val="28"/>
        </w:rPr>
      </w:pPr>
      <w:r>
        <w:rPr>
          <w:sz w:val="28"/>
          <w:szCs w:val="28"/>
        </w:rPr>
        <w:t>Thus, average net receivables = $ (261 + 299)/2 = $280 million.</w:t>
      </w:r>
    </w:p>
    <w:p w14:paraId="0F159D45" w14:textId="77777777" w:rsidR="001A0323" w:rsidRDefault="001A0323">
      <w:pPr>
        <w:rPr>
          <w:sz w:val="28"/>
          <w:szCs w:val="28"/>
        </w:rPr>
      </w:pPr>
    </w:p>
    <w:p w14:paraId="4DEBEC85" w14:textId="2EEC0C5B" w:rsidR="001A0323" w:rsidRDefault="001A0323">
      <w:pPr>
        <w:rPr>
          <w:sz w:val="28"/>
          <w:szCs w:val="28"/>
        </w:rPr>
      </w:pPr>
      <w:r>
        <w:rPr>
          <w:sz w:val="28"/>
          <w:szCs w:val="28"/>
        </w:rPr>
        <w:t xml:space="preserve">Thus, the accounts receivable turnover is given by </w:t>
      </w:r>
    </w:p>
    <w:p w14:paraId="35505B13" w14:textId="5B88EEDD" w:rsidR="001A0323" w:rsidRPr="001A0323" w:rsidRDefault="001A032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Sales of company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Average net receivables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2,565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 9.16</m:t>
          </m:r>
        </m:oMath>
      </m:oMathPara>
    </w:p>
    <w:p w14:paraId="00DC07C0" w14:textId="77777777" w:rsidR="001A0323" w:rsidRDefault="001A03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and the average collection period is given by </w:t>
      </w:r>
    </w:p>
    <w:p w14:paraId="55F5D17C" w14:textId="24C0C501" w:rsidR="001A0323" w:rsidRPr="001A0323" w:rsidRDefault="001A0323" w:rsidP="001A0323">
      <w:pP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Average collection period=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=39.84 </m:t>
          </m:r>
        </m:oMath>
      </m:oMathPara>
    </w:p>
    <w:p w14:paraId="27201377" w14:textId="77777777" w:rsidR="001A0323" w:rsidRPr="001A0323" w:rsidRDefault="001A0323" w:rsidP="001A0323">
      <w:pPr>
        <w:rPr>
          <w:rFonts w:eastAsiaTheme="minorEastAsia"/>
          <w:sz w:val="28"/>
          <w:szCs w:val="28"/>
        </w:rPr>
      </w:pPr>
    </w:p>
    <w:sectPr w:rsidR="001A0323" w:rsidRPr="001A0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D6"/>
    <w:rsid w:val="001A0323"/>
    <w:rsid w:val="006A1672"/>
    <w:rsid w:val="009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B731"/>
  <w15:chartTrackingRefBased/>
  <w15:docId w15:val="{6D2B2676-732A-4591-8129-845753F8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4D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A03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2</cp:revision>
  <dcterms:created xsi:type="dcterms:W3CDTF">2025-06-16T12:12:00Z</dcterms:created>
  <dcterms:modified xsi:type="dcterms:W3CDTF">2025-06-16T12:16:00Z</dcterms:modified>
</cp:coreProperties>
</file>