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5E5EA" w14:textId="21CE1FA8" w:rsidR="00D1286C" w:rsidRDefault="00EF7647">
      <w:pPr>
        <w:rPr>
          <w:b/>
          <w:bCs/>
        </w:rPr>
      </w:pPr>
      <w:r>
        <w:rPr>
          <w:b/>
          <w:bCs/>
        </w:rPr>
        <w:t>Solution:</w:t>
      </w:r>
    </w:p>
    <w:p w14:paraId="18B4B7C4" w14:textId="684B29FD" w:rsidR="006E7417" w:rsidRDefault="006E7417" w:rsidP="00D71654">
      <w:pPr>
        <w:rPr>
          <w:rFonts w:ascii="Lucida Console" w:hAnsi="Lucida Console"/>
        </w:rPr>
      </w:pPr>
      <w:r>
        <w:rPr>
          <w:rFonts w:ascii="Lucida Console" w:hAnsi="Lucida Console"/>
        </w:rPr>
        <w:t>Let us prepare a table that summarizes these changes in the prices, as per both U.S. GAAP &amp; IFRS.</w:t>
      </w:r>
    </w:p>
    <w:p w14:paraId="3433CF22" w14:textId="316D16F5" w:rsidR="006E7417" w:rsidRDefault="006E7417" w:rsidP="00D71654">
      <w:pPr>
        <w:rPr>
          <w:rFonts w:ascii="Lucida Console" w:hAnsi="Lucida Console"/>
        </w:rPr>
      </w:pPr>
      <w:r>
        <w:rPr>
          <w:rFonts w:ascii="Lucida Console" w:hAnsi="Lucida Console"/>
        </w:rPr>
        <w:t>In either case, the LCM method is applied. However, the price to be decided as market price is called “replacement cost” in US GAAP and IFRS uses the net realizable value of the inventory.</w:t>
      </w:r>
    </w:p>
    <w:p w14:paraId="164B0A7C" w14:textId="44805551" w:rsidR="006E7417" w:rsidRDefault="006E7417" w:rsidP="00D71654">
      <w:pPr>
        <w:rPr>
          <w:rFonts w:ascii="Lucida Console" w:hAnsi="Lucida Console"/>
        </w:rPr>
      </w:pPr>
      <w:r>
        <w:rPr>
          <w:rFonts w:ascii="Lucida Console" w:hAnsi="Lucida Console"/>
        </w:rPr>
        <w:t>Thus, the table is prepared as follows:</w:t>
      </w:r>
    </w:p>
    <w:tbl>
      <w:tblPr>
        <w:tblStyle w:val="TableGrid"/>
        <w:tblW w:w="9634" w:type="dxa"/>
        <w:tblLook w:val="04A0" w:firstRow="1" w:lastRow="0" w:firstColumn="1" w:lastColumn="0" w:noHBand="0" w:noVBand="1"/>
      </w:tblPr>
      <w:tblGrid>
        <w:gridCol w:w="2263"/>
        <w:gridCol w:w="3747"/>
        <w:gridCol w:w="3624"/>
      </w:tblGrid>
      <w:tr w:rsidR="00C67261" w14:paraId="21486A8E" w14:textId="77777777" w:rsidTr="003A3082">
        <w:tc>
          <w:tcPr>
            <w:tcW w:w="2263" w:type="dxa"/>
            <w:vMerge w:val="restart"/>
          </w:tcPr>
          <w:p w14:paraId="44CEAF46" w14:textId="77777777" w:rsidR="00C67261" w:rsidRDefault="00C67261" w:rsidP="00D71654">
            <w:pPr>
              <w:rPr>
                <w:rFonts w:ascii="Lucida Console" w:hAnsi="Lucida Console"/>
              </w:rPr>
            </w:pPr>
          </w:p>
          <w:p w14:paraId="36952BCF" w14:textId="5D98AA6B" w:rsidR="00C67261" w:rsidRDefault="00C67261" w:rsidP="00C67261">
            <w:pPr>
              <w:jc w:val="center"/>
              <w:rPr>
                <w:rFonts w:ascii="Lucida Console" w:hAnsi="Lucida Console"/>
              </w:rPr>
            </w:pPr>
            <w:r>
              <w:rPr>
                <w:rFonts w:ascii="Lucida Console" w:hAnsi="Lucida Console"/>
              </w:rPr>
              <w:t>Date</w:t>
            </w:r>
          </w:p>
        </w:tc>
        <w:tc>
          <w:tcPr>
            <w:tcW w:w="7371" w:type="dxa"/>
            <w:gridSpan w:val="2"/>
          </w:tcPr>
          <w:p w14:paraId="0D917BD6" w14:textId="3A740B0C" w:rsidR="00C67261" w:rsidRDefault="00C67261" w:rsidP="00C67261">
            <w:pPr>
              <w:jc w:val="center"/>
              <w:rPr>
                <w:rFonts w:ascii="Lucida Console" w:hAnsi="Lucida Console"/>
              </w:rPr>
            </w:pPr>
            <w:r>
              <w:rPr>
                <w:rFonts w:ascii="Lucida Console" w:hAnsi="Lucida Console"/>
              </w:rPr>
              <w:t>Price of Inventory Under</w:t>
            </w:r>
          </w:p>
        </w:tc>
      </w:tr>
      <w:tr w:rsidR="00C67261" w14:paraId="7F3131D0" w14:textId="77777777" w:rsidTr="003A3082">
        <w:tc>
          <w:tcPr>
            <w:tcW w:w="2263" w:type="dxa"/>
            <w:vMerge/>
          </w:tcPr>
          <w:p w14:paraId="722C8AB2" w14:textId="77777777" w:rsidR="00C67261" w:rsidRDefault="00C67261" w:rsidP="00D71654">
            <w:pPr>
              <w:rPr>
                <w:rFonts w:ascii="Lucida Console" w:hAnsi="Lucida Console"/>
              </w:rPr>
            </w:pPr>
          </w:p>
        </w:tc>
        <w:tc>
          <w:tcPr>
            <w:tcW w:w="3747" w:type="dxa"/>
          </w:tcPr>
          <w:p w14:paraId="31D1C8F3" w14:textId="2A285405" w:rsidR="00C67261" w:rsidRDefault="00C67261" w:rsidP="00C67261">
            <w:pPr>
              <w:jc w:val="right"/>
              <w:rPr>
                <w:rFonts w:ascii="Lucida Console" w:hAnsi="Lucida Console"/>
              </w:rPr>
            </w:pPr>
            <w:r>
              <w:rPr>
                <w:rFonts w:ascii="Lucida Console" w:hAnsi="Lucida Console"/>
              </w:rPr>
              <w:t>U.S. GAAP</w:t>
            </w:r>
          </w:p>
        </w:tc>
        <w:tc>
          <w:tcPr>
            <w:tcW w:w="3624" w:type="dxa"/>
          </w:tcPr>
          <w:p w14:paraId="5816D689" w14:textId="58858B17" w:rsidR="00C67261" w:rsidRDefault="00C67261" w:rsidP="00C67261">
            <w:pPr>
              <w:jc w:val="right"/>
              <w:rPr>
                <w:rFonts w:ascii="Lucida Console" w:hAnsi="Lucida Console"/>
              </w:rPr>
            </w:pPr>
            <w:r>
              <w:rPr>
                <w:rFonts w:ascii="Lucida Console" w:hAnsi="Lucida Console"/>
              </w:rPr>
              <w:t>IFRS</w:t>
            </w:r>
          </w:p>
        </w:tc>
      </w:tr>
      <w:tr w:rsidR="00C67261" w14:paraId="5599B99D" w14:textId="77777777" w:rsidTr="003A3082">
        <w:tc>
          <w:tcPr>
            <w:tcW w:w="2263" w:type="dxa"/>
          </w:tcPr>
          <w:p w14:paraId="1D50F5EC" w14:textId="2B9945B6" w:rsidR="00C67261" w:rsidRDefault="00C67261" w:rsidP="00C67261">
            <w:pPr>
              <w:jc w:val="center"/>
              <w:rPr>
                <w:rFonts w:ascii="Lucida Console" w:hAnsi="Lucida Console"/>
              </w:rPr>
            </w:pPr>
            <w:r>
              <w:rPr>
                <w:rFonts w:ascii="Lucida Console" w:hAnsi="Lucida Console"/>
              </w:rPr>
              <w:t>Dec 31, 2011</w:t>
            </w:r>
          </w:p>
        </w:tc>
        <w:tc>
          <w:tcPr>
            <w:tcW w:w="3747" w:type="dxa"/>
          </w:tcPr>
          <w:p w14:paraId="747E83B5" w14:textId="77777777" w:rsidR="00C67261" w:rsidRDefault="00C67261" w:rsidP="00C67261">
            <w:pPr>
              <w:jc w:val="right"/>
              <w:rPr>
                <w:rFonts w:ascii="Lucida Console" w:hAnsi="Lucida Console"/>
              </w:rPr>
            </w:pPr>
            <w:r>
              <w:rPr>
                <w:rFonts w:ascii="Lucida Console" w:hAnsi="Lucida Console"/>
              </w:rPr>
              <w:t>$185,000</w:t>
            </w:r>
          </w:p>
          <w:p w14:paraId="45F70DDD" w14:textId="45911190" w:rsidR="003A3082" w:rsidRPr="003A3082" w:rsidRDefault="003A3082" w:rsidP="00C67261">
            <w:pPr>
              <w:jc w:val="right"/>
              <w:rPr>
                <w:rFonts w:ascii="Lucida Console" w:hAnsi="Lucida Console"/>
                <w:sz w:val="22"/>
                <w:szCs w:val="22"/>
              </w:rPr>
            </w:pPr>
            <w:r w:rsidRPr="003A3082">
              <w:rPr>
                <w:rFonts w:ascii="Lucida Console" w:hAnsi="Lucida Console"/>
              </w:rPr>
              <w:t>(Write down since inventory was more than the replacement cost)</w:t>
            </w:r>
          </w:p>
        </w:tc>
        <w:tc>
          <w:tcPr>
            <w:tcW w:w="3624" w:type="dxa"/>
          </w:tcPr>
          <w:p w14:paraId="38A91DF5" w14:textId="77777777" w:rsidR="00C67261" w:rsidRDefault="00C67261" w:rsidP="00C67261">
            <w:pPr>
              <w:jc w:val="right"/>
              <w:rPr>
                <w:rFonts w:ascii="Lucida Console" w:hAnsi="Lucida Console"/>
              </w:rPr>
            </w:pPr>
            <w:r>
              <w:rPr>
                <w:rFonts w:ascii="Lucida Console" w:hAnsi="Lucida Console"/>
              </w:rPr>
              <w:t>$195,000</w:t>
            </w:r>
          </w:p>
          <w:p w14:paraId="31DBBACB" w14:textId="283D28AC" w:rsidR="003A3082" w:rsidRDefault="003A3082" w:rsidP="00C67261">
            <w:pPr>
              <w:jc w:val="right"/>
              <w:rPr>
                <w:rFonts w:ascii="Lucida Console" w:hAnsi="Lucida Console"/>
              </w:rPr>
            </w:pPr>
            <w:r>
              <w:rPr>
                <w:rFonts w:ascii="Lucida Console" w:hAnsi="Lucida Console"/>
              </w:rPr>
              <w:t>(Write down since the inventory is more than the realizable value.)</w:t>
            </w:r>
          </w:p>
        </w:tc>
      </w:tr>
      <w:tr w:rsidR="00C67261" w14:paraId="5B1A268F" w14:textId="77777777" w:rsidTr="003A3082">
        <w:tc>
          <w:tcPr>
            <w:tcW w:w="2263" w:type="dxa"/>
          </w:tcPr>
          <w:p w14:paraId="05729AE6" w14:textId="14EBF172" w:rsidR="00C67261" w:rsidRDefault="00C67261" w:rsidP="00C67261">
            <w:pPr>
              <w:jc w:val="center"/>
              <w:rPr>
                <w:rFonts w:ascii="Lucida Console" w:hAnsi="Lucida Console"/>
              </w:rPr>
            </w:pPr>
            <w:r>
              <w:rPr>
                <w:rFonts w:ascii="Lucida Console" w:hAnsi="Lucida Console"/>
              </w:rPr>
              <w:t>Apr 30, 2012</w:t>
            </w:r>
          </w:p>
        </w:tc>
        <w:tc>
          <w:tcPr>
            <w:tcW w:w="3747" w:type="dxa"/>
          </w:tcPr>
          <w:p w14:paraId="64B2F7B6" w14:textId="77777777" w:rsidR="00C67261" w:rsidRDefault="00C67261" w:rsidP="00C67261">
            <w:pPr>
              <w:jc w:val="right"/>
              <w:rPr>
                <w:rFonts w:ascii="Lucida Console" w:hAnsi="Lucida Console"/>
              </w:rPr>
            </w:pPr>
            <w:r>
              <w:rPr>
                <w:rFonts w:ascii="Lucida Console" w:hAnsi="Lucida Console"/>
              </w:rPr>
              <w:t>$185,000</w:t>
            </w:r>
          </w:p>
          <w:p w14:paraId="18AD1B62" w14:textId="1F598836" w:rsidR="003A3082" w:rsidRDefault="003A3082" w:rsidP="00C67261">
            <w:pPr>
              <w:jc w:val="right"/>
              <w:rPr>
                <w:rFonts w:ascii="Lucida Console" w:hAnsi="Lucida Console"/>
              </w:rPr>
            </w:pPr>
            <w:r>
              <w:rPr>
                <w:rFonts w:ascii="Lucida Console" w:hAnsi="Lucida Console"/>
              </w:rPr>
              <w:t>(No effect)</w:t>
            </w:r>
          </w:p>
        </w:tc>
        <w:tc>
          <w:tcPr>
            <w:tcW w:w="3624" w:type="dxa"/>
          </w:tcPr>
          <w:p w14:paraId="19D7C584" w14:textId="77777777" w:rsidR="00C67261" w:rsidRDefault="00C67261" w:rsidP="00C67261">
            <w:pPr>
              <w:jc w:val="right"/>
              <w:rPr>
                <w:rFonts w:ascii="Lucida Console" w:hAnsi="Lucida Console"/>
              </w:rPr>
            </w:pPr>
            <w:r>
              <w:rPr>
                <w:rFonts w:ascii="Lucida Console" w:hAnsi="Lucida Console"/>
              </w:rPr>
              <w:t>$200,000</w:t>
            </w:r>
          </w:p>
          <w:p w14:paraId="4400506C" w14:textId="1130FBF6" w:rsidR="003A3082" w:rsidRDefault="003A3082" w:rsidP="00C67261">
            <w:pPr>
              <w:jc w:val="right"/>
              <w:rPr>
                <w:rFonts w:ascii="Lucida Console" w:hAnsi="Lucida Console"/>
              </w:rPr>
            </w:pPr>
            <w:r>
              <w:rPr>
                <w:rFonts w:ascii="Lucida Console" w:hAnsi="Lucida Console"/>
              </w:rPr>
              <w:t>(Reversal of write down)</w:t>
            </w:r>
          </w:p>
        </w:tc>
      </w:tr>
      <w:tr w:rsidR="00C67261" w14:paraId="1DB0DAA2" w14:textId="77777777" w:rsidTr="003A3082">
        <w:tc>
          <w:tcPr>
            <w:tcW w:w="2263" w:type="dxa"/>
          </w:tcPr>
          <w:p w14:paraId="1546284C" w14:textId="41E14E16" w:rsidR="00C67261" w:rsidRDefault="00C67261" w:rsidP="00C67261">
            <w:pPr>
              <w:jc w:val="center"/>
              <w:rPr>
                <w:rFonts w:ascii="Lucida Console" w:hAnsi="Lucida Console"/>
              </w:rPr>
            </w:pPr>
            <w:r>
              <w:rPr>
                <w:rFonts w:ascii="Lucida Console" w:hAnsi="Lucida Console"/>
              </w:rPr>
              <w:t>Aug 31, 2012</w:t>
            </w:r>
          </w:p>
        </w:tc>
        <w:tc>
          <w:tcPr>
            <w:tcW w:w="3747" w:type="dxa"/>
          </w:tcPr>
          <w:p w14:paraId="1FEDC0C6" w14:textId="77777777" w:rsidR="00C67261" w:rsidRDefault="00C67261" w:rsidP="00C67261">
            <w:pPr>
              <w:jc w:val="right"/>
              <w:rPr>
                <w:rFonts w:ascii="Lucida Console" w:hAnsi="Lucida Console"/>
              </w:rPr>
            </w:pPr>
            <w:r>
              <w:rPr>
                <w:rFonts w:ascii="Lucida Console" w:hAnsi="Lucida Console"/>
              </w:rPr>
              <w:t>$185,000</w:t>
            </w:r>
          </w:p>
          <w:p w14:paraId="3F84B81D" w14:textId="2E10A0C6" w:rsidR="003A3082" w:rsidRDefault="003A3082" w:rsidP="00C67261">
            <w:pPr>
              <w:jc w:val="right"/>
              <w:rPr>
                <w:rFonts w:ascii="Lucida Console" w:hAnsi="Lucida Console"/>
              </w:rPr>
            </w:pPr>
            <w:r>
              <w:rPr>
                <w:rFonts w:ascii="Lucida Console" w:hAnsi="Lucida Console"/>
              </w:rPr>
              <w:t>(No effect)</w:t>
            </w:r>
          </w:p>
        </w:tc>
        <w:tc>
          <w:tcPr>
            <w:tcW w:w="3624" w:type="dxa"/>
          </w:tcPr>
          <w:p w14:paraId="45F94BA4" w14:textId="77777777" w:rsidR="00C67261" w:rsidRDefault="00C67261" w:rsidP="00C67261">
            <w:pPr>
              <w:jc w:val="right"/>
              <w:rPr>
                <w:rFonts w:ascii="Lucida Console" w:hAnsi="Lucida Console"/>
              </w:rPr>
            </w:pPr>
            <w:r>
              <w:rPr>
                <w:rFonts w:ascii="Lucida Console" w:hAnsi="Lucida Console"/>
              </w:rPr>
              <w:t>$200,000</w:t>
            </w:r>
          </w:p>
          <w:p w14:paraId="6197F578" w14:textId="539CC54B" w:rsidR="003A3082" w:rsidRDefault="003A3082" w:rsidP="00C67261">
            <w:pPr>
              <w:jc w:val="right"/>
              <w:rPr>
                <w:rFonts w:ascii="Lucida Console" w:hAnsi="Lucida Console"/>
              </w:rPr>
            </w:pPr>
            <w:r>
              <w:rPr>
                <w:rFonts w:ascii="Lucida Console" w:hAnsi="Lucida Console"/>
              </w:rPr>
              <w:t>(No effect)</w:t>
            </w:r>
          </w:p>
        </w:tc>
      </w:tr>
      <w:tr w:rsidR="00C67261" w14:paraId="648924FB" w14:textId="77777777" w:rsidTr="003A3082">
        <w:tc>
          <w:tcPr>
            <w:tcW w:w="2263" w:type="dxa"/>
          </w:tcPr>
          <w:p w14:paraId="24C02AC1" w14:textId="10CAB637" w:rsidR="00C67261" w:rsidRDefault="00C67261" w:rsidP="00C67261">
            <w:pPr>
              <w:jc w:val="center"/>
              <w:rPr>
                <w:rFonts w:ascii="Lucida Console" w:hAnsi="Lucida Console"/>
              </w:rPr>
            </w:pPr>
            <w:r>
              <w:rPr>
                <w:rFonts w:ascii="Lucida Console" w:hAnsi="Lucida Console"/>
              </w:rPr>
              <w:t>Dec 31, 2012</w:t>
            </w:r>
          </w:p>
        </w:tc>
        <w:tc>
          <w:tcPr>
            <w:tcW w:w="3747" w:type="dxa"/>
          </w:tcPr>
          <w:p w14:paraId="348478A6" w14:textId="77777777" w:rsidR="00C67261" w:rsidRDefault="00C67261" w:rsidP="00C67261">
            <w:pPr>
              <w:jc w:val="right"/>
              <w:rPr>
                <w:rFonts w:ascii="Lucida Console" w:hAnsi="Lucida Console"/>
              </w:rPr>
            </w:pPr>
            <w:r>
              <w:rPr>
                <w:rFonts w:ascii="Lucida Console" w:hAnsi="Lucida Console"/>
              </w:rPr>
              <w:t>$180,000</w:t>
            </w:r>
          </w:p>
          <w:p w14:paraId="7B3506E6" w14:textId="7A107A0E" w:rsidR="003A3082" w:rsidRDefault="003A3082" w:rsidP="00C67261">
            <w:pPr>
              <w:jc w:val="right"/>
              <w:rPr>
                <w:rFonts w:ascii="Lucida Console" w:hAnsi="Lucida Console"/>
              </w:rPr>
            </w:pPr>
            <w:r>
              <w:rPr>
                <w:rFonts w:ascii="Lucida Console" w:hAnsi="Lucida Console"/>
              </w:rPr>
              <w:t>(Write down since inventory was more than the replacement cost)</w:t>
            </w:r>
          </w:p>
        </w:tc>
        <w:tc>
          <w:tcPr>
            <w:tcW w:w="3624" w:type="dxa"/>
          </w:tcPr>
          <w:p w14:paraId="63C2512C" w14:textId="77777777" w:rsidR="00C67261" w:rsidRDefault="00C67261" w:rsidP="00C67261">
            <w:pPr>
              <w:jc w:val="right"/>
              <w:rPr>
                <w:rFonts w:ascii="Lucida Console" w:hAnsi="Lucida Console"/>
              </w:rPr>
            </w:pPr>
            <w:r>
              <w:rPr>
                <w:rFonts w:ascii="Lucida Console" w:hAnsi="Lucida Console"/>
              </w:rPr>
              <w:t>$190,000</w:t>
            </w:r>
          </w:p>
          <w:p w14:paraId="3C56AF20" w14:textId="31CF4F70" w:rsidR="003A3082" w:rsidRDefault="003A3082" w:rsidP="00C67261">
            <w:pPr>
              <w:jc w:val="right"/>
              <w:rPr>
                <w:rFonts w:ascii="Lucida Console" w:hAnsi="Lucida Console"/>
              </w:rPr>
            </w:pPr>
            <w:r>
              <w:rPr>
                <w:rFonts w:ascii="Lucida Console" w:hAnsi="Lucida Console"/>
              </w:rPr>
              <w:t>(Write down since the inventory is more than the realizable value.)</w:t>
            </w:r>
          </w:p>
        </w:tc>
      </w:tr>
    </w:tbl>
    <w:p w14:paraId="18514A01" w14:textId="77777777" w:rsidR="006E7417" w:rsidRDefault="006E7417" w:rsidP="00D71654">
      <w:pPr>
        <w:rPr>
          <w:rFonts w:ascii="Lucida Console" w:hAnsi="Lucida Console"/>
        </w:rPr>
      </w:pPr>
    </w:p>
    <w:p w14:paraId="408C7501" w14:textId="5E941262" w:rsidR="0034558A" w:rsidRPr="00D71654" w:rsidRDefault="0016507C" w:rsidP="00D71654">
      <w:pPr>
        <w:rPr>
          <w:rFonts w:ascii="Lucida Console" w:hAnsi="Lucida Console"/>
        </w:rPr>
      </w:pPr>
      <w:r>
        <w:rPr>
          <w:rFonts w:ascii="Lucida Console" w:hAnsi="Lucida Console"/>
        </w:rPr>
        <w:t xml:space="preserve">The U.S. GAAP does not allow replacement of value, but IFRS allows it if the net realizable value goes up. </w:t>
      </w:r>
    </w:p>
    <w:sectPr w:rsidR="0034558A" w:rsidRPr="00D716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CB18C2"/>
    <w:multiLevelType w:val="hybridMultilevel"/>
    <w:tmpl w:val="6AD60A18"/>
    <w:lvl w:ilvl="0" w:tplc="BE902D34">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176BB1"/>
    <w:multiLevelType w:val="hybridMultilevel"/>
    <w:tmpl w:val="0F1E4B16"/>
    <w:lvl w:ilvl="0" w:tplc="7134348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C1A7B60"/>
    <w:multiLevelType w:val="hybridMultilevel"/>
    <w:tmpl w:val="CF9AFB7E"/>
    <w:lvl w:ilvl="0" w:tplc="4C3CEF32">
      <w:start w:val="1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95C1221"/>
    <w:multiLevelType w:val="hybridMultilevel"/>
    <w:tmpl w:val="4ABEDB9C"/>
    <w:lvl w:ilvl="0" w:tplc="C414D4D4">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5007135">
    <w:abstractNumId w:val="1"/>
  </w:num>
  <w:num w:numId="2" w16cid:durableId="103966497">
    <w:abstractNumId w:val="2"/>
  </w:num>
  <w:num w:numId="3" w16cid:durableId="1769303219">
    <w:abstractNumId w:val="0"/>
  </w:num>
  <w:num w:numId="4" w16cid:durableId="1363376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36F"/>
    <w:rsid w:val="0000280D"/>
    <w:rsid w:val="000376FC"/>
    <w:rsid w:val="000722F9"/>
    <w:rsid w:val="00076046"/>
    <w:rsid w:val="000C387A"/>
    <w:rsid w:val="00115518"/>
    <w:rsid w:val="00126E3C"/>
    <w:rsid w:val="00152475"/>
    <w:rsid w:val="0016507C"/>
    <w:rsid w:val="00172ADF"/>
    <w:rsid w:val="00197905"/>
    <w:rsid w:val="00230A1C"/>
    <w:rsid w:val="0023370D"/>
    <w:rsid w:val="00266522"/>
    <w:rsid w:val="00284E6C"/>
    <w:rsid w:val="002D6E65"/>
    <w:rsid w:val="0034558A"/>
    <w:rsid w:val="00346959"/>
    <w:rsid w:val="00363398"/>
    <w:rsid w:val="0039036F"/>
    <w:rsid w:val="00394D84"/>
    <w:rsid w:val="00397BC5"/>
    <w:rsid w:val="003A3082"/>
    <w:rsid w:val="003D6D31"/>
    <w:rsid w:val="00421C03"/>
    <w:rsid w:val="00456DF9"/>
    <w:rsid w:val="00467381"/>
    <w:rsid w:val="00472B6E"/>
    <w:rsid w:val="00494816"/>
    <w:rsid w:val="004B7DD5"/>
    <w:rsid w:val="004F0C69"/>
    <w:rsid w:val="00515B14"/>
    <w:rsid w:val="00525BB0"/>
    <w:rsid w:val="00564635"/>
    <w:rsid w:val="00593D6E"/>
    <w:rsid w:val="005A3EC3"/>
    <w:rsid w:val="005F6293"/>
    <w:rsid w:val="00605458"/>
    <w:rsid w:val="0061332C"/>
    <w:rsid w:val="00642933"/>
    <w:rsid w:val="00664826"/>
    <w:rsid w:val="006928AF"/>
    <w:rsid w:val="006A4C41"/>
    <w:rsid w:val="006B5576"/>
    <w:rsid w:val="006E7417"/>
    <w:rsid w:val="0075425B"/>
    <w:rsid w:val="007A56AB"/>
    <w:rsid w:val="007A76B6"/>
    <w:rsid w:val="007E2559"/>
    <w:rsid w:val="00822BBA"/>
    <w:rsid w:val="00836816"/>
    <w:rsid w:val="00837B51"/>
    <w:rsid w:val="00847402"/>
    <w:rsid w:val="0086511D"/>
    <w:rsid w:val="00885657"/>
    <w:rsid w:val="008972D4"/>
    <w:rsid w:val="008F51A5"/>
    <w:rsid w:val="0092773F"/>
    <w:rsid w:val="00941A26"/>
    <w:rsid w:val="00942266"/>
    <w:rsid w:val="0095165A"/>
    <w:rsid w:val="0098606F"/>
    <w:rsid w:val="009E5A89"/>
    <w:rsid w:val="009F5FFE"/>
    <w:rsid w:val="00A566DA"/>
    <w:rsid w:val="00A62FD5"/>
    <w:rsid w:val="00A67935"/>
    <w:rsid w:val="00AD6B12"/>
    <w:rsid w:val="00AF3EC8"/>
    <w:rsid w:val="00B30F79"/>
    <w:rsid w:val="00B361E2"/>
    <w:rsid w:val="00B53D2D"/>
    <w:rsid w:val="00BD1CCE"/>
    <w:rsid w:val="00C67261"/>
    <w:rsid w:val="00C75BA7"/>
    <w:rsid w:val="00C84E1E"/>
    <w:rsid w:val="00CC2195"/>
    <w:rsid w:val="00CC6FAD"/>
    <w:rsid w:val="00D03705"/>
    <w:rsid w:val="00D0697A"/>
    <w:rsid w:val="00D1286C"/>
    <w:rsid w:val="00D44F39"/>
    <w:rsid w:val="00D71654"/>
    <w:rsid w:val="00D72625"/>
    <w:rsid w:val="00D72AC7"/>
    <w:rsid w:val="00D91FB8"/>
    <w:rsid w:val="00DB489B"/>
    <w:rsid w:val="00DB48C2"/>
    <w:rsid w:val="00E07F01"/>
    <w:rsid w:val="00E30679"/>
    <w:rsid w:val="00E32CEB"/>
    <w:rsid w:val="00E53E38"/>
    <w:rsid w:val="00E568C7"/>
    <w:rsid w:val="00E85731"/>
    <w:rsid w:val="00E9095F"/>
    <w:rsid w:val="00EB0CCB"/>
    <w:rsid w:val="00EC49A9"/>
    <w:rsid w:val="00EF6F36"/>
    <w:rsid w:val="00EF7647"/>
    <w:rsid w:val="00F27804"/>
    <w:rsid w:val="00F637CE"/>
    <w:rsid w:val="00F973A0"/>
    <w:rsid w:val="00FE64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94A04"/>
  <w15:chartTrackingRefBased/>
  <w15:docId w15:val="{A3B31EDF-76BC-495D-B3A7-B608221B2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3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03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03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03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03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03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3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3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3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3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03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03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03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03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03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3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3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36F"/>
    <w:rPr>
      <w:rFonts w:eastAsiaTheme="majorEastAsia" w:cstheme="majorBidi"/>
      <w:color w:val="272727" w:themeColor="text1" w:themeTint="D8"/>
    </w:rPr>
  </w:style>
  <w:style w:type="paragraph" w:styleId="Title">
    <w:name w:val="Title"/>
    <w:basedOn w:val="Normal"/>
    <w:next w:val="Normal"/>
    <w:link w:val="TitleChar"/>
    <w:uiPriority w:val="10"/>
    <w:qFormat/>
    <w:rsid w:val="003903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3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3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3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36F"/>
    <w:pPr>
      <w:spacing w:before="160"/>
      <w:jc w:val="center"/>
    </w:pPr>
    <w:rPr>
      <w:i/>
      <w:iCs/>
      <w:color w:val="404040" w:themeColor="text1" w:themeTint="BF"/>
    </w:rPr>
  </w:style>
  <w:style w:type="character" w:customStyle="1" w:styleId="QuoteChar">
    <w:name w:val="Quote Char"/>
    <w:basedOn w:val="DefaultParagraphFont"/>
    <w:link w:val="Quote"/>
    <w:uiPriority w:val="29"/>
    <w:rsid w:val="0039036F"/>
    <w:rPr>
      <w:i/>
      <w:iCs/>
      <w:color w:val="404040" w:themeColor="text1" w:themeTint="BF"/>
    </w:rPr>
  </w:style>
  <w:style w:type="paragraph" w:styleId="ListParagraph">
    <w:name w:val="List Paragraph"/>
    <w:basedOn w:val="Normal"/>
    <w:uiPriority w:val="34"/>
    <w:qFormat/>
    <w:rsid w:val="0039036F"/>
    <w:pPr>
      <w:ind w:left="720"/>
      <w:contextualSpacing/>
    </w:pPr>
  </w:style>
  <w:style w:type="character" w:styleId="IntenseEmphasis">
    <w:name w:val="Intense Emphasis"/>
    <w:basedOn w:val="DefaultParagraphFont"/>
    <w:uiPriority w:val="21"/>
    <w:qFormat/>
    <w:rsid w:val="0039036F"/>
    <w:rPr>
      <w:i/>
      <w:iCs/>
      <w:color w:val="0F4761" w:themeColor="accent1" w:themeShade="BF"/>
    </w:rPr>
  </w:style>
  <w:style w:type="paragraph" w:styleId="IntenseQuote">
    <w:name w:val="Intense Quote"/>
    <w:basedOn w:val="Normal"/>
    <w:next w:val="Normal"/>
    <w:link w:val="IntenseQuoteChar"/>
    <w:uiPriority w:val="30"/>
    <w:qFormat/>
    <w:rsid w:val="003903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36F"/>
    <w:rPr>
      <w:i/>
      <w:iCs/>
      <w:color w:val="0F4761" w:themeColor="accent1" w:themeShade="BF"/>
    </w:rPr>
  </w:style>
  <w:style w:type="character" w:styleId="IntenseReference">
    <w:name w:val="Intense Reference"/>
    <w:basedOn w:val="DefaultParagraphFont"/>
    <w:uiPriority w:val="32"/>
    <w:qFormat/>
    <w:rsid w:val="0039036F"/>
    <w:rPr>
      <w:b/>
      <w:bCs/>
      <w:smallCaps/>
      <w:color w:val="0F4761" w:themeColor="accent1" w:themeShade="BF"/>
      <w:spacing w:val="5"/>
    </w:rPr>
  </w:style>
  <w:style w:type="table" w:styleId="TableGrid">
    <w:name w:val="Table Grid"/>
    <w:basedOn w:val="TableNormal"/>
    <w:uiPriority w:val="39"/>
    <w:rsid w:val="00494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5A3EC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A6793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Raj</dc:creator>
  <cp:keywords/>
  <dc:description/>
  <cp:lastModifiedBy>Aman Raj</cp:lastModifiedBy>
  <cp:revision>89</cp:revision>
  <cp:lastPrinted>2025-07-22T13:02:00Z</cp:lastPrinted>
  <dcterms:created xsi:type="dcterms:W3CDTF">2025-07-22T12:47:00Z</dcterms:created>
  <dcterms:modified xsi:type="dcterms:W3CDTF">2025-07-23T05:40:00Z</dcterms:modified>
</cp:coreProperties>
</file>