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5B6EBD94" w14:textId="77F5795C" w:rsidR="00FD5E1D" w:rsidRDefault="00CF37FB" w:rsidP="009436DA">
      <w:pPr>
        <w:rPr>
          <w:rFonts w:ascii="Lucida Console" w:eastAsiaTheme="minorEastAsia" w:hAnsi="Lucida Console"/>
          <w:lang w:val="en-US"/>
        </w:rPr>
      </w:pPr>
      <w:r>
        <w:rPr>
          <w:rFonts w:ascii="Lucida Console" w:eastAsiaTheme="minorEastAsia" w:hAnsi="Lucida Console"/>
          <w:lang w:val="en-US"/>
        </w:rPr>
        <w:t>(1)</w:t>
      </w:r>
    </w:p>
    <w:p w14:paraId="2400F6D9" w14:textId="2622335C" w:rsidR="00EA6656" w:rsidRDefault="009F0A5F" w:rsidP="009436DA">
      <w:pPr>
        <w:rPr>
          <w:rFonts w:ascii="Lucida Console" w:eastAsiaTheme="minorEastAsia" w:hAnsi="Lucida Console"/>
          <w:lang w:val="en-US"/>
        </w:rPr>
      </w:pPr>
      <w:r>
        <w:rPr>
          <w:rFonts w:ascii="Lucida Console" w:eastAsiaTheme="minorEastAsia" w:hAnsi="Lucida Console"/>
          <w:lang w:val="en-US"/>
        </w:rPr>
        <w:t>The LIFO inventory at the beginning is valued at $118.2 million less than the FIFO inventory.</w:t>
      </w:r>
    </w:p>
    <w:p w14:paraId="20B454D9" w14:textId="4088245E" w:rsidR="009F0A5F" w:rsidRDefault="009F0A5F" w:rsidP="009436DA">
      <w:pPr>
        <w:rPr>
          <w:rFonts w:ascii="Lucida Console" w:eastAsiaTheme="minorEastAsia" w:hAnsi="Lucida Console"/>
          <w:lang w:val="en-US"/>
        </w:rPr>
      </w:pPr>
      <w:r>
        <w:rPr>
          <w:rFonts w:ascii="Lucida Console" w:eastAsiaTheme="minorEastAsia" w:hAnsi="Lucida Console"/>
          <w:lang w:val="en-US"/>
        </w:rPr>
        <w:t>The LIFO inventory at the end is valued at $119.8 million less than the FIFO inventory.</w:t>
      </w:r>
    </w:p>
    <w:p w14:paraId="7C86573C" w14:textId="59F75BBC" w:rsidR="009F0A5F" w:rsidRDefault="009F0A5F" w:rsidP="009436DA">
      <w:pPr>
        <w:rPr>
          <w:rFonts w:ascii="Lucida Console" w:eastAsiaTheme="minorEastAsia" w:hAnsi="Lucida Console"/>
          <w:lang w:val="en-US"/>
        </w:rPr>
      </w:pPr>
      <w:r>
        <w:rPr>
          <w:rFonts w:ascii="Lucida Console" w:eastAsiaTheme="minorEastAsia" w:hAnsi="Lucida Console"/>
          <w:lang w:val="en-US"/>
        </w:rPr>
        <w:t xml:space="preserve">Thus, </w:t>
      </w:r>
      <w:r w:rsidR="00A57F39">
        <w:rPr>
          <w:rFonts w:ascii="Lucida Console" w:eastAsiaTheme="minorEastAsia" w:hAnsi="Lucida Console"/>
          <w:lang w:val="en-US"/>
        </w:rPr>
        <w:t xml:space="preserve">the change in inventory (end – beginning) is </w:t>
      </w:r>
      <w:r w:rsidR="00F95DDA">
        <w:rPr>
          <w:rFonts w:ascii="Lucida Console" w:eastAsiaTheme="minorEastAsia" w:hAnsi="Lucida Console"/>
          <w:lang w:val="en-US"/>
        </w:rPr>
        <w:t>valued at $1.6 million less than the FIFO inventory.</w:t>
      </w:r>
    </w:p>
    <w:p w14:paraId="3805FD15" w14:textId="54E5D40D" w:rsidR="00F95DDA" w:rsidRDefault="00BD0714" w:rsidP="009436DA">
      <w:pPr>
        <w:rPr>
          <w:rFonts w:ascii="Lucida Console" w:eastAsiaTheme="minorEastAsia" w:hAnsi="Lucida Console"/>
          <w:lang w:val="en-US"/>
        </w:rPr>
      </w:pPr>
      <w:r>
        <w:rPr>
          <w:rFonts w:ascii="Lucida Console" w:eastAsiaTheme="minorEastAsia" w:hAnsi="Lucida Console"/>
          <w:lang w:val="en-US"/>
        </w:rPr>
        <w:t>This change means that the current purchase during the period has a higher value compared to the previous purchase (since the difference is negative.)</w:t>
      </w:r>
    </w:p>
    <w:p w14:paraId="0C7ABD6D" w14:textId="3C8CD51D" w:rsidR="00BD0714" w:rsidRDefault="00BD0714" w:rsidP="009436DA">
      <w:pPr>
        <w:rPr>
          <w:rFonts w:ascii="Lucida Console" w:eastAsiaTheme="minorEastAsia" w:hAnsi="Lucida Console"/>
          <w:lang w:val="en-US"/>
        </w:rPr>
      </w:pPr>
      <w:r>
        <w:rPr>
          <w:rFonts w:ascii="Lucida Console" w:eastAsiaTheme="minorEastAsia" w:hAnsi="Lucida Console"/>
          <w:lang w:val="en-US"/>
        </w:rPr>
        <w:t>This implies that the current inventories’ cost is generally increasing.</w:t>
      </w:r>
    </w:p>
    <w:p w14:paraId="6E9764A7" w14:textId="11823F3E" w:rsidR="00BD0714" w:rsidRDefault="00BD0714" w:rsidP="009436DA">
      <w:pPr>
        <w:rPr>
          <w:rFonts w:ascii="Lucida Console" w:eastAsiaTheme="minorEastAsia" w:hAnsi="Lucida Console"/>
          <w:lang w:val="en-US"/>
        </w:rPr>
      </w:pPr>
      <w:r>
        <w:rPr>
          <w:rFonts w:ascii="Lucida Console" w:eastAsiaTheme="minorEastAsia" w:hAnsi="Lucida Console"/>
          <w:lang w:val="en-US"/>
        </w:rPr>
        <w:t>(2)</w:t>
      </w:r>
    </w:p>
    <w:p w14:paraId="1FE61EC4" w14:textId="23D1B2AB" w:rsidR="00BD0714" w:rsidRDefault="00B813B3" w:rsidP="009436DA">
      <w:pPr>
        <w:rPr>
          <w:rFonts w:ascii="Lucida Console" w:eastAsiaTheme="minorEastAsia" w:hAnsi="Lucida Console"/>
          <w:lang w:val="en-US"/>
        </w:rPr>
      </w:pPr>
      <w:r>
        <w:rPr>
          <w:rFonts w:ascii="Lucida Console" w:eastAsiaTheme="minorEastAsia" w:hAnsi="Lucida Console"/>
          <w:lang w:val="en-US"/>
        </w:rPr>
        <w:t>(a)</w:t>
      </w:r>
    </w:p>
    <w:p w14:paraId="6842534D" w14:textId="1799F9BE" w:rsidR="00B813B3" w:rsidRDefault="00B813B3" w:rsidP="009436DA">
      <w:pPr>
        <w:rPr>
          <w:rFonts w:ascii="Lucida Console" w:eastAsiaTheme="minorEastAsia" w:hAnsi="Lucida Console"/>
          <w:lang w:val="en-US"/>
        </w:rPr>
      </w:pPr>
      <w:r>
        <w:rPr>
          <w:rFonts w:ascii="Lucida Console" w:eastAsiaTheme="minorEastAsia" w:hAnsi="Lucida Console"/>
          <w:lang w:val="en-US"/>
        </w:rPr>
        <w:t>Under the current method, the inventory valuation is given by $532.6 million, and the sale is $1,000 million.</w:t>
      </w:r>
    </w:p>
    <w:p w14:paraId="0A131A46" w14:textId="1352E20E" w:rsidR="00B813B3" w:rsidRDefault="00B813B3" w:rsidP="009436DA">
      <w:pPr>
        <w:rPr>
          <w:rFonts w:ascii="Lucida Console" w:eastAsiaTheme="minorEastAsia" w:hAnsi="Lucida Console"/>
          <w:lang w:val="en-US"/>
        </w:rPr>
      </w:pPr>
      <w:r>
        <w:rPr>
          <w:rFonts w:ascii="Lucida Console" w:eastAsiaTheme="minorEastAsia" w:hAnsi="Lucida Console"/>
          <w:lang w:val="en-US"/>
        </w:rPr>
        <w:t>Thus, the gross profit is $467.4 million.</w:t>
      </w:r>
    </w:p>
    <w:p w14:paraId="2549F13D" w14:textId="5B3C90A4" w:rsidR="00B813B3" w:rsidRDefault="00B813B3" w:rsidP="009436DA">
      <w:pPr>
        <w:rPr>
          <w:rFonts w:ascii="Lucida Console" w:eastAsiaTheme="minorEastAsia" w:hAnsi="Lucida Console"/>
          <w:lang w:val="en-US"/>
        </w:rPr>
      </w:pPr>
      <w:r>
        <w:rPr>
          <w:rFonts w:ascii="Lucida Console" w:eastAsiaTheme="minorEastAsia" w:hAnsi="Lucida Console"/>
          <w:lang w:val="en-US"/>
        </w:rPr>
        <w:t xml:space="preserve">(b) </w:t>
      </w:r>
    </w:p>
    <w:p w14:paraId="52A036ED" w14:textId="3741A9EB" w:rsidR="00B813B3" w:rsidRDefault="00B813B3" w:rsidP="009436DA">
      <w:pPr>
        <w:rPr>
          <w:rFonts w:ascii="Lucida Console" w:eastAsiaTheme="minorEastAsia" w:hAnsi="Lucida Console"/>
          <w:lang w:val="en-US"/>
        </w:rPr>
      </w:pPr>
      <w:r>
        <w:rPr>
          <w:rFonts w:ascii="Lucida Console" w:eastAsiaTheme="minorEastAsia" w:hAnsi="Lucida Console"/>
          <w:lang w:val="en-US"/>
        </w:rPr>
        <w:t>If all inventories were in FIFO, then the cost would be $119.8 million higher compared to LIFO on December 31, 2011.</w:t>
      </w:r>
    </w:p>
    <w:p w14:paraId="11EAE137" w14:textId="309667B3" w:rsidR="00B813B3" w:rsidRDefault="00B813B3" w:rsidP="009436DA">
      <w:pPr>
        <w:rPr>
          <w:rFonts w:ascii="Lucida Console" w:eastAsiaTheme="minorEastAsia" w:hAnsi="Lucida Console"/>
          <w:lang w:val="en-US"/>
        </w:rPr>
      </w:pPr>
      <w:r>
        <w:rPr>
          <w:rFonts w:ascii="Lucida Console" w:eastAsiaTheme="minorEastAsia" w:hAnsi="Lucida Console"/>
          <w:lang w:val="en-US"/>
        </w:rPr>
        <w:t>Thus, the stock value under FIFO would have been $532.6 + $119.8 = $652.4 million.</w:t>
      </w:r>
    </w:p>
    <w:p w14:paraId="5B8D5984" w14:textId="343C95FD" w:rsidR="00B813B3" w:rsidRDefault="0009180E" w:rsidP="009436DA">
      <w:pPr>
        <w:rPr>
          <w:rFonts w:ascii="Lucida Console" w:eastAsiaTheme="minorEastAsia" w:hAnsi="Lucida Console"/>
          <w:lang w:val="en-US"/>
        </w:rPr>
      </w:pPr>
      <w:r>
        <w:rPr>
          <w:rFonts w:ascii="Lucida Console" w:eastAsiaTheme="minorEastAsia" w:hAnsi="Lucida Console"/>
          <w:lang w:val="en-US"/>
        </w:rPr>
        <w:t xml:space="preserve">Thus, </w:t>
      </w:r>
      <w:r w:rsidR="00B813B3">
        <w:rPr>
          <w:rFonts w:ascii="Lucida Console" w:eastAsiaTheme="minorEastAsia" w:hAnsi="Lucida Console"/>
          <w:lang w:val="en-US"/>
        </w:rPr>
        <w:t>the gross profit is $347.6 million.</w:t>
      </w:r>
    </w:p>
    <w:p w14:paraId="1E250390" w14:textId="6E57B06B" w:rsidR="00DD4196" w:rsidRDefault="00825C3D" w:rsidP="009436DA">
      <w:pPr>
        <w:rPr>
          <w:rFonts w:ascii="Lucida Console" w:eastAsiaTheme="minorEastAsia" w:hAnsi="Lucida Console"/>
          <w:lang w:val="en-US"/>
        </w:rPr>
      </w:pPr>
      <w:r>
        <w:rPr>
          <w:rFonts w:ascii="Lucida Console" w:eastAsiaTheme="minorEastAsia" w:hAnsi="Lucida Console"/>
          <w:lang w:val="en-US"/>
        </w:rPr>
        <w:t xml:space="preserve">The former method creates higher gross profit because it uses LIFO inventories and the company undergoes LIFO liquidation, which creates extremely high gross profits since their valuations are lower than their FIFO counterpart’s valuations. </w:t>
      </w:r>
    </w:p>
    <w:p w14:paraId="71E3B4DB" w14:textId="77777777" w:rsidR="00825C3D" w:rsidRDefault="00825C3D" w:rsidP="009436DA">
      <w:pPr>
        <w:rPr>
          <w:rFonts w:ascii="Lucida Console" w:eastAsiaTheme="minorEastAsia" w:hAnsi="Lucida Console"/>
          <w:lang w:val="en-US"/>
        </w:rPr>
      </w:pPr>
    </w:p>
    <w:p w14:paraId="169E7620" w14:textId="77777777" w:rsidR="0009180E" w:rsidRDefault="0009180E" w:rsidP="009436DA">
      <w:pPr>
        <w:rPr>
          <w:rFonts w:ascii="Lucida Console" w:eastAsiaTheme="minorEastAsia" w:hAnsi="Lucida Console"/>
          <w:lang w:val="en-US"/>
        </w:rPr>
      </w:pPr>
    </w:p>
    <w:p w14:paraId="2A3033A5" w14:textId="77777777" w:rsidR="00B813B3" w:rsidRDefault="00B813B3" w:rsidP="009436DA">
      <w:pPr>
        <w:rPr>
          <w:rFonts w:ascii="Lucida Console" w:eastAsiaTheme="minorEastAsia" w:hAnsi="Lucida Console"/>
          <w:lang w:val="en-US"/>
        </w:rPr>
      </w:pPr>
    </w:p>
    <w:p w14:paraId="77BF3E03" w14:textId="77777777" w:rsidR="00B813B3" w:rsidRDefault="00B813B3" w:rsidP="009436DA">
      <w:pPr>
        <w:rPr>
          <w:rFonts w:ascii="Lucida Console" w:eastAsiaTheme="minorEastAsia" w:hAnsi="Lucida Console"/>
          <w:lang w:val="en-US"/>
        </w:rPr>
      </w:pPr>
    </w:p>
    <w:sectPr w:rsidR="00B8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6A8D"/>
    <w:multiLevelType w:val="hybridMultilevel"/>
    <w:tmpl w:val="9D9A9FCA"/>
    <w:lvl w:ilvl="0" w:tplc="B84A618C">
      <w:start w:val="4"/>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32346"/>
    <w:multiLevelType w:val="hybridMultilevel"/>
    <w:tmpl w:val="AFC80392"/>
    <w:lvl w:ilvl="0" w:tplc="EC8E83E0">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2"/>
  </w:num>
  <w:num w:numId="2" w16cid:durableId="168108715">
    <w:abstractNumId w:val="7"/>
  </w:num>
  <w:num w:numId="3" w16cid:durableId="418648368">
    <w:abstractNumId w:val="4"/>
  </w:num>
  <w:num w:numId="4" w16cid:durableId="2024505201">
    <w:abstractNumId w:val="8"/>
  </w:num>
  <w:num w:numId="5" w16cid:durableId="1117413267">
    <w:abstractNumId w:val="5"/>
  </w:num>
  <w:num w:numId="6" w16cid:durableId="2083914570">
    <w:abstractNumId w:val="1"/>
  </w:num>
  <w:num w:numId="7" w16cid:durableId="448856857">
    <w:abstractNumId w:val="6"/>
  </w:num>
  <w:num w:numId="8" w16cid:durableId="1222903850">
    <w:abstractNumId w:val="3"/>
  </w:num>
  <w:num w:numId="9" w16cid:durableId="118694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0430F"/>
    <w:rsid w:val="00023065"/>
    <w:rsid w:val="000313B7"/>
    <w:rsid w:val="0005485D"/>
    <w:rsid w:val="000667B0"/>
    <w:rsid w:val="00072150"/>
    <w:rsid w:val="00077ADD"/>
    <w:rsid w:val="0009180E"/>
    <w:rsid w:val="000A030A"/>
    <w:rsid w:val="000B4697"/>
    <w:rsid w:val="000B797E"/>
    <w:rsid w:val="000C5209"/>
    <w:rsid w:val="000D12BE"/>
    <w:rsid w:val="000D214D"/>
    <w:rsid w:val="000D3B57"/>
    <w:rsid w:val="000D4AD0"/>
    <w:rsid w:val="000D77A9"/>
    <w:rsid w:val="000E38CC"/>
    <w:rsid w:val="000F0F62"/>
    <w:rsid w:val="000F3BB0"/>
    <w:rsid w:val="000F4AE8"/>
    <w:rsid w:val="000F7E31"/>
    <w:rsid w:val="001013F5"/>
    <w:rsid w:val="00107A8A"/>
    <w:rsid w:val="001101C5"/>
    <w:rsid w:val="001111F6"/>
    <w:rsid w:val="00117B6E"/>
    <w:rsid w:val="00122568"/>
    <w:rsid w:val="001344C5"/>
    <w:rsid w:val="001465F8"/>
    <w:rsid w:val="0015322A"/>
    <w:rsid w:val="0016049B"/>
    <w:rsid w:val="00160EA9"/>
    <w:rsid w:val="00174B60"/>
    <w:rsid w:val="00187E6C"/>
    <w:rsid w:val="00190AA6"/>
    <w:rsid w:val="00195B68"/>
    <w:rsid w:val="001A20FF"/>
    <w:rsid w:val="001C65C7"/>
    <w:rsid w:val="001D66ED"/>
    <w:rsid w:val="001F333C"/>
    <w:rsid w:val="00206F60"/>
    <w:rsid w:val="002247B8"/>
    <w:rsid w:val="0023389C"/>
    <w:rsid w:val="0024178D"/>
    <w:rsid w:val="00242829"/>
    <w:rsid w:val="002563E3"/>
    <w:rsid w:val="002723AC"/>
    <w:rsid w:val="002748EC"/>
    <w:rsid w:val="002867A6"/>
    <w:rsid w:val="002A22CA"/>
    <w:rsid w:val="002A25B9"/>
    <w:rsid w:val="002A7440"/>
    <w:rsid w:val="002B5145"/>
    <w:rsid w:val="002C1B28"/>
    <w:rsid w:val="002C3615"/>
    <w:rsid w:val="002E267F"/>
    <w:rsid w:val="002E29F2"/>
    <w:rsid w:val="002E36F2"/>
    <w:rsid w:val="002E38EA"/>
    <w:rsid w:val="002E4A09"/>
    <w:rsid w:val="002E7F10"/>
    <w:rsid w:val="002F4B4C"/>
    <w:rsid w:val="002F5C73"/>
    <w:rsid w:val="002F62E2"/>
    <w:rsid w:val="00305878"/>
    <w:rsid w:val="00361A54"/>
    <w:rsid w:val="003721BD"/>
    <w:rsid w:val="003757E7"/>
    <w:rsid w:val="00380651"/>
    <w:rsid w:val="00380C21"/>
    <w:rsid w:val="0039791E"/>
    <w:rsid w:val="003A0609"/>
    <w:rsid w:val="003A52C1"/>
    <w:rsid w:val="003C5632"/>
    <w:rsid w:val="003E4756"/>
    <w:rsid w:val="003F764A"/>
    <w:rsid w:val="004008E8"/>
    <w:rsid w:val="0040314D"/>
    <w:rsid w:val="004040A2"/>
    <w:rsid w:val="004162A7"/>
    <w:rsid w:val="00420353"/>
    <w:rsid w:val="00424562"/>
    <w:rsid w:val="0043078F"/>
    <w:rsid w:val="0043176D"/>
    <w:rsid w:val="00433DF0"/>
    <w:rsid w:val="00437EEC"/>
    <w:rsid w:val="00442547"/>
    <w:rsid w:val="00460AA9"/>
    <w:rsid w:val="00461FC9"/>
    <w:rsid w:val="00472617"/>
    <w:rsid w:val="00492114"/>
    <w:rsid w:val="004A69AA"/>
    <w:rsid w:val="004A7E0F"/>
    <w:rsid w:val="004B5734"/>
    <w:rsid w:val="004B66BA"/>
    <w:rsid w:val="004C14EF"/>
    <w:rsid w:val="004D7795"/>
    <w:rsid w:val="004F1ADD"/>
    <w:rsid w:val="00516CE0"/>
    <w:rsid w:val="0052613F"/>
    <w:rsid w:val="005371A1"/>
    <w:rsid w:val="0054417F"/>
    <w:rsid w:val="00551045"/>
    <w:rsid w:val="005563E0"/>
    <w:rsid w:val="00556FB9"/>
    <w:rsid w:val="00567D83"/>
    <w:rsid w:val="00590037"/>
    <w:rsid w:val="005908DF"/>
    <w:rsid w:val="00594253"/>
    <w:rsid w:val="005D0D8D"/>
    <w:rsid w:val="005D5890"/>
    <w:rsid w:val="005E001B"/>
    <w:rsid w:val="005E173E"/>
    <w:rsid w:val="005F2E80"/>
    <w:rsid w:val="005F5EFB"/>
    <w:rsid w:val="006011CA"/>
    <w:rsid w:val="00614DAC"/>
    <w:rsid w:val="0063711E"/>
    <w:rsid w:val="00644569"/>
    <w:rsid w:val="0064606A"/>
    <w:rsid w:val="00652061"/>
    <w:rsid w:val="0066335A"/>
    <w:rsid w:val="00673B91"/>
    <w:rsid w:val="00682A02"/>
    <w:rsid w:val="00684ACC"/>
    <w:rsid w:val="00684EC2"/>
    <w:rsid w:val="006857A6"/>
    <w:rsid w:val="00686C6C"/>
    <w:rsid w:val="006933A2"/>
    <w:rsid w:val="00693609"/>
    <w:rsid w:val="00694612"/>
    <w:rsid w:val="006965EE"/>
    <w:rsid w:val="00696884"/>
    <w:rsid w:val="006A2864"/>
    <w:rsid w:val="006B332E"/>
    <w:rsid w:val="006C1FCA"/>
    <w:rsid w:val="006C61F7"/>
    <w:rsid w:val="006D23C1"/>
    <w:rsid w:val="006D33D3"/>
    <w:rsid w:val="006D6F00"/>
    <w:rsid w:val="00710AC6"/>
    <w:rsid w:val="00730A94"/>
    <w:rsid w:val="00731448"/>
    <w:rsid w:val="007333DB"/>
    <w:rsid w:val="00734369"/>
    <w:rsid w:val="00737F24"/>
    <w:rsid w:val="00741534"/>
    <w:rsid w:val="00747CF7"/>
    <w:rsid w:val="0075545C"/>
    <w:rsid w:val="00766B6C"/>
    <w:rsid w:val="007758B2"/>
    <w:rsid w:val="007A1F4E"/>
    <w:rsid w:val="007B4FF9"/>
    <w:rsid w:val="007D4397"/>
    <w:rsid w:val="007D6FD1"/>
    <w:rsid w:val="007E0DDF"/>
    <w:rsid w:val="007F5A5C"/>
    <w:rsid w:val="00802EE3"/>
    <w:rsid w:val="008041B5"/>
    <w:rsid w:val="008078D8"/>
    <w:rsid w:val="008149A0"/>
    <w:rsid w:val="00825C3D"/>
    <w:rsid w:val="00826DE6"/>
    <w:rsid w:val="00827562"/>
    <w:rsid w:val="00836D21"/>
    <w:rsid w:val="00856331"/>
    <w:rsid w:val="008578B3"/>
    <w:rsid w:val="00874356"/>
    <w:rsid w:val="00880467"/>
    <w:rsid w:val="00892F18"/>
    <w:rsid w:val="008A1944"/>
    <w:rsid w:val="008C28D1"/>
    <w:rsid w:val="008D1B91"/>
    <w:rsid w:val="00903499"/>
    <w:rsid w:val="0090675F"/>
    <w:rsid w:val="009137BA"/>
    <w:rsid w:val="00915EDE"/>
    <w:rsid w:val="0092096F"/>
    <w:rsid w:val="00926FAC"/>
    <w:rsid w:val="00927A71"/>
    <w:rsid w:val="009303D5"/>
    <w:rsid w:val="0093062C"/>
    <w:rsid w:val="00933FF7"/>
    <w:rsid w:val="009413AC"/>
    <w:rsid w:val="009436DA"/>
    <w:rsid w:val="00953C59"/>
    <w:rsid w:val="00954E67"/>
    <w:rsid w:val="0095559E"/>
    <w:rsid w:val="00957F48"/>
    <w:rsid w:val="009630EB"/>
    <w:rsid w:val="0096337D"/>
    <w:rsid w:val="009650C9"/>
    <w:rsid w:val="009658EF"/>
    <w:rsid w:val="00982BF1"/>
    <w:rsid w:val="009924C5"/>
    <w:rsid w:val="009A32EC"/>
    <w:rsid w:val="009B1A77"/>
    <w:rsid w:val="009B4FD0"/>
    <w:rsid w:val="009C7064"/>
    <w:rsid w:val="009C7B5C"/>
    <w:rsid w:val="009D1A0F"/>
    <w:rsid w:val="009D65BF"/>
    <w:rsid w:val="009E228C"/>
    <w:rsid w:val="009F0A5F"/>
    <w:rsid w:val="009F667C"/>
    <w:rsid w:val="009F68DD"/>
    <w:rsid w:val="00A22331"/>
    <w:rsid w:val="00A22886"/>
    <w:rsid w:val="00A338AA"/>
    <w:rsid w:val="00A3760C"/>
    <w:rsid w:val="00A520D2"/>
    <w:rsid w:val="00A57F39"/>
    <w:rsid w:val="00A76CC2"/>
    <w:rsid w:val="00A80C1D"/>
    <w:rsid w:val="00A84745"/>
    <w:rsid w:val="00A85186"/>
    <w:rsid w:val="00AA3771"/>
    <w:rsid w:val="00AB237D"/>
    <w:rsid w:val="00AC256C"/>
    <w:rsid w:val="00AC3FF1"/>
    <w:rsid w:val="00AE0ACE"/>
    <w:rsid w:val="00AE6311"/>
    <w:rsid w:val="00AF264A"/>
    <w:rsid w:val="00B0111F"/>
    <w:rsid w:val="00B011B2"/>
    <w:rsid w:val="00B05453"/>
    <w:rsid w:val="00B33B34"/>
    <w:rsid w:val="00B351EA"/>
    <w:rsid w:val="00B537D7"/>
    <w:rsid w:val="00B54607"/>
    <w:rsid w:val="00B77FDA"/>
    <w:rsid w:val="00B80043"/>
    <w:rsid w:val="00B80DE8"/>
    <w:rsid w:val="00B813B3"/>
    <w:rsid w:val="00B93E69"/>
    <w:rsid w:val="00BA264C"/>
    <w:rsid w:val="00BA3A72"/>
    <w:rsid w:val="00BB0E09"/>
    <w:rsid w:val="00BB759A"/>
    <w:rsid w:val="00BD0714"/>
    <w:rsid w:val="00BD25A1"/>
    <w:rsid w:val="00BD3707"/>
    <w:rsid w:val="00BD462D"/>
    <w:rsid w:val="00BD5F48"/>
    <w:rsid w:val="00BE691A"/>
    <w:rsid w:val="00BF39B4"/>
    <w:rsid w:val="00BF405D"/>
    <w:rsid w:val="00BF7029"/>
    <w:rsid w:val="00BF7480"/>
    <w:rsid w:val="00BF7D39"/>
    <w:rsid w:val="00C03E03"/>
    <w:rsid w:val="00C207F9"/>
    <w:rsid w:val="00C42DB7"/>
    <w:rsid w:val="00C43288"/>
    <w:rsid w:val="00C45376"/>
    <w:rsid w:val="00C46401"/>
    <w:rsid w:val="00C66DB4"/>
    <w:rsid w:val="00C802DA"/>
    <w:rsid w:val="00C827B8"/>
    <w:rsid w:val="00C8760A"/>
    <w:rsid w:val="00CA55F6"/>
    <w:rsid w:val="00CB5353"/>
    <w:rsid w:val="00CB69F0"/>
    <w:rsid w:val="00CD0087"/>
    <w:rsid w:val="00CD6A95"/>
    <w:rsid w:val="00CE2B3C"/>
    <w:rsid w:val="00CF37FB"/>
    <w:rsid w:val="00CF580F"/>
    <w:rsid w:val="00D346B7"/>
    <w:rsid w:val="00D568FA"/>
    <w:rsid w:val="00D7604C"/>
    <w:rsid w:val="00D774B7"/>
    <w:rsid w:val="00D92BC8"/>
    <w:rsid w:val="00DA475F"/>
    <w:rsid w:val="00DD4196"/>
    <w:rsid w:val="00DE00D4"/>
    <w:rsid w:val="00DE15C8"/>
    <w:rsid w:val="00DF34FE"/>
    <w:rsid w:val="00DF7F66"/>
    <w:rsid w:val="00E0112B"/>
    <w:rsid w:val="00E04D1E"/>
    <w:rsid w:val="00E224B5"/>
    <w:rsid w:val="00E24408"/>
    <w:rsid w:val="00E305CC"/>
    <w:rsid w:val="00E314F0"/>
    <w:rsid w:val="00E37892"/>
    <w:rsid w:val="00E4212F"/>
    <w:rsid w:val="00E626C5"/>
    <w:rsid w:val="00E65788"/>
    <w:rsid w:val="00E67546"/>
    <w:rsid w:val="00E73BBD"/>
    <w:rsid w:val="00E758F0"/>
    <w:rsid w:val="00E81F66"/>
    <w:rsid w:val="00E91132"/>
    <w:rsid w:val="00E92DF5"/>
    <w:rsid w:val="00EA6656"/>
    <w:rsid w:val="00EA763A"/>
    <w:rsid w:val="00EB045B"/>
    <w:rsid w:val="00EC433F"/>
    <w:rsid w:val="00ED341D"/>
    <w:rsid w:val="00ED4B14"/>
    <w:rsid w:val="00EE0B3A"/>
    <w:rsid w:val="00EE6E1E"/>
    <w:rsid w:val="00EF0A32"/>
    <w:rsid w:val="00EF2EB2"/>
    <w:rsid w:val="00EF61F2"/>
    <w:rsid w:val="00F05C9F"/>
    <w:rsid w:val="00F118F0"/>
    <w:rsid w:val="00F150B0"/>
    <w:rsid w:val="00F37D03"/>
    <w:rsid w:val="00F55A6F"/>
    <w:rsid w:val="00F8686E"/>
    <w:rsid w:val="00F95DDA"/>
    <w:rsid w:val="00FA02AB"/>
    <w:rsid w:val="00FB0971"/>
    <w:rsid w:val="00FB509F"/>
    <w:rsid w:val="00FC38F7"/>
    <w:rsid w:val="00FC3966"/>
    <w:rsid w:val="00FD202E"/>
    <w:rsid w:val="00FD239A"/>
    <w:rsid w:val="00FD5E1D"/>
    <w:rsid w:val="00FE26F3"/>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287</cp:revision>
  <cp:lastPrinted>2025-07-23T13:30:00Z</cp:lastPrinted>
  <dcterms:created xsi:type="dcterms:W3CDTF">2025-07-23T06:24:00Z</dcterms:created>
  <dcterms:modified xsi:type="dcterms:W3CDTF">2025-07-25T12:31:00Z</dcterms:modified>
</cp:coreProperties>
</file>