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52A1" w14:textId="77A22864" w:rsidR="0082692B" w:rsidRDefault="00C14A89">
      <w:pPr>
        <w:rPr>
          <w:sz w:val="28"/>
          <w:szCs w:val="28"/>
        </w:rPr>
      </w:pPr>
      <w:r>
        <w:rPr>
          <w:sz w:val="28"/>
          <w:szCs w:val="28"/>
        </w:rPr>
        <w:t>The values are as follows:</w:t>
      </w:r>
    </w:p>
    <w:p w14:paraId="1AF476EA" w14:textId="118768D1" w:rsidR="00C14A89" w:rsidRPr="00C14A89" w:rsidRDefault="00C14A8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Accounts Receivable Turnover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2010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35,088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6,668+6,106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=5.5</m:t>
          </m:r>
        </m:oMath>
      </m:oMathPara>
    </w:p>
    <w:p w14:paraId="6C62BF17" w14:textId="62CE4686" w:rsidR="00C14A89" w:rsidRPr="00C14A89" w:rsidRDefault="00C14A8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Average collection period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2010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365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Accounts Receivable Turnover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=66.36</m:t>
          </m:r>
        </m:oMath>
      </m:oMathPara>
    </w:p>
    <w:p w14:paraId="5BAF2BB9" w14:textId="364DE389" w:rsidR="00C14A89" w:rsidRPr="00C14A89" w:rsidRDefault="00C14A89" w:rsidP="00C14A8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Accounts Receivable Turnover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201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36, 528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6,668+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061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5.32</m:t>
          </m:r>
        </m:oMath>
      </m:oMathPara>
    </w:p>
    <w:p w14:paraId="07991DA3" w14:textId="2178BE2B" w:rsidR="00C14A89" w:rsidRPr="00C14A89" w:rsidRDefault="00C14A89" w:rsidP="00C14A8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Average collection period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201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365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Accounts Receivable Turnover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=6</m:t>
          </m:r>
          <m:r>
            <w:rPr>
              <w:rFonts w:ascii="Cambria Math" w:eastAsiaTheme="minorEastAsia" w:hAnsi="Cambria Math"/>
              <w:sz w:val="28"/>
              <w:szCs w:val="28"/>
            </w:rPr>
            <m:t>8.06</m:t>
          </m:r>
        </m:oMath>
      </m:oMathPara>
    </w:p>
    <w:p w14:paraId="613CED8E" w14:textId="77777777" w:rsidR="00C14A89" w:rsidRDefault="00C14A89" w:rsidP="00C14A8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Bayer’s ratio decreases slightly in 2011 compared to 2010, indicating a corresponding slight increase in average collection period. </w:t>
      </w:r>
    </w:p>
    <w:p w14:paraId="7AF17D92" w14:textId="1C046044" w:rsidR="00C14A89" w:rsidRPr="00C14A89" w:rsidRDefault="00C14A89" w:rsidP="00C14A8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This indicates the fact that Bayer Group has deteriorated in their ability to collect the revenues again. Thus, we see that the company’s performance in this aspect has decreased a bit.</w:t>
      </w:r>
    </w:p>
    <w:p w14:paraId="563B76BA" w14:textId="77777777" w:rsidR="00C14A89" w:rsidRPr="00331C51" w:rsidRDefault="00C14A89">
      <w:pPr>
        <w:rPr>
          <w:sz w:val="28"/>
          <w:szCs w:val="28"/>
        </w:rPr>
      </w:pPr>
    </w:p>
    <w:sectPr w:rsidR="00C14A89" w:rsidRPr="00331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2B"/>
    <w:rsid w:val="00331C51"/>
    <w:rsid w:val="00561140"/>
    <w:rsid w:val="0082692B"/>
    <w:rsid w:val="008443DB"/>
    <w:rsid w:val="00C1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EF7C"/>
  <w15:chartTrackingRefBased/>
  <w15:docId w15:val="{3AEE7FAD-8E87-4DCE-9E47-DCDFEAD4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92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14A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4</cp:revision>
  <dcterms:created xsi:type="dcterms:W3CDTF">2025-06-16T12:16:00Z</dcterms:created>
  <dcterms:modified xsi:type="dcterms:W3CDTF">2025-06-17T13:03:00Z</dcterms:modified>
</cp:coreProperties>
</file>