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9870" w:type="dxa"/>
        <w:jc w:val="left"/>
        <w:tblInd w:w="0" w:type="dxa"/>
        <w:tblBorders>
          <w:top w:val="single" w:sz="4" w:space="0" w:color="000000"/>
          <w:left w:val="single" w:sz="4" w:space="0" w:color="000000"/>
          <w:bottom w:val="single" w:sz="4" w:space="0" w:color="000000"/>
          <w:insideH w:val="single" w:sz="4" w:space="0" w:color="000000"/>
        </w:tblBorders>
        <w:tblCellMar>
          <w:top w:w="55" w:type="dxa"/>
          <w:left w:w="50" w:type="dxa"/>
          <w:bottom w:w="55" w:type="dxa"/>
          <w:right w:w="55" w:type="dxa"/>
        </w:tblCellMar>
        <w:tblLook w:noVBand="0" w:val="0000" w:noHBand="0" w:lastColumn="0" w:firstColumn="0" w:lastRow="0" w:firstRow="0"/>
      </w:tblPr>
      <w:tblGrid>
        <w:gridCol w:w="1387"/>
        <w:gridCol w:w="8482"/>
      </w:tblGrid>
      <w:tr>
        <w:trPr>
          <w:trHeight w:val="6" w:hRule="atLeast"/>
        </w:trPr>
        <w:tc>
          <w:tcPr>
            <w:tcW w:w="1387" w:type="dxa"/>
            <w:vMerge w:val="restart"/>
            <w:tcBorders>
              <w:top w:val="single" w:sz="4" w:space="0" w:color="000000"/>
              <w:left w:val="single" w:sz="4" w:space="0" w:color="000000"/>
              <w:bottom w:val="single" w:sz="4" w:space="0" w:color="000000"/>
              <w:insideH w:val="single" w:sz="4" w:space="0" w:color="000000"/>
            </w:tcBorders>
            <w:shd w:fill="auto" w:val="clear"/>
          </w:tcPr>
          <w:p>
            <w:pPr>
              <w:pStyle w:val="Contenutotabella"/>
              <w:jc w:val="center"/>
              <w:rPr>
                <w:rFonts w:ascii="Times New Roman" w:hAnsi="Times New Roman"/>
                <w:b/>
                <w:b/>
                <w:bCs/>
                <w:sz w:val="21"/>
                <w:szCs w:val="21"/>
              </w:rPr>
            </w:pPr>
            <w:r>
              <w:rPr/>
              <w:drawing>
                <wp:inline distT="0" distB="0" distL="0" distR="0">
                  <wp:extent cx="799465" cy="799465"/>
                  <wp:effectExtent l="0" t="0" r="0" b="0"/>
                  <wp:docPr id="1" name="Immagin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descr=""/>
                          <pic:cNvPicPr>
                            <a:picLocks noChangeAspect="1" noChangeArrowheads="1"/>
                          </pic:cNvPicPr>
                        </pic:nvPicPr>
                        <pic:blipFill>
                          <a:blip r:embed="rId2"/>
                          <a:stretch>
                            <a:fillRect/>
                          </a:stretch>
                        </pic:blipFill>
                        <pic:spPr bwMode="auto">
                          <a:xfrm>
                            <a:off x="0" y="0"/>
                            <a:ext cx="799465" cy="799465"/>
                          </a:xfrm>
                          <a:prstGeom prst="rect">
                            <a:avLst/>
                          </a:prstGeom>
                        </pic:spPr>
                      </pic:pic>
                    </a:graphicData>
                  </a:graphic>
                </wp:inline>
              </w:drawing>
            </w:r>
          </w:p>
        </w:tc>
        <w:tc>
          <w:tcPr>
            <w:tcW w:w="848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Contenutotabella"/>
              <w:rPr>
                <w:sz w:val="22"/>
                <w:szCs w:val="22"/>
              </w:rPr>
            </w:pPr>
            <w:r>
              <w:rPr>
                <w:rFonts w:ascii="Times New Roman" w:hAnsi="Times New Roman"/>
                <w:b/>
                <w:bCs/>
                <w:i/>
                <w:iCs/>
                <w:sz w:val="22"/>
                <w:szCs w:val="22"/>
              </w:rPr>
              <w:t>QMRF identifier (JRC Inventory):</w:t>
            </w:r>
            <w:r>
              <w:rPr>
                <w:rFonts w:ascii="Times New Roman" w:hAnsi="Times New Roman"/>
                <w:b/>
                <w:bCs/>
                <w:sz w:val="22"/>
                <w:szCs w:val="22"/>
              </w:rPr>
              <w:t xml:space="preserve"> To be entered by JRC</w:t>
            </w:r>
          </w:p>
        </w:tc>
      </w:tr>
      <w:tr>
        <w:trPr>
          <w:trHeight w:val="6" w:hRule="atLeast"/>
        </w:trPr>
        <w:tc>
          <w:tcPr>
            <w:tcW w:w="1387" w:type="dxa"/>
            <w:vMerge w:val="continue"/>
            <w:tcBorders>
              <w:top w:val="single" w:sz="4" w:space="0" w:color="000000"/>
              <w:left w:val="single" w:sz="4" w:space="0" w:color="000000"/>
              <w:bottom w:val="single" w:sz="4" w:space="0" w:color="000000"/>
              <w:insideH w:val="single" w:sz="4" w:space="0" w:color="000000"/>
            </w:tcBorders>
            <w:shd w:fill="auto" w:val="clear"/>
          </w:tcPr>
          <w:p>
            <w:pPr>
              <w:pStyle w:val="Contenutotabella"/>
              <w:rPr>
                <w:rFonts w:ascii="Times New Roman" w:hAnsi="Times New Roman"/>
                <w:b/>
                <w:b/>
                <w:bCs/>
                <w:sz w:val="21"/>
                <w:szCs w:val="21"/>
              </w:rPr>
            </w:pPr>
            <w:r>
              <w:rPr>
                <w:rFonts w:ascii="Times New Roman" w:hAnsi="Times New Roman"/>
                <w:b/>
                <w:bCs/>
                <w:sz w:val="21"/>
                <w:szCs w:val="21"/>
              </w:rPr>
            </w:r>
          </w:p>
        </w:tc>
        <w:tc>
          <w:tcPr>
            <w:tcW w:w="848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Contenutotabella"/>
              <w:rPr/>
            </w:pPr>
            <w:r>
              <w:rPr>
                <w:rFonts w:ascii="Times New Roman" w:hAnsi="Times New Roman"/>
                <w:b/>
                <w:bCs/>
                <w:i/>
                <w:iCs/>
                <w:sz w:val="22"/>
                <w:szCs w:val="22"/>
              </w:rPr>
              <w:t>QMRF Title</w:t>
            </w:r>
            <w:r>
              <w:rPr>
                <w:rFonts w:eastAsia="DejaVu Sans" w:cs="FreeSans" w:ascii="Times New Roman" w:hAnsi="Times New Roman"/>
                <w:b/>
                <w:bCs/>
                <w:i/>
                <w:iCs/>
                <w:color w:val="auto"/>
                <w:kern w:val="2"/>
                <w:sz w:val="22"/>
                <w:szCs w:val="22"/>
                <w:lang w:val="en-US" w:eastAsia="zh-CN" w:bidi="hi-IN"/>
              </w:rPr>
              <w:t>:</w:t>
            </w:r>
            <w:r>
              <w:rPr>
                <w:rFonts w:eastAsia="DejaVu Sans" w:cs="FreeSans" w:ascii="Times New Roman" w:hAnsi="Times New Roman"/>
                <w:b/>
                <w:bCs/>
                <w:color w:val="auto"/>
                <w:kern w:val="2"/>
                <w:sz w:val="22"/>
                <w:szCs w:val="22"/>
                <w:lang w:val="en-US" w:eastAsia="zh-CN" w:bidi="hi-IN"/>
              </w:rPr>
              <w:t xml:space="preserve"> Mutagenicity (Ames test) model (CAESAR) </w:t>
            </w:r>
            <w:r>
              <w:rPr>
                <w:rFonts w:eastAsia="DejaVu Sans" w:cs="FreeSans" w:ascii="Times New Roman" w:hAnsi="Times New Roman"/>
                <w:b/>
                <w:bCs/>
                <w:color w:val="auto"/>
                <w:kern w:val="2"/>
                <w:sz w:val="22"/>
                <w:szCs w:val="22"/>
                <w:lang w:val="en-US" w:eastAsia="zh-CN" w:bidi="hi-IN"/>
              </w:rPr>
              <w:t xml:space="preserve">- </w:t>
            </w:r>
            <w:r>
              <w:rPr>
                <w:rFonts w:eastAsia="DejaVu Sans" w:cs="FreeSans" w:ascii="Times New Roman" w:hAnsi="Times New Roman"/>
                <w:b/>
                <w:bCs/>
                <w:color w:val="auto"/>
                <w:kern w:val="2"/>
                <w:sz w:val="22"/>
                <w:szCs w:val="22"/>
                <w:lang w:val="en-US" w:eastAsia="zh-CN" w:bidi="hi-IN"/>
              </w:rPr>
              <w:t>version 2.1.13</w:t>
            </w:r>
          </w:p>
        </w:tc>
      </w:tr>
      <w:tr>
        <w:trPr>
          <w:trHeight w:val="6" w:hRule="atLeast"/>
        </w:trPr>
        <w:tc>
          <w:tcPr>
            <w:tcW w:w="1387" w:type="dxa"/>
            <w:vMerge w:val="continue"/>
            <w:tcBorders>
              <w:top w:val="single" w:sz="4" w:space="0" w:color="000000"/>
              <w:left w:val="single" w:sz="4" w:space="0" w:color="000000"/>
              <w:bottom w:val="single" w:sz="4" w:space="0" w:color="000000"/>
              <w:insideH w:val="single" w:sz="4" w:space="0" w:color="000000"/>
            </w:tcBorders>
            <w:shd w:fill="auto" w:val="clear"/>
          </w:tcPr>
          <w:p>
            <w:pPr>
              <w:pStyle w:val="Contenutotabella"/>
              <w:rPr>
                <w:rFonts w:ascii="Times New Roman" w:hAnsi="Times New Roman"/>
                <w:b/>
                <w:b/>
                <w:bCs/>
                <w:sz w:val="21"/>
                <w:szCs w:val="21"/>
              </w:rPr>
            </w:pPr>
            <w:r>
              <w:rPr>
                <w:rFonts w:ascii="Times New Roman" w:hAnsi="Times New Roman"/>
                <w:b/>
                <w:bCs/>
                <w:sz w:val="21"/>
                <w:szCs w:val="21"/>
              </w:rPr>
            </w:r>
          </w:p>
        </w:tc>
        <w:tc>
          <w:tcPr>
            <w:tcW w:w="848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Contenutotabella"/>
              <w:rPr/>
            </w:pPr>
            <w:r>
              <w:rPr>
                <w:rFonts w:ascii="Times New Roman" w:hAnsi="Times New Roman"/>
                <w:b/>
                <w:bCs/>
                <w:i/>
                <w:iCs/>
                <w:sz w:val="22"/>
                <w:szCs w:val="22"/>
              </w:rPr>
              <w:t>Printing Date:</w:t>
            </w:r>
            <w:r>
              <w:rPr>
                <w:rFonts w:ascii="Times New Roman" w:hAnsi="Times New Roman"/>
                <w:b/>
                <w:bCs/>
                <w:i/>
                <w:iCs/>
              </w:rPr>
              <w:t xml:space="preserve"> </w:t>
            </w:r>
            <w:r>
              <w:rPr>
                <w:rFonts w:ascii="Times New Roman" w:hAnsi="Times New Roman"/>
                <w:b/>
                <w:bCs/>
                <w:i w:val="false"/>
                <w:iCs w:val="false"/>
                <w:sz w:val="22"/>
                <w:szCs w:val="22"/>
              </w:rPr>
              <w:t>15-04-2021</w:t>
            </w:r>
          </w:p>
        </w:tc>
      </w:tr>
      <w:tr>
        <w:trPr>
          <w:trHeight w:val="6" w:hRule="atLeast"/>
        </w:trPr>
        <w:tc>
          <w:tcPr>
            <w:tcW w:w="1387" w:type="dxa"/>
            <w:vMerge w:val="continue"/>
            <w:tcBorders>
              <w:top w:val="single" w:sz="4" w:space="0" w:color="000000"/>
              <w:left w:val="single" w:sz="4" w:space="0" w:color="000000"/>
              <w:bottom w:val="single" w:sz="4" w:space="0" w:color="000000"/>
              <w:insideH w:val="single" w:sz="4" w:space="0" w:color="000000"/>
            </w:tcBorders>
            <w:shd w:fill="auto" w:val="clear"/>
          </w:tcPr>
          <w:p>
            <w:pPr>
              <w:pStyle w:val="Contenutotabella"/>
              <w:rPr>
                <w:rFonts w:ascii="Times New Roman" w:hAnsi="Times New Roman"/>
                <w:b/>
                <w:b/>
                <w:bCs/>
                <w:sz w:val="21"/>
                <w:szCs w:val="21"/>
              </w:rPr>
            </w:pPr>
            <w:r>
              <w:rPr>
                <w:rFonts w:ascii="Times New Roman" w:hAnsi="Times New Roman"/>
                <w:b/>
                <w:bCs/>
                <w:sz w:val="21"/>
                <w:szCs w:val="21"/>
              </w:rPr>
            </w:r>
          </w:p>
        </w:tc>
        <w:tc>
          <w:tcPr>
            <w:tcW w:w="848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Contenutotabella"/>
              <w:rPr>
                <w:rFonts w:ascii="Times New Roman" w:hAnsi="Times New Roman"/>
                <w:b/>
                <w:b/>
                <w:bCs/>
                <w:sz w:val="21"/>
                <w:szCs w:val="21"/>
              </w:rPr>
            </w:pPr>
            <w:r>
              <w:rPr>
                <w:rFonts w:ascii="Times New Roman" w:hAnsi="Times New Roman"/>
                <w:b/>
                <w:bCs/>
                <w:sz w:val="21"/>
                <w:szCs w:val="21"/>
              </w:rPr>
            </w:r>
          </w:p>
        </w:tc>
      </w:tr>
    </w:tbl>
    <w:p>
      <w:pPr>
        <w:pStyle w:val="Corpodeltesto"/>
        <w:spacing w:lineRule="auto" w:line="240"/>
        <w:rPr>
          <w:rFonts w:ascii="Times New Roman" w:hAnsi="Times New Roman"/>
          <w:b/>
          <w:b/>
          <w:bCs/>
        </w:rPr>
      </w:pPr>
      <w:r>
        <w:rPr>
          <w:rFonts w:ascii="Times New Roman" w:hAnsi="Times New Roman"/>
          <w:b/>
          <w:bCs/>
        </w:rPr>
      </w:r>
    </w:p>
    <w:tbl>
      <w:tblPr>
        <w:tblW w:w="987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50" w:type="dxa"/>
          <w:bottom w:w="55" w:type="dxa"/>
          <w:right w:w="55" w:type="dxa"/>
        </w:tblCellMar>
        <w:tblLook w:noVBand="0" w:val="0000" w:noHBand="0" w:lastColumn="0" w:firstColumn="0" w:lastRow="0" w:firstRow="0"/>
      </w:tblPr>
      <w:tblGrid>
        <w:gridCol w:w="9870"/>
      </w:tblGrid>
      <w:tr>
        <w:trPr>
          <w:trHeight w:val="6" w:hRule="atLeast"/>
        </w:trPr>
        <w:tc>
          <w:tcPr>
            <w:tcW w:w="98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DDDDDD" w:val="clear"/>
          </w:tcPr>
          <w:p>
            <w:pPr>
              <w:pStyle w:val="Contenutotabella"/>
              <w:rPr>
                <w:sz w:val="22"/>
                <w:szCs w:val="22"/>
              </w:rPr>
            </w:pPr>
            <w:r>
              <w:rPr>
                <w:rFonts w:ascii="Times New Roman" w:hAnsi="Times New Roman"/>
                <w:b/>
                <w:bCs/>
                <w:sz w:val="22"/>
                <w:szCs w:val="22"/>
              </w:rPr>
              <w:t>1.QSAR identifier</w:t>
            </w:r>
          </w:p>
        </w:tc>
      </w:tr>
    </w:tbl>
    <w:p>
      <w:pPr>
        <w:pStyle w:val="Contenutotabella"/>
        <w:spacing w:lineRule="auto" w:line="276" w:before="57" w:after="0"/>
        <w:rPr/>
      </w:pPr>
      <w:r>
        <w:rPr>
          <w:rFonts w:ascii="Times New Roman" w:hAnsi="Times New Roman"/>
          <w:b/>
          <w:sz w:val="22"/>
          <w:szCs w:val="22"/>
        </w:rPr>
        <w:t>1.1.QSAR identifier (title):</w:t>
      </w:r>
    </w:p>
    <w:p>
      <w:pPr>
        <w:pStyle w:val="Contenutotabella"/>
        <w:spacing w:lineRule="auto" w:line="276" w:before="57" w:after="0"/>
        <w:ind w:left="340" w:hanging="0"/>
        <w:rPr/>
      </w:pPr>
      <w:r>
        <w:rPr>
          <w:rFonts w:ascii="Arial" w:hAnsi="Arial"/>
          <w:sz w:val="20"/>
          <w:szCs w:val="20"/>
        </w:rPr>
        <w:t xml:space="preserve">Mutagenicity (Ames test) model (CAESAR) </w:t>
      </w:r>
      <w:r>
        <w:rPr>
          <w:rFonts w:ascii="Arial" w:hAnsi="Arial"/>
          <w:sz w:val="20"/>
          <w:szCs w:val="20"/>
        </w:rPr>
        <w:t xml:space="preserve">- </w:t>
      </w:r>
      <w:r>
        <w:rPr>
          <w:rFonts w:ascii="Arial" w:hAnsi="Arial"/>
          <w:sz w:val="20"/>
          <w:szCs w:val="20"/>
        </w:rPr>
        <w:t>version 2.1.13</w:t>
      </w:r>
    </w:p>
    <w:p>
      <w:pPr>
        <w:pStyle w:val="Contenutotabella"/>
        <w:spacing w:lineRule="auto" w:line="276" w:before="57" w:after="0"/>
        <w:rPr>
          <w:rFonts w:ascii="Times New Roman" w:hAnsi="Times New Roman"/>
          <w:b/>
          <w:b/>
          <w:sz w:val="22"/>
          <w:szCs w:val="22"/>
        </w:rPr>
      </w:pPr>
      <w:r>
        <w:rPr>
          <w:rFonts w:ascii="Times New Roman" w:hAnsi="Times New Roman"/>
          <w:b/>
          <w:sz w:val="22"/>
          <w:szCs w:val="22"/>
        </w:rPr>
        <w:t>1.2.Other related models:</w:t>
      </w:r>
    </w:p>
    <w:p>
      <w:pPr>
        <w:pStyle w:val="Contenutotabella"/>
        <w:spacing w:lineRule="auto" w:line="276" w:before="57" w:after="0"/>
        <w:ind w:left="340" w:hanging="0"/>
        <w:rPr>
          <w:rFonts w:ascii="Arial" w:hAnsi="Arial"/>
          <w:sz w:val="20"/>
          <w:szCs w:val="20"/>
        </w:rPr>
      </w:pPr>
      <w:r>
        <w:rPr>
          <w:rFonts w:ascii="Arial" w:hAnsi="Arial"/>
          <w:sz w:val="20"/>
          <w:szCs w:val="20"/>
        </w:rPr>
        <w:t>Two models have been created and validated using a large set of molecular structures accompanied by the respective mutagenic toxicity experimental test results on Salmonella test. Model A is based on data mining with support vector machines (SVM) and Model B is based on expert knowledge coded as structural alerts (SA).</w:t>
      </w:r>
    </w:p>
    <w:p>
      <w:pPr>
        <w:pStyle w:val="Contenutotabella"/>
        <w:spacing w:lineRule="auto" w:line="276" w:before="57" w:after="0"/>
        <w:ind w:firstLine="340"/>
        <w:rPr>
          <w:rFonts w:ascii="Arial" w:hAnsi="Arial"/>
          <w:sz w:val="20"/>
          <w:szCs w:val="20"/>
        </w:rPr>
      </w:pPr>
      <w:r>
        <w:rPr>
          <w:rFonts w:ascii="Arial" w:hAnsi="Arial"/>
          <w:sz w:val="20"/>
          <w:szCs w:val="20"/>
        </w:rPr>
        <w:t>The final model C combines models A and B to achieve a better predictive performance.</w:t>
      </w:r>
    </w:p>
    <w:p>
      <w:pPr>
        <w:pStyle w:val="Contenutotabella"/>
        <w:spacing w:lineRule="auto" w:line="276" w:before="57" w:after="0"/>
        <w:ind w:firstLine="340"/>
        <w:rPr>
          <w:rFonts w:ascii="Arial" w:hAnsi="Arial"/>
          <w:sz w:val="20"/>
          <w:szCs w:val="20"/>
        </w:rPr>
      </w:pPr>
      <w:r>
        <w:rPr>
          <w:rFonts w:ascii="Times New Roman" w:hAnsi="Times New Roman"/>
          <w:b/>
          <w:sz w:val="22"/>
          <w:szCs w:val="22"/>
        </w:rPr>
        <w:t>1.3.Software coding the model:</w:t>
      </w:r>
    </w:p>
    <w:p>
      <w:pPr>
        <w:pStyle w:val="Contenutotabella"/>
        <w:spacing w:lineRule="auto" w:line="276" w:before="57" w:after="0"/>
        <w:ind w:left="340" w:hanging="0"/>
        <w:rPr>
          <w:sz w:val="20"/>
          <w:szCs w:val="20"/>
        </w:rPr>
      </w:pPr>
      <w:r>
        <w:rPr>
          <w:rFonts w:ascii="Arial" w:hAnsi="Arial"/>
          <w:sz w:val="20"/>
          <w:szCs w:val="20"/>
        </w:rPr>
        <w:t>VEGA (https://www.vegahub.eu/)</w:t>
      </w:r>
    </w:p>
    <w:p>
      <w:pPr>
        <w:pStyle w:val="Contenutotabella"/>
        <w:spacing w:lineRule="auto" w:line="276" w:before="57" w:after="0"/>
        <w:ind w:left="340" w:hanging="0"/>
        <w:rPr>
          <w:sz w:val="20"/>
          <w:szCs w:val="20"/>
        </w:rPr>
      </w:pPr>
      <w:r>
        <w:rPr>
          <w:rFonts w:ascii="Arial" w:hAnsi="Arial"/>
          <w:sz w:val="20"/>
          <w:szCs w:val="20"/>
        </w:rPr>
        <w:t>The VEGA software provides QSAR models to predict tox, ecotox, environ, phys-chem and toxicokinetic properties of chemical substances.</w:t>
      </w:r>
    </w:p>
    <w:p>
      <w:pPr>
        <w:pStyle w:val="Contenutotabella"/>
        <w:spacing w:lineRule="auto" w:line="276" w:before="57" w:after="0"/>
        <w:ind w:left="340" w:hanging="0"/>
        <w:rPr/>
      </w:pPr>
      <w:r>
        <w:rPr>
          <w:rFonts w:ascii="Arial" w:hAnsi="Arial"/>
          <w:sz w:val="20"/>
          <w:szCs w:val="20"/>
        </w:rPr>
        <w:t>emilio.benfenati@marionegri.it</w:t>
      </w:r>
    </w:p>
    <w:p>
      <w:pPr>
        <w:pStyle w:val="Contenutotabella"/>
        <w:spacing w:lineRule="auto" w:line="276" w:before="57" w:after="0"/>
        <w:ind w:left="340" w:hanging="0"/>
        <w:rPr>
          <w:rFonts w:ascii="Arial" w:hAnsi="Arial"/>
          <w:sz w:val="20"/>
          <w:szCs w:val="20"/>
        </w:rPr>
      </w:pPr>
      <w:r>
        <w:rPr>
          <w:rFonts w:ascii="Arial" w:hAnsi="Arial"/>
          <w:sz w:val="20"/>
          <w:szCs w:val="20"/>
        </w:rPr>
      </w:r>
    </w:p>
    <w:tbl>
      <w:tblPr>
        <w:tblW w:w="987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50" w:type="dxa"/>
          <w:bottom w:w="55" w:type="dxa"/>
          <w:right w:w="55" w:type="dxa"/>
        </w:tblCellMar>
        <w:tblLook w:noVBand="0" w:val="0000" w:noHBand="0" w:lastColumn="0" w:firstColumn="0" w:lastRow="0" w:firstRow="0"/>
      </w:tblPr>
      <w:tblGrid>
        <w:gridCol w:w="9870"/>
      </w:tblGrid>
      <w:tr>
        <w:trPr/>
        <w:tc>
          <w:tcPr>
            <w:tcW w:w="98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DDDDDD" w:val="clear"/>
          </w:tcPr>
          <w:p>
            <w:pPr>
              <w:pStyle w:val="Contenutotabella"/>
              <w:rPr>
                <w:sz w:val="22"/>
                <w:szCs w:val="22"/>
              </w:rPr>
            </w:pPr>
            <w:r>
              <w:rPr>
                <w:rFonts w:ascii="Times New Roman" w:hAnsi="Times New Roman"/>
                <w:b/>
                <w:bCs/>
                <w:sz w:val="22"/>
                <w:szCs w:val="22"/>
              </w:rPr>
              <w:t>2.General information</w:t>
            </w:r>
          </w:p>
        </w:tc>
      </w:tr>
    </w:tbl>
    <w:p>
      <w:pPr>
        <w:pStyle w:val="Contenutotabella"/>
        <w:spacing w:lineRule="auto" w:line="276" w:before="57" w:after="0"/>
        <w:rPr/>
      </w:pPr>
      <w:r>
        <w:rPr>
          <w:rFonts w:ascii="Times New Roman" w:hAnsi="Times New Roman"/>
          <w:b/>
          <w:sz w:val="22"/>
          <w:szCs w:val="22"/>
        </w:rPr>
        <w:t>2.1.Date of QMRF:</w:t>
      </w:r>
    </w:p>
    <w:p>
      <w:pPr>
        <w:pStyle w:val="Contenutotabella"/>
        <w:spacing w:lineRule="auto" w:line="276" w:before="57" w:after="0"/>
        <w:ind w:left="340" w:hanging="0"/>
        <w:rPr>
          <w:sz w:val="20"/>
          <w:szCs w:val="20"/>
        </w:rPr>
      </w:pPr>
      <w:r>
        <w:rPr>
          <w:rFonts w:ascii="Arial" w:hAnsi="Arial"/>
          <w:sz w:val="20"/>
          <w:szCs w:val="20"/>
        </w:rPr>
        <w:t>20/11/2014</w:t>
      </w:r>
    </w:p>
    <w:p>
      <w:pPr>
        <w:pStyle w:val="Contenutotabella"/>
        <w:spacing w:lineRule="auto" w:line="276" w:before="57" w:after="0"/>
        <w:rPr/>
      </w:pPr>
      <w:r>
        <w:rPr>
          <w:rFonts w:ascii="Times New Roman" w:hAnsi="Times New Roman"/>
          <w:b/>
          <w:sz w:val="22"/>
          <w:szCs w:val="22"/>
        </w:rPr>
        <w:t>2.2.QMRF author(s) and contact details:</w:t>
      </w:r>
    </w:p>
    <w:p>
      <w:pPr>
        <w:pStyle w:val="Contenutotabella"/>
        <w:spacing w:lineRule="auto" w:line="276" w:before="57" w:after="0"/>
        <w:ind w:left="340" w:hanging="0"/>
        <w:rPr/>
      </w:pPr>
      <w:r>
        <w:rPr>
          <w:rFonts w:ascii="Arial" w:hAnsi="Arial"/>
          <w:sz w:val="20"/>
          <w:szCs w:val="20"/>
          <w:lang w:val="it-IT"/>
        </w:rPr>
        <w:t xml:space="preserve">[1] Alessio Gamba Istituto di Ricerche Farmacologiche Mario Negri - IRCSS Via Mario Negri 2, 20156 Milano, Italy alessio.gamba@marionegri.it </w:t>
      </w:r>
      <w:hyperlink r:id="rId3">
        <w:r>
          <w:rPr>
            <w:rStyle w:val="CollegamentoInternet"/>
            <w:rFonts w:ascii="Arial" w:hAnsi="Arial"/>
            <w:sz w:val="20"/>
            <w:szCs w:val="20"/>
            <w:lang w:val="it-IT"/>
          </w:rPr>
          <w:t>https://www.marionegri.it/</w:t>
        </w:r>
      </w:hyperlink>
    </w:p>
    <w:p>
      <w:pPr>
        <w:pStyle w:val="Contenutotabella"/>
        <w:spacing w:lineRule="auto" w:line="276" w:before="57" w:after="0"/>
        <w:ind w:left="340" w:hanging="0"/>
        <w:rPr/>
      </w:pPr>
      <w:r>
        <w:rPr>
          <w:rFonts w:ascii="Arial" w:hAnsi="Arial"/>
          <w:sz w:val="20"/>
          <w:szCs w:val="20"/>
          <w:lang w:val="it-IT"/>
        </w:rPr>
        <w:t xml:space="preserve">[2] Emilio Benfenati Istituto di Ricerche Farmacologiche Mario Negri - IRCSS Via Mario Negri 2, 20156 Milano, Italy emilio.benfenati@marionegri.it </w:t>
      </w:r>
      <w:hyperlink r:id="rId4">
        <w:r>
          <w:rPr>
            <w:rStyle w:val="CollegamentoInternet"/>
            <w:rFonts w:ascii="Arial" w:hAnsi="Arial"/>
            <w:sz w:val="20"/>
            <w:szCs w:val="20"/>
            <w:lang w:val="it-IT"/>
          </w:rPr>
          <w:t>https://www.marionegri.it/</w:t>
        </w:r>
      </w:hyperlink>
    </w:p>
    <w:p>
      <w:pPr>
        <w:pStyle w:val="Contenutotabella"/>
        <w:spacing w:lineRule="auto" w:line="276" w:before="57" w:after="0"/>
        <w:rPr>
          <w:rFonts w:ascii="Times New Roman" w:hAnsi="Times New Roman"/>
          <w:b/>
          <w:b/>
          <w:sz w:val="22"/>
          <w:szCs w:val="22"/>
        </w:rPr>
      </w:pPr>
      <w:r>
        <w:rPr>
          <w:rFonts w:ascii="Times New Roman" w:hAnsi="Times New Roman"/>
          <w:b/>
          <w:sz w:val="22"/>
          <w:szCs w:val="22"/>
        </w:rPr>
        <w:t>2.3.Date of QMRF update(s):</w:t>
      </w:r>
    </w:p>
    <w:p>
      <w:pPr>
        <w:pStyle w:val="Contenutotabella"/>
        <w:spacing w:lineRule="auto" w:line="276" w:before="57" w:after="0"/>
        <w:ind w:left="340" w:hanging="0"/>
        <w:rPr>
          <w:rFonts w:ascii="Arial" w:hAnsi="Arial"/>
          <w:sz w:val="20"/>
          <w:szCs w:val="20"/>
        </w:rPr>
      </w:pPr>
      <w:r>
        <w:rPr>
          <w:rFonts w:ascii="Arial" w:hAnsi="Arial"/>
          <w:sz w:val="20"/>
          <w:szCs w:val="20"/>
        </w:rPr>
        <w:t>NA</w:t>
      </w:r>
    </w:p>
    <w:p>
      <w:pPr>
        <w:pStyle w:val="Contenutotabella"/>
        <w:spacing w:lineRule="auto" w:line="276" w:before="57" w:after="0"/>
        <w:rPr>
          <w:rFonts w:ascii="Times New Roman" w:hAnsi="Times New Roman"/>
          <w:b/>
          <w:b/>
          <w:sz w:val="22"/>
          <w:szCs w:val="22"/>
        </w:rPr>
      </w:pPr>
      <w:r>
        <w:rPr>
          <w:rFonts w:ascii="Times New Roman" w:hAnsi="Times New Roman"/>
          <w:b/>
          <w:sz w:val="22"/>
          <w:szCs w:val="22"/>
        </w:rPr>
        <w:t>2.4.QMRF update(s):</w:t>
      </w:r>
    </w:p>
    <w:p>
      <w:pPr>
        <w:pStyle w:val="Contenutotabella"/>
        <w:spacing w:lineRule="auto" w:line="276" w:before="57" w:after="0"/>
        <w:ind w:left="340" w:hanging="0"/>
        <w:rPr>
          <w:rFonts w:ascii="Arial" w:hAnsi="Arial"/>
          <w:sz w:val="20"/>
          <w:szCs w:val="20"/>
        </w:rPr>
      </w:pPr>
      <w:r>
        <w:rPr>
          <w:rFonts w:ascii="Arial" w:hAnsi="Arial"/>
          <w:sz w:val="20"/>
          <w:szCs w:val="20"/>
        </w:rPr>
        <w:t>NA</w:t>
      </w:r>
    </w:p>
    <w:p>
      <w:pPr>
        <w:pStyle w:val="Contenutotabella"/>
        <w:spacing w:lineRule="auto" w:line="276" w:before="57" w:after="0"/>
        <w:rPr/>
      </w:pPr>
      <w:r>
        <w:rPr>
          <w:rFonts w:ascii="Times New Roman" w:hAnsi="Times New Roman"/>
          <w:b/>
          <w:sz w:val="22"/>
          <w:szCs w:val="22"/>
        </w:rPr>
        <w:t>2.5.Model developer(s) and contact details:</w:t>
      </w:r>
    </w:p>
    <w:p>
      <w:pPr>
        <w:pStyle w:val="Contenutotabella"/>
        <w:spacing w:lineRule="auto" w:line="276" w:before="57" w:after="0"/>
        <w:ind w:left="340" w:hanging="0"/>
        <w:rPr>
          <w:rFonts w:ascii="Arial" w:hAnsi="Arial"/>
          <w:sz w:val="20"/>
          <w:szCs w:val="20"/>
        </w:rPr>
      </w:pPr>
      <w:r>
        <w:rPr>
          <w:rFonts w:ascii="Arial" w:hAnsi="Arial"/>
          <w:sz w:val="20"/>
          <w:szCs w:val="20"/>
        </w:rPr>
        <w:t>[1] Thomas Ferrari Department of Electronics and Information (DEI), Politecnico di Milano</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[2] Alberto Manganaro RCCS-Istituto di Ricerche Farmacologiche Mario Negri Via La Masa 19, 20156 Milano, Italy alberto.manganaro@marionegri.it</w:t>
      </w:r>
    </w:p>
    <w:p>
      <w:pPr>
        <w:pStyle w:val="Contenutotabella"/>
        <w:spacing w:lineRule="auto" w:line="276" w:before="57" w:after="0"/>
        <w:rPr/>
      </w:pPr>
      <w:r>
        <w:rPr>
          <w:rFonts w:ascii="Times New Roman" w:hAnsi="Times New Roman"/>
          <w:b/>
          <w:sz w:val="22"/>
          <w:szCs w:val="22"/>
        </w:rPr>
        <w:t>2.6.Date of model development and/or publication:</w:t>
      </w:r>
    </w:p>
    <w:p>
      <w:pPr>
        <w:pStyle w:val="Contenutotabella"/>
        <w:spacing w:lineRule="auto" w:line="276" w:before="57" w:after="0"/>
        <w:ind w:left="340" w:hanging="0"/>
        <w:rPr>
          <w:sz w:val="20"/>
          <w:szCs w:val="20"/>
        </w:rPr>
      </w:pPr>
      <w:r>
        <w:rPr>
          <w:rFonts w:ascii="Arial" w:hAnsi="Arial"/>
          <w:sz w:val="20"/>
          <w:szCs w:val="20"/>
        </w:rPr>
        <w:t>2010</w:t>
      </w:r>
    </w:p>
    <w:p>
      <w:pPr>
        <w:pStyle w:val="Contenutotabella"/>
        <w:spacing w:lineRule="auto" w:line="276" w:before="57" w:after="0"/>
        <w:rPr/>
      </w:pPr>
      <w:r>
        <w:rPr>
          <w:rFonts w:ascii="Times New Roman" w:hAnsi="Times New Roman"/>
          <w:b/>
          <w:sz w:val="22"/>
          <w:szCs w:val="22"/>
        </w:rPr>
        <w:t>2.7.Reference(s) to main scientific papers and/or software package:</w:t>
      </w:r>
    </w:p>
    <w:p>
      <w:pPr>
        <w:pStyle w:val="Contenutotabella"/>
        <w:spacing w:lineRule="auto" w:line="276" w:before="57" w:after="0"/>
        <w:ind w:left="340" w:hanging="0"/>
        <w:rPr>
          <w:rFonts w:ascii="Arial" w:hAnsi="Arial"/>
          <w:sz w:val="20"/>
          <w:szCs w:val="20"/>
        </w:rPr>
      </w:pPr>
      <w:r>
        <w:rPr>
          <w:rFonts w:ascii="Arial" w:hAnsi="Arial"/>
          <w:sz w:val="20"/>
          <w:szCs w:val="20"/>
        </w:rPr>
        <w:t xml:space="preserve">[1] Ferrari T., Gini G. An open source multistep model to predict mutagenicity from statistical analysis and relevant structural alerts. Chemistry Central Journal (2010), 4 (Suppl 1):S2  </w:t>
      </w:r>
    </w:p>
    <w:p>
      <w:pPr>
        <w:pStyle w:val="Contenutotabella"/>
        <w:spacing w:lineRule="auto" w:line="276" w:before="57" w:after="0"/>
        <w:rPr/>
      </w:pPr>
      <w:r>
        <w:rPr>
          <w:rFonts w:ascii="Times New Roman" w:hAnsi="Times New Roman"/>
          <w:b/>
          <w:sz w:val="22"/>
          <w:szCs w:val="22"/>
        </w:rPr>
        <w:t>2.8.Availability of information about the model:</w:t>
      </w:r>
    </w:p>
    <w:p>
      <w:pPr>
        <w:pStyle w:val="Contenutotabella"/>
        <w:spacing w:lineRule="auto" w:line="276" w:before="57" w:after="0"/>
        <w:ind w:left="340" w:hanging="0"/>
        <w:rPr>
          <w:sz w:val="20"/>
          <w:szCs w:val="20"/>
        </w:rPr>
      </w:pPr>
      <w:r>
        <w:rPr>
          <w:rFonts w:ascii="Arial" w:hAnsi="Arial"/>
          <w:sz w:val="20"/>
          <w:szCs w:val="20"/>
        </w:rPr>
        <w:t>The model is non-proprietary and the training set is available.</w:t>
      </w:r>
    </w:p>
    <w:p>
      <w:pPr>
        <w:pStyle w:val="Contenutotabella"/>
        <w:spacing w:lineRule="auto" w:line="276" w:before="57" w:after="0"/>
        <w:rPr/>
      </w:pPr>
      <w:r>
        <w:rPr>
          <w:rFonts w:ascii="Times New Roman" w:hAnsi="Times New Roman"/>
          <w:b/>
          <w:sz w:val="22"/>
          <w:szCs w:val="22"/>
        </w:rPr>
        <w:t>2.9.Availability of another QMRF for exactly the same model:</w:t>
      </w:r>
    </w:p>
    <w:p>
      <w:pPr>
        <w:pStyle w:val="Contenutotabella"/>
        <w:spacing w:lineRule="auto" w:line="276" w:before="57" w:after="0"/>
        <w:ind w:left="340" w:hanging="0"/>
        <w:rPr/>
      </w:pPr>
      <w:r>
        <w:rPr>
          <w:rFonts w:ascii="Arial" w:hAnsi="Arial"/>
          <w:sz w:val="20"/>
          <w:szCs w:val="20"/>
        </w:rPr>
        <w:t>Another QMRF is not available.</w:t>
      </w:r>
    </w:p>
    <w:p>
      <w:pPr>
        <w:pStyle w:val="Contenutotabella"/>
        <w:spacing w:lineRule="auto" w:line="276" w:before="57" w:after="0"/>
        <w:ind w:left="340" w:hanging="0"/>
        <w:rPr>
          <w:rFonts w:ascii="Arial" w:hAnsi="Arial"/>
          <w:sz w:val="20"/>
          <w:szCs w:val="20"/>
        </w:rPr>
      </w:pPr>
      <w:r>
        <w:rPr>
          <w:rFonts w:ascii="Arial" w:hAnsi="Arial"/>
          <w:sz w:val="20"/>
          <w:szCs w:val="20"/>
        </w:rPr>
      </w:r>
    </w:p>
    <w:tbl>
      <w:tblPr>
        <w:tblW w:w="987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50" w:type="dxa"/>
          <w:bottom w:w="55" w:type="dxa"/>
          <w:right w:w="55" w:type="dxa"/>
        </w:tblCellMar>
        <w:tblLook w:noVBand="0" w:val="0000" w:noHBand="0" w:lastColumn="0" w:firstColumn="0" w:lastRow="0" w:firstRow="0"/>
      </w:tblPr>
      <w:tblGrid>
        <w:gridCol w:w="9870"/>
      </w:tblGrid>
      <w:tr>
        <w:trPr/>
        <w:tc>
          <w:tcPr>
            <w:tcW w:w="98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DDDDDD" w:val="clear"/>
          </w:tcPr>
          <w:p>
            <w:pPr>
              <w:pStyle w:val="Contenutotabella"/>
              <w:rPr>
                <w:sz w:val="22"/>
                <w:szCs w:val="22"/>
              </w:rPr>
            </w:pPr>
            <w:r>
              <w:rPr>
                <w:rFonts w:ascii="Times New Roman" w:hAnsi="Times New Roman"/>
                <w:b/>
                <w:bCs/>
                <w:sz w:val="22"/>
                <w:szCs w:val="22"/>
              </w:rPr>
              <w:t>3.Defining the endpoint - OECD Principle 1</w:t>
            </w:r>
          </w:p>
        </w:tc>
      </w:tr>
    </w:tbl>
    <w:p>
      <w:pPr>
        <w:pStyle w:val="Contenutotabella"/>
        <w:spacing w:lineRule="auto" w:line="276" w:before="57" w:after="0"/>
        <w:rPr/>
      </w:pPr>
      <w:r>
        <w:rPr>
          <w:rFonts w:ascii="Times New Roman" w:hAnsi="Times New Roman"/>
          <w:b/>
          <w:sz w:val="22"/>
          <w:szCs w:val="22"/>
        </w:rPr>
        <w:t>3.1.Species:</w:t>
      </w:r>
    </w:p>
    <w:p>
      <w:pPr>
        <w:pStyle w:val="Contenutotabella"/>
        <w:spacing w:lineRule="auto" w:line="276" w:before="57" w:after="0"/>
        <w:ind w:left="340" w:hanging="0"/>
        <w:rPr>
          <w:sz w:val="20"/>
          <w:szCs w:val="20"/>
        </w:rPr>
      </w:pPr>
      <w:r>
        <w:rPr>
          <w:rFonts w:ascii="Arial" w:hAnsi="Arial"/>
          <w:i/>
          <w:sz w:val="20"/>
          <w:szCs w:val="20"/>
        </w:rPr>
        <w:t>Salmonella typhimurium</w:t>
      </w:r>
      <w:r>
        <w:rPr>
          <w:rFonts w:ascii="Arial" w:hAnsi="Arial"/>
          <w:sz w:val="20"/>
          <w:szCs w:val="20"/>
        </w:rPr>
        <w:t xml:space="preserve"> (Ames test)</w:t>
      </w:r>
      <w:r>
        <w:rPr/>
        <w:t xml:space="preserve"> </w:t>
      </w:r>
    </w:p>
    <w:p>
      <w:pPr>
        <w:pStyle w:val="Contenutotabella"/>
        <w:spacing w:lineRule="auto" w:line="276" w:before="57" w:after="0"/>
        <w:rPr/>
      </w:pPr>
      <w:r>
        <w:rPr>
          <w:rFonts w:ascii="Times New Roman" w:hAnsi="Times New Roman"/>
          <w:b/>
          <w:sz w:val="22"/>
          <w:szCs w:val="22"/>
        </w:rPr>
        <w:t>3.2.Endpoint:</w:t>
      </w:r>
    </w:p>
    <w:p>
      <w:pPr>
        <w:pStyle w:val="Contenutotabella"/>
        <w:spacing w:lineRule="auto" w:line="276" w:before="57" w:after="0"/>
        <w:ind w:left="340" w:hanging="0"/>
        <w:rPr>
          <w:rFonts w:ascii="Arial" w:hAnsi="Arial"/>
          <w:sz w:val="20"/>
          <w:szCs w:val="20"/>
        </w:rPr>
      </w:pPr>
      <w:r>
        <w:rPr>
          <w:rFonts w:ascii="Arial" w:hAnsi="Arial"/>
          <w:sz w:val="20"/>
          <w:szCs w:val="20"/>
        </w:rPr>
        <w:t>4.Human Health Effects 4.10.Mutagenicity</w:t>
      </w:r>
    </w:p>
    <w:p>
      <w:pPr>
        <w:pStyle w:val="Contenutotabella"/>
        <w:spacing w:lineRule="auto" w:line="276" w:before="57" w:after="0"/>
        <w:rPr/>
      </w:pPr>
      <w:r>
        <w:rPr>
          <w:rFonts w:ascii="Times New Roman" w:hAnsi="Times New Roman"/>
          <w:b/>
          <w:sz w:val="22"/>
          <w:szCs w:val="22"/>
        </w:rPr>
        <w:t>3.3.Comment on endpoint:</w:t>
      </w:r>
    </w:p>
    <w:p>
      <w:pPr>
        <w:pStyle w:val="Contenutotabella"/>
        <w:spacing w:lineRule="auto" w:line="276" w:before="57" w:after="0"/>
        <w:ind w:left="340" w:hanging="0"/>
        <w:rPr>
          <w:sz w:val="20"/>
          <w:szCs w:val="20"/>
        </w:rPr>
      </w:pPr>
      <w:r>
        <w:rPr>
          <w:rFonts w:ascii="Arial" w:hAnsi="Arial"/>
          <w:sz w:val="20"/>
          <w:szCs w:val="20"/>
        </w:rPr>
        <w:t>Mutagenic toxicity is the capacity of a substance to cause genetic mutations. This property is of high public concern because it has a close relationship with carcinogenicity and eventually reproductive toxicity: most of the mutagenic substances are suspected carcinogenic substance in case a genotoxic mechanism is considered. The Ames test is the basic in vitro assay to detect mutagens.</w:t>
      </w:r>
    </w:p>
    <w:p>
      <w:pPr>
        <w:pStyle w:val="Contenutotabella"/>
        <w:spacing w:lineRule="auto" w:line="276" w:before="57" w:after="0"/>
        <w:rPr/>
      </w:pPr>
      <w:r>
        <w:rPr>
          <w:rFonts w:ascii="Times New Roman" w:hAnsi="Times New Roman"/>
          <w:b/>
          <w:sz w:val="22"/>
          <w:szCs w:val="22"/>
        </w:rPr>
        <w:t>3.4.Endpoint units:</w:t>
      </w:r>
    </w:p>
    <w:p>
      <w:pPr>
        <w:pStyle w:val="Contenutotabella"/>
        <w:spacing w:lineRule="auto" w:line="276" w:before="57" w:after="0"/>
        <w:ind w:left="340" w:hanging="0"/>
        <w:rPr>
          <w:sz w:val="20"/>
          <w:szCs w:val="20"/>
        </w:rPr>
      </w:pPr>
      <w:r>
        <w:rPr>
          <w:rFonts w:ascii="Arial" w:hAnsi="Arial"/>
          <w:sz w:val="20"/>
          <w:szCs w:val="20"/>
        </w:rPr>
        <w:t>Adimensional</w:t>
      </w:r>
    </w:p>
    <w:p>
      <w:pPr>
        <w:pStyle w:val="Contenutotabella"/>
        <w:spacing w:lineRule="auto" w:line="276" w:before="57" w:after="0"/>
        <w:rPr/>
      </w:pPr>
      <w:r>
        <w:rPr>
          <w:rFonts w:ascii="Times New Roman" w:hAnsi="Times New Roman"/>
          <w:b/>
          <w:sz w:val="22"/>
          <w:szCs w:val="22"/>
        </w:rPr>
        <w:t>3.5.Dependent variable:</w:t>
      </w:r>
    </w:p>
    <w:p>
      <w:pPr>
        <w:pStyle w:val="Contenutotabella"/>
        <w:spacing w:lineRule="auto" w:line="276" w:before="57" w:after="0"/>
        <w:ind w:left="340" w:hanging="0"/>
        <w:rPr>
          <w:rFonts w:ascii="Arial" w:hAnsi="Arial"/>
          <w:sz w:val="20"/>
          <w:szCs w:val="20"/>
        </w:rPr>
      </w:pPr>
      <w:r>
        <w:rPr>
          <w:rFonts w:ascii="Arial" w:hAnsi="Arial"/>
          <w:sz w:val="20"/>
          <w:szCs w:val="20"/>
        </w:rPr>
        <w:t>The dependent variable is mutagenic effect, as binary classification: 0 (non-mutagenic), 1 (mutagenic)</w:t>
      </w:r>
    </w:p>
    <w:p>
      <w:pPr>
        <w:pStyle w:val="Contenutotabella"/>
        <w:spacing w:lineRule="auto" w:line="276" w:before="57" w:after="0"/>
        <w:rPr/>
      </w:pPr>
      <w:r>
        <w:rPr>
          <w:rFonts w:ascii="Times New Roman" w:hAnsi="Times New Roman"/>
          <w:b/>
          <w:sz w:val="22"/>
          <w:szCs w:val="22"/>
        </w:rPr>
        <w:t>3.6.Experimental protocol:</w:t>
      </w:r>
    </w:p>
    <w:p>
      <w:pPr>
        <w:pStyle w:val="Contenutotabella"/>
        <w:spacing w:lineRule="auto" w:line="276" w:before="57" w:after="0"/>
        <w:ind w:left="340" w:hanging="0"/>
        <w:rPr>
          <w:rFonts w:ascii="Arial" w:hAnsi="Arial"/>
          <w:sz w:val="20"/>
          <w:szCs w:val="20"/>
        </w:rPr>
      </w:pPr>
      <w:r>
        <w:rPr>
          <w:rFonts w:ascii="Arial" w:hAnsi="Arial"/>
          <w:sz w:val="20"/>
          <w:szCs w:val="20"/>
        </w:rPr>
        <w:t>Ames test: an in vitro model of chemical mutagenicity and carcinogenicity, and consists of a range of bacterial strains that together are sensitive to a large array of DNA-damaging agents</w:t>
      </w:r>
    </w:p>
    <w:p>
      <w:pPr>
        <w:pStyle w:val="Contenutotabella"/>
        <w:spacing w:lineRule="auto" w:line="276" w:before="57" w:after="0"/>
        <w:rPr/>
      </w:pPr>
      <w:r>
        <w:rPr>
          <w:rFonts w:ascii="Times New Roman" w:hAnsi="Times New Roman"/>
          <w:b/>
          <w:sz w:val="22"/>
          <w:szCs w:val="22"/>
        </w:rPr>
        <w:t>3.7.Endpoint data quality and variability:</w:t>
      </w:r>
    </w:p>
    <w:p>
      <w:pPr>
        <w:pStyle w:val="Contenutotabella"/>
        <w:spacing w:lineRule="auto" w:line="276" w:before="57" w:after="0"/>
        <w:ind w:left="340" w:hanging="0"/>
        <w:rPr>
          <w:rFonts w:ascii="Arial" w:hAnsi="Arial"/>
          <w:sz w:val="20"/>
          <w:szCs w:val="20"/>
        </w:rPr>
      </w:pPr>
      <w:r>
        <w:rPr>
          <w:rFonts w:ascii="Arial" w:hAnsi="Arial"/>
          <w:sz w:val="20"/>
          <w:szCs w:val="20"/>
        </w:rPr>
        <w:t>For the development and the validation of the model, the Bursi Mutagenicity Dataset was used [ref.4, sect.9.2]. The estimated inter-laboratory reproducibility rate of Salmonella test data is 85% [ref.2, sect.9.2].</w:t>
      </w:r>
    </w:p>
    <w:p>
      <w:pPr>
        <w:pStyle w:val="Contenutotabella"/>
        <w:spacing w:lineRule="auto" w:line="276" w:before="57" w:after="0"/>
        <w:ind w:left="340" w:hanging="0"/>
        <w:rPr>
          <w:rFonts w:ascii="Arial" w:hAnsi="Arial"/>
          <w:sz w:val="20"/>
          <w:szCs w:val="20"/>
        </w:rPr>
      </w:pPr>
      <w:r>
        <w:rPr>
          <w:rFonts w:ascii="Arial" w:hAnsi="Arial"/>
          <w:sz w:val="20"/>
          <w:szCs w:val="20"/>
        </w:rPr>
      </w:r>
    </w:p>
    <w:tbl>
      <w:tblPr>
        <w:tblW w:w="987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50" w:type="dxa"/>
          <w:bottom w:w="55" w:type="dxa"/>
          <w:right w:w="55" w:type="dxa"/>
        </w:tblCellMar>
        <w:tblLook w:noVBand="0" w:val="0000" w:noHBand="0" w:lastColumn="0" w:firstColumn="0" w:lastRow="0" w:firstRow="0"/>
      </w:tblPr>
      <w:tblGrid>
        <w:gridCol w:w="9870"/>
      </w:tblGrid>
      <w:tr>
        <w:trPr/>
        <w:tc>
          <w:tcPr>
            <w:tcW w:w="98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DDDDDD" w:val="clear"/>
          </w:tcPr>
          <w:p>
            <w:pPr>
              <w:pStyle w:val="Contenutotabella"/>
              <w:rPr>
                <w:sz w:val="22"/>
                <w:szCs w:val="22"/>
              </w:rPr>
            </w:pPr>
            <w:r>
              <w:rPr>
                <w:rFonts w:ascii="Times New Roman" w:hAnsi="Times New Roman"/>
                <w:b/>
                <w:bCs/>
                <w:sz w:val="22"/>
                <w:szCs w:val="22"/>
              </w:rPr>
              <w:t>4.Defining the algorithm - OECD Principle 2</w:t>
            </w:r>
          </w:p>
        </w:tc>
      </w:tr>
    </w:tbl>
    <w:p>
      <w:pPr>
        <w:pStyle w:val="Contenutotabella"/>
        <w:spacing w:lineRule="auto" w:line="276" w:before="57" w:after="0"/>
        <w:rPr/>
      </w:pPr>
      <w:r>
        <w:rPr>
          <w:rFonts w:ascii="Times New Roman" w:hAnsi="Times New Roman"/>
          <w:b/>
          <w:sz w:val="22"/>
          <w:szCs w:val="22"/>
        </w:rPr>
        <w:t>4.1.Type of model:</w:t>
      </w:r>
    </w:p>
    <w:p>
      <w:pPr>
        <w:pStyle w:val="Contenutotabella"/>
        <w:spacing w:lineRule="auto" w:line="276" w:before="57" w:after="0"/>
        <w:ind w:left="340" w:hanging="0"/>
        <w:rPr>
          <w:rFonts w:ascii="Arial" w:hAnsi="Arial" w:cs="Arial"/>
          <w:kern w:val="0"/>
          <w:sz w:val="20"/>
          <w:szCs w:val="20"/>
          <w:lang w:val="en-GB" w:bidi="ar-SA"/>
        </w:rPr>
      </w:pPr>
      <w:r>
        <w:rPr>
          <w:rFonts w:cs="Arial" w:ascii="Arial" w:hAnsi="Arial"/>
          <w:kern w:val="0"/>
          <w:sz w:val="20"/>
          <w:szCs w:val="20"/>
          <w:lang w:val="en-GB" w:bidi="ar-SA"/>
        </w:rPr>
        <w:t>An integrated model, Model C, was arranged by cascading the two models: Model A, a trained SVM classifier with an additional Model B for false negatives (FNs) correction based on SAs. The SVM classifier is the one described in the section 4.2 of the paper proposing the final model (see 2.7), while the rule base for the expert filter was extracted from the Benigni/Bossa SAs [ref.4; sect.9.2] set.</w:t>
      </w:r>
    </w:p>
    <w:p>
      <w:pPr>
        <w:pStyle w:val="Contenutotabella"/>
        <w:spacing w:lineRule="auto" w:line="276" w:before="57" w:after="0"/>
        <w:rPr>
          <w:rFonts w:ascii="Arial" w:hAnsi="Arial" w:cs="Arial"/>
          <w:kern w:val="0"/>
          <w:sz w:val="20"/>
          <w:szCs w:val="20"/>
          <w:lang w:val="en-GB" w:bidi="ar-SA"/>
        </w:rPr>
      </w:pPr>
      <w:r>
        <w:rPr>
          <w:rFonts w:ascii="Times New Roman" w:hAnsi="Times New Roman"/>
          <w:b/>
          <w:sz w:val="22"/>
          <w:szCs w:val="22"/>
        </w:rPr>
        <w:t>4.2.Explicit algorithm:</w:t>
      </w:r>
    </w:p>
    <w:p>
      <w:pPr>
        <w:pStyle w:val="Contenutotabella"/>
        <w:spacing w:lineRule="auto" w:line="276" w:before="57" w:after="0"/>
        <w:ind w:left="340" w:hanging="0"/>
        <w:rPr>
          <w:rFonts w:ascii="Arial" w:hAnsi="Arial" w:cs="Arial"/>
          <w:kern w:val="0"/>
          <w:sz w:val="20"/>
          <w:szCs w:val="20"/>
          <w:lang w:val="en-GB" w:bidi="ar-SA"/>
        </w:rPr>
      </w:pPr>
      <w:r>
        <w:rPr>
          <w:rFonts w:cs="Arial" w:ascii="Arial" w:hAnsi="Arial"/>
          <w:kern w:val="0"/>
          <w:sz w:val="20"/>
          <w:szCs w:val="20"/>
          <w:lang w:val="en-GB" w:bidi="ar-SA"/>
        </w:rPr>
        <w:t>Data mining with SVM coupled with knowledge based SAs for the correctionof FNs.</w:t>
      </w:r>
    </w:p>
    <w:p>
      <w:pPr>
        <w:pStyle w:val="Contenutotabella"/>
        <w:spacing w:lineRule="auto" w:line="276" w:before="57" w:after="0"/>
        <w:ind w:left="340" w:hanging="0"/>
        <w:rPr>
          <w:rFonts w:ascii="Arial" w:hAnsi="Arial" w:cs="Arial"/>
          <w:kern w:val="0"/>
          <w:sz w:val="20"/>
          <w:szCs w:val="20"/>
          <w:lang w:val="en-GB" w:bidi="ar-SA"/>
        </w:rPr>
      </w:pPr>
      <w:r>
        <w:rPr>
          <w:rFonts w:cs="Arial" w:ascii="Arial" w:hAnsi="Arial"/>
          <w:kern w:val="0"/>
          <w:sz w:val="20"/>
          <w:szCs w:val="20"/>
          <w:lang w:val="en-GB" w:bidi="ar-SA"/>
        </w:rPr>
        <w:t>The model consists of a complex architecture based on support vector machines model revised by structural alerts. First, the SVM identifies mutagens. The predicted non-mutagens are then processed with the second model, Model B, based on two sets of structural alerts. If an alert of the first set is found (see 4.3 descriptors from #26 to #37), the chemical is labelled "mutagen"; if an alert of the second set is found (see 4.3 descriptors from #38 to #41), the chemical is labelled "suspicious mutagen". Unaffected chemicals are finally labelled "non-mutagens". The second set of alerts is used to detect potential mutagens. An integrated model, Model C, was arranged by cascading the two models: Model A, a trained SVM classifier with an additional Model B for false negative (FN) removal based on SAs.</w:t>
      </w:r>
    </w:p>
    <w:p>
      <w:pPr>
        <w:pStyle w:val="Contenutotabella"/>
        <w:spacing w:lineRule="auto" w:line="276" w:before="57" w:after="0"/>
        <w:rPr/>
      </w:pPr>
      <w:r>
        <w:rPr>
          <w:rFonts w:ascii="Times New Roman" w:hAnsi="Times New Roman"/>
          <w:b/>
          <w:sz w:val="22"/>
          <w:szCs w:val="22"/>
        </w:rPr>
        <w:t>4.3.Descriptors in the model:</w:t>
      </w:r>
    </w:p>
    <w:p>
      <w:pPr>
        <w:pStyle w:val="Contenutotabella"/>
        <w:spacing w:lineRule="auto" w:line="276" w:before="57" w:after="0"/>
        <w:ind w:left="340" w:hanging="0"/>
        <w:rPr/>
      </w:pPr>
      <w:r>
        <w:rPr>
          <w:rFonts w:ascii="Arial" w:hAnsi="Arial"/>
          <w:sz w:val="20"/>
          <w:szCs w:val="20"/>
          <w:lang w:val="it-IT"/>
        </w:rPr>
        <w:t xml:space="preserve">[1]SsCH3_acnt Count of all ( – CH3 )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[2]SdCH2_acnt Count of all ( = CH2 )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[3]SssCH2_acnt Count of all ( – CH2 –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[4]SdsCH_acnt Count of all ( = CH –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[5]SaaCH_acnt Count of all ( CH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[6]SsssCH_acnt Count of all ( &gt; CH –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[7]SdssC_acnt Count of all ( = C &lt;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[8]SaasC_acnt Count of all ( CH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[9]SaaaC_acnt Count of all ( CH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[10]SssssC_acnt Count of all ( &gt; C &lt;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[11]SsNH2_acnt Count of all ( – NH2 )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[12]StN_acnt Count of all ( N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[13]SdsN_acnt Count of all ( = N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[14]SaaN_acnt Count of all ( N )groups in molecule</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[15]SsssN_acnt Count of all ( &gt; N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[16]SdaaN_acnt Count of all ( N ) groups in molecule</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[17]SsOH_acnt Count of all ( – OH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[18]SdO_acnt Count of all ( = O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[19]SssO_acnt Count of all ( – O –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[20]SaaO_acnt Count of all ( O ) groups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[21]SHCHnX_Acnt Count of all CH or CH2 groups with a -F or -Cl also bonded to the carbon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[22]Gmin Smallest atom E-State value in molecule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[23]idwbar Bonchev-Trinajsti mean information content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[24]ALOGP (DRAGON) Ghose-Crippen octanol water coefficient (calculated by DRAGON)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[25]nrings Number of rings (cyclomatic number)in a molecular graph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[26]SA 1 Acyl halides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[27]SA 6 Propiolactones or propiosultones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[28]SA 12 Quinones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[29]SA 13 Hydrazine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[30]SA 14 Aliphatic azo and azoxy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[31]SA 16 alkyl carbamate and thiocarbamate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[32]SA 18 Polycyclic Aromatic Hydrocarbons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[33]SA 21 alkyl and aryl N-nitroso groups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[34]SA 22 Azide and triazene groups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[35]SA 25 Aromatic nitroso group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[36]SA 28bis Aromatic mono- and dialkylamine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[37]SA 29 Aromatic diazo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[38]SA 7 Epoxides and aziridines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[39]SA 8 Aliphatic halogens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 xml:space="preserve">[40]SA 19 Heterocyclic Polycyclic Aromatic Hydrocarbons </w:t>
      </w:r>
    </w:p>
    <w:p>
      <w:pPr>
        <w:pStyle w:val="Contenutotabella"/>
        <w:spacing w:lineRule="auto" w:line="276" w:before="57" w:after="0"/>
        <w:ind w:left="340" w:hanging="0"/>
        <w:rPr>
          <w:rFonts w:ascii="Arial" w:hAnsi="Arial"/>
          <w:sz w:val="20"/>
          <w:szCs w:val="20"/>
          <w:lang w:val="it-IT"/>
        </w:rPr>
      </w:pPr>
      <w:r>
        <w:rPr>
          <w:rFonts w:ascii="Arial" w:hAnsi="Arial"/>
          <w:sz w:val="20"/>
          <w:szCs w:val="20"/>
          <w:lang w:val="it-IT"/>
        </w:rPr>
        <w:t>[41]SA 27 Nitro-aromatic</w:t>
      </w:r>
    </w:p>
    <w:p>
      <w:pPr>
        <w:pStyle w:val="Contenutotabella"/>
        <w:spacing w:lineRule="auto" w:line="276" w:before="57" w:after="0"/>
        <w:rPr>
          <w:rFonts w:ascii="Times New Roman" w:hAnsi="Times New Roman"/>
          <w:b/>
          <w:b/>
          <w:sz w:val="22"/>
          <w:szCs w:val="22"/>
        </w:rPr>
      </w:pPr>
      <w:r>
        <w:rPr>
          <w:rFonts w:ascii="Times New Roman" w:hAnsi="Times New Roman"/>
          <w:b/>
          <w:sz w:val="22"/>
          <w:szCs w:val="22"/>
        </w:rPr>
        <w:t>4.4.Descriptor selection:</w:t>
      </w:r>
    </w:p>
    <w:p>
      <w:pPr>
        <w:pStyle w:val="Contenutotabella"/>
        <w:spacing w:lineRule="auto" w:line="276" w:before="57" w:after="0"/>
        <w:ind w:left="340" w:hanging="0"/>
        <w:rPr>
          <w:rFonts w:ascii="Arial" w:hAnsi="Arial"/>
          <w:sz w:val="20"/>
          <w:szCs w:val="20"/>
        </w:rPr>
      </w:pPr>
      <w:r>
        <w:rPr>
          <w:rFonts w:ascii="Arial" w:hAnsi="Arial"/>
          <w:sz w:val="20"/>
          <w:szCs w:val="20"/>
        </w:rPr>
        <w:t>For the SVM classifier, 254 molecular descriptors were initially calculated using the MDL QSAR commercial software. Then, a subset of 25 descriptors was selected by using the tools provided by the Weka 3.5.8 environment for data mining. The BestFirst algorithm was used as bidirectional search method in the descriptor subsets, using as subset evaluator the 5-fold cross-validation score on the training set (in short: BestFirst algorithm searches the space of attribute subsets by greedy hill climbing, considering all possible single attribute additions and/or deletions at a given point, with a backtracking facility to explore also non-improving nodes). The structural alerts were selected from the Benigni/Bossa set of 30 genotoxic alerts after an analysis of their individual effects, evaluated on the structures of the training set labelled non-mutagenic by 5-fold cross-validation of the model.</w:t>
      </w:r>
    </w:p>
    <w:p>
      <w:pPr>
        <w:pStyle w:val="Contenutotabella"/>
        <w:spacing w:lineRule="auto" w:line="276" w:before="57" w:after="0"/>
        <w:rPr>
          <w:rFonts w:ascii="Times New Roman" w:hAnsi="Times New Roman"/>
          <w:b/>
          <w:b/>
          <w:sz w:val="22"/>
          <w:szCs w:val="22"/>
        </w:rPr>
      </w:pPr>
      <w:r>
        <w:rPr>
          <w:rFonts w:ascii="Times New Roman" w:hAnsi="Times New Roman"/>
          <w:b/>
          <w:sz w:val="22"/>
          <w:szCs w:val="22"/>
        </w:rPr>
        <w:t>4.5.Algorithm and descriptor generation:</w:t>
      </w:r>
    </w:p>
    <w:p>
      <w:pPr>
        <w:pStyle w:val="Contenutotabella"/>
        <w:spacing w:lineRule="auto" w:line="276" w:before="57" w:after="0"/>
        <w:ind w:left="340" w:hanging="0"/>
        <w:rPr>
          <w:rFonts w:ascii="Arial" w:hAnsi="Arial"/>
          <w:sz w:val="20"/>
          <w:szCs w:val="20"/>
        </w:rPr>
      </w:pPr>
      <w:r>
        <w:rPr>
          <w:rFonts w:ascii="Arial" w:hAnsi="Arial"/>
          <w:sz w:val="20"/>
          <w:szCs w:val="20"/>
        </w:rPr>
        <w:t>1D and 2D descriptors</w:t>
      </w:r>
    </w:p>
    <w:p>
      <w:pPr>
        <w:pStyle w:val="Contenutotabella"/>
        <w:spacing w:lineRule="auto" w:line="276" w:before="57" w:after="0"/>
        <w:rPr/>
      </w:pPr>
      <w:r>
        <w:rPr>
          <w:rFonts w:ascii="Times New Roman" w:hAnsi="Times New Roman"/>
          <w:b/>
          <w:sz w:val="22"/>
          <w:szCs w:val="22"/>
        </w:rPr>
        <w:t>4.6.Software name and version for descriptor generation:</w:t>
      </w:r>
    </w:p>
    <w:p>
      <w:pPr>
        <w:pStyle w:val="Contenutotabella"/>
        <w:spacing w:lineRule="auto" w:line="276" w:before="57" w:after="0"/>
        <w:ind w:left="340" w:hanging="0"/>
        <w:rPr>
          <w:rFonts w:ascii="Arial" w:hAnsi="Arial"/>
          <w:sz w:val="20"/>
          <w:szCs w:val="20"/>
        </w:rPr>
      </w:pPr>
      <w:r>
        <w:rPr>
          <w:rFonts w:ascii="Arial" w:hAnsi="Arial"/>
          <w:sz w:val="20"/>
          <w:szCs w:val="20"/>
        </w:rPr>
        <w:t>[1] MDL_QSAR software</w:t>
      </w:r>
    </w:p>
    <w:p>
      <w:pPr>
        <w:pStyle w:val="Contenutotabella"/>
        <w:spacing w:lineRule="auto" w:line="276" w:before="57" w:after="0"/>
        <w:ind w:left="340" w:hanging="0"/>
        <w:rPr>
          <w:rFonts w:ascii="Arial" w:hAnsi="Arial"/>
          <w:sz w:val="20"/>
          <w:szCs w:val="20"/>
        </w:rPr>
      </w:pPr>
      <w:r>
        <w:rPr>
          <w:rFonts w:ascii="Arial" w:hAnsi="Arial"/>
          <w:sz w:val="20"/>
          <w:szCs w:val="20"/>
        </w:rPr>
        <w:t>http://mdl.com</w:t>
      </w:r>
    </w:p>
    <w:p>
      <w:pPr>
        <w:pStyle w:val="Contenutotabella"/>
        <w:spacing w:lineRule="auto" w:line="276" w:before="57" w:after="0"/>
        <w:ind w:left="340" w:hanging="0"/>
        <w:rPr>
          <w:rFonts w:ascii="Arial" w:hAnsi="Arial"/>
          <w:sz w:val="20"/>
          <w:szCs w:val="20"/>
        </w:rPr>
      </w:pPr>
      <w:r>
        <w:rPr>
          <w:rFonts w:ascii="Arial" w:hAnsi="Arial"/>
          <w:sz w:val="20"/>
          <w:szCs w:val="20"/>
        </w:rPr>
        <w:t>[2] Toxtree</w:t>
      </w:r>
    </w:p>
    <w:p>
      <w:pPr>
        <w:pStyle w:val="Contenutotabella"/>
        <w:spacing w:lineRule="auto" w:line="276" w:before="57" w:after="0"/>
        <w:ind w:left="340" w:hanging="0"/>
        <w:rPr>
          <w:rFonts w:ascii="Arial" w:hAnsi="Arial"/>
          <w:sz w:val="20"/>
          <w:szCs w:val="20"/>
        </w:rPr>
      </w:pPr>
      <w:r>
        <w:rPr>
          <w:rFonts w:ascii="Arial" w:hAnsi="Arial"/>
          <w:sz w:val="20"/>
          <w:szCs w:val="20"/>
        </w:rPr>
        <w:t>SAs have been implemented by using SMARTS within CAESAR.</w:t>
      </w:r>
    </w:p>
    <w:p>
      <w:pPr>
        <w:pStyle w:val="Contenutotabella"/>
        <w:spacing w:lineRule="auto" w:line="276" w:before="57" w:after="0"/>
        <w:ind w:left="340" w:hanging="0"/>
        <w:rPr>
          <w:rFonts w:ascii="Arial" w:hAnsi="Arial"/>
          <w:sz w:val="20"/>
          <w:szCs w:val="20"/>
        </w:rPr>
      </w:pPr>
      <w:r>
        <w:rPr>
          <w:rFonts w:ascii="Arial" w:hAnsi="Arial"/>
          <w:sz w:val="20"/>
          <w:szCs w:val="20"/>
        </w:rPr>
        <w:t>[3] Ideaconsult Ltd</w:t>
      </w:r>
    </w:p>
    <w:p>
      <w:pPr>
        <w:pStyle w:val="Contenutotabella"/>
        <w:spacing w:lineRule="auto" w:line="276" w:before="57" w:after="0"/>
        <w:ind w:left="340" w:hanging="0"/>
        <w:rPr>
          <w:rFonts w:ascii="Arial" w:hAnsi="Arial"/>
          <w:sz w:val="20"/>
          <w:szCs w:val="20"/>
        </w:rPr>
      </w:pPr>
      <w:r>
        <w:rPr>
          <w:rFonts w:ascii="Arial" w:hAnsi="Arial"/>
          <w:sz w:val="20"/>
          <w:szCs w:val="20"/>
        </w:rPr>
        <w:t>https://eurl-ecvam.jrc.ec.europa.eu/laboratories-research/predictive_toxicology/qsar_tools</w:t>
      </w:r>
    </w:p>
    <w:p>
      <w:pPr>
        <w:pStyle w:val="Contenutotabella"/>
        <w:spacing w:lineRule="auto" w:line="276" w:before="57" w:after="0"/>
        <w:ind w:left="340" w:hanging="0"/>
        <w:rPr>
          <w:rFonts w:ascii="Arial" w:hAnsi="Arial"/>
          <w:sz w:val="20"/>
          <w:szCs w:val="20"/>
        </w:rPr>
      </w:pPr>
      <w:r>
        <w:rPr>
          <w:rFonts w:ascii="Arial" w:hAnsi="Arial"/>
          <w:sz w:val="20"/>
          <w:szCs w:val="20"/>
        </w:rPr>
        <w:t>[4] DRAGON for LOGP</w:t>
      </w:r>
    </w:p>
    <w:p>
      <w:pPr>
        <w:pStyle w:val="Contenutotabella"/>
        <w:spacing w:lineRule="auto" w:line="276" w:before="57" w:after="0"/>
        <w:ind w:left="340" w:hanging="0"/>
        <w:rPr/>
      </w:pPr>
      <w:hyperlink r:id="rId5">
        <w:r>
          <w:rPr>
            <w:rStyle w:val="CollegamentoInternet"/>
            <w:rFonts w:ascii="Arial" w:hAnsi="Arial"/>
            <w:sz w:val="20"/>
            <w:szCs w:val="20"/>
          </w:rPr>
          <w:t>http://www.talete.mi.it</w:t>
        </w:r>
      </w:hyperlink>
    </w:p>
    <w:p>
      <w:pPr>
        <w:pStyle w:val="Contenutotabella"/>
        <w:spacing w:lineRule="auto" w:line="276" w:before="57" w:after="0"/>
        <w:ind w:left="340" w:hanging="0"/>
        <w:rPr>
          <w:rFonts w:ascii="Arial" w:hAnsi="Arial"/>
          <w:sz w:val="20"/>
          <w:szCs w:val="20"/>
        </w:rPr>
      </w:pPr>
      <w:r>
        <w:rPr>
          <w:rFonts w:ascii="Arial" w:hAnsi="Arial"/>
          <w:sz w:val="20"/>
          <w:szCs w:val="20"/>
        </w:rPr>
        <w:t xml:space="preserve">[5] VEGA </w:t>
      </w:r>
    </w:p>
    <w:p>
      <w:pPr>
        <w:pStyle w:val="Contenutotabella"/>
        <w:spacing w:lineRule="auto" w:line="276" w:before="57" w:after="0"/>
        <w:ind w:left="340" w:hanging="0"/>
        <w:rPr>
          <w:rFonts w:ascii="Arial" w:hAnsi="Arial"/>
          <w:sz w:val="20"/>
          <w:szCs w:val="20"/>
        </w:rPr>
      </w:pPr>
      <w:r>
        <w:rPr>
          <w:rFonts w:ascii="Arial" w:hAnsi="Arial"/>
          <w:sz w:val="20"/>
          <w:szCs w:val="20"/>
        </w:rPr>
        <w:t>https://www.vegahub.eu</w:t>
      </w:r>
    </w:p>
    <w:p>
      <w:pPr>
        <w:pStyle w:val="Contenutotabella"/>
        <w:spacing w:lineRule="auto" w:line="276" w:before="57" w:after="0"/>
        <w:rPr>
          <w:rFonts w:ascii="Times New Roman" w:hAnsi="Times New Roman"/>
          <w:b/>
          <w:b/>
          <w:sz w:val="22"/>
          <w:szCs w:val="22"/>
        </w:rPr>
      </w:pPr>
      <w:r>
        <w:rPr>
          <w:rFonts w:ascii="Times New Roman" w:hAnsi="Times New Roman"/>
          <w:b/>
          <w:sz w:val="22"/>
          <w:szCs w:val="22"/>
        </w:rPr>
        <w:t>4.7.Chemicals/Descriptors ratio:</w:t>
      </w:r>
    </w:p>
    <w:p>
      <w:pPr>
        <w:pStyle w:val="Contenutotabella"/>
        <w:spacing w:lineRule="auto" w:line="276" w:before="57" w:after="0"/>
        <w:ind w:left="340" w:hanging="0"/>
        <w:rPr>
          <w:rFonts w:ascii="Arial" w:hAnsi="Arial"/>
          <w:sz w:val="20"/>
          <w:szCs w:val="20"/>
        </w:rPr>
      </w:pPr>
      <w:r>
        <w:rPr>
          <w:rFonts w:ascii="Arial" w:hAnsi="Arial"/>
          <w:sz w:val="20"/>
          <w:szCs w:val="20"/>
        </w:rPr>
        <w:t>3367 chemicals (training) / 1 descriptors = 82.1</w:t>
      </w:r>
    </w:p>
    <w:p>
      <w:pPr>
        <w:pStyle w:val="Contenutotabella"/>
        <w:spacing w:lineRule="auto" w:line="276" w:before="57" w:after="0"/>
        <w:ind w:left="340" w:hanging="0"/>
        <w:rPr>
          <w:rFonts w:ascii="Arial" w:hAnsi="Arial"/>
        </w:rPr>
      </w:pPr>
      <w:r>
        <w:rPr>
          <w:rFonts w:ascii="Arial" w:hAnsi="Arial"/>
        </w:rPr>
      </w:r>
    </w:p>
    <w:tbl>
      <w:tblPr>
        <w:tblW w:w="987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50" w:type="dxa"/>
          <w:bottom w:w="55" w:type="dxa"/>
          <w:right w:w="55" w:type="dxa"/>
        </w:tblCellMar>
        <w:tblLook w:noVBand="0" w:val="0000" w:noHBand="0" w:lastColumn="0" w:firstColumn="0" w:lastRow="0" w:firstRow="0"/>
      </w:tblPr>
      <w:tblGrid>
        <w:gridCol w:w="9870"/>
      </w:tblGrid>
      <w:tr>
        <w:trPr/>
        <w:tc>
          <w:tcPr>
            <w:tcW w:w="98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DDDDDD" w:val="clear"/>
          </w:tcPr>
          <w:p>
            <w:pPr>
              <w:pStyle w:val="Contenutotabella"/>
              <w:rPr>
                <w:sz w:val="22"/>
                <w:szCs w:val="22"/>
              </w:rPr>
            </w:pPr>
            <w:r>
              <w:rPr>
                <w:rFonts w:ascii="Times New Roman" w:hAnsi="Times New Roman"/>
                <w:b/>
                <w:bCs/>
                <w:sz w:val="22"/>
                <w:szCs w:val="22"/>
              </w:rPr>
              <w:t>5.Defining the applicability domain - OECD Principle 3</w:t>
            </w:r>
          </w:p>
        </w:tc>
      </w:tr>
    </w:tbl>
    <w:p>
      <w:pPr>
        <w:pStyle w:val="Contenutotabella"/>
        <w:spacing w:lineRule="auto" w:line="276" w:before="57" w:after="0"/>
        <w:rPr/>
      </w:pPr>
      <w:r>
        <w:rPr>
          <w:rFonts w:ascii="Times New Roman" w:hAnsi="Times New Roman"/>
          <w:b/>
          <w:sz w:val="22"/>
          <w:szCs w:val="22"/>
        </w:rPr>
        <w:t>5.1.Description of the applicability domain of the model:</w:t>
      </w:r>
    </w:p>
    <w:p>
      <w:pPr>
        <w:pStyle w:val="Contenutotabella"/>
        <w:spacing w:lineRule="auto" w:line="276" w:before="57" w:after="0"/>
        <w:ind w:left="340" w:hanging="0"/>
        <w:rPr>
          <w:sz w:val="20"/>
          <w:szCs w:val="20"/>
        </w:rPr>
      </w:pPr>
      <w:r>
        <w:rPr>
          <w:rFonts w:ascii="Arial" w:hAnsi="Arial"/>
          <w:sz w:val="20"/>
          <w:szCs w:val="20"/>
        </w:rPr>
        <w:t>The Applicability Domain (AD) is assessed using the original algorithm implemented within VEGA. An overall AD index is calculated, based on a number of parameters, which relate to the results obtained on similar chemicals within the training and test sets.</w:t>
      </w:r>
    </w:p>
    <w:p>
      <w:pPr>
        <w:pStyle w:val="Contenutotabella"/>
        <w:spacing w:lineRule="auto" w:line="276" w:before="57" w:after="0"/>
        <w:rPr/>
      </w:pPr>
      <w:r>
        <w:rPr>
          <w:rFonts w:ascii="Times New Roman" w:hAnsi="Times New Roman"/>
          <w:b/>
          <w:sz w:val="22"/>
          <w:szCs w:val="22"/>
        </w:rPr>
        <w:t>5.2.Method used to assess the applicability domain:</w:t>
      </w:r>
    </w:p>
    <w:p>
      <w:pPr>
        <w:pStyle w:val="Contenutotabella"/>
        <w:spacing w:lineRule="auto" w:line="276" w:before="57" w:after="0"/>
        <w:ind w:left="340" w:hanging="0"/>
        <w:rPr/>
      </w:pPr>
      <w:r>
        <w:rPr>
          <w:rFonts w:ascii="Arial" w:hAnsi="Arial"/>
          <w:sz w:val="20"/>
          <w:szCs w:val="20"/>
        </w:rPr>
        <w:t>The chemical similarity is measured with the algorithm developed for VEGA. Full details are in the VEGA website (www.vegahub.eu), including the open access paper describing it. The AD also evaluates the correctness of the prediction on similar compounds (accuracy), the consistency between the predicted value for the target compound and the experimental values of the similar compounds, the range of the descriptors, and the presence of unusual fragments, using atom centred fragments.</w:t>
      </w:r>
    </w:p>
    <w:p>
      <w:pPr>
        <w:pStyle w:val="Contenutotabella"/>
        <w:spacing w:lineRule="auto" w:line="276" w:before="57" w:after="0"/>
        <w:rPr/>
      </w:pPr>
      <w:r>
        <w:rPr>
          <w:rFonts w:ascii="Times New Roman" w:hAnsi="Times New Roman"/>
          <w:b/>
          <w:sz w:val="22"/>
          <w:szCs w:val="22"/>
        </w:rPr>
        <w:t>5.3.Software name and version for applicability domain assessment:</w:t>
      </w:r>
    </w:p>
    <w:p>
      <w:pPr>
        <w:pStyle w:val="Contenutotabella"/>
        <w:spacing w:lineRule="auto" w:line="276" w:before="57" w:after="0"/>
        <w:ind w:left="340" w:hanging="0"/>
        <w:rPr>
          <w:rFonts w:ascii="Arial" w:hAnsi="Arial"/>
          <w:sz w:val="20"/>
          <w:szCs w:val="20"/>
        </w:rPr>
      </w:pPr>
      <w:r>
        <w:rPr>
          <w:rFonts w:ascii="Arial" w:hAnsi="Arial"/>
          <w:sz w:val="20"/>
          <w:szCs w:val="20"/>
        </w:rPr>
        <w:t>VEGA</w:t>
      </w:r>
    </w:p>
    <w:p>
      <w:pPr>
        <w:pStyle w:val="Contenutotabella"/>
        <w:spacing w:lineRule="auto" w:line="276" w:before="57" w:after="0"/>
        <w:ind w:left="340" w:hanging="0"/>
        <w:rPr>
          <w:rFonts w:ascii="Arial" w:hAnsi="Arial"/>
          <w:sz w:val="20"/>
          <w:szCs w:val="20"/>
        </w:rPr>
      </w:pPr>
      <w:r>
        <w:rPr>
          <w:rFonts w:ascii="Arial" w:hAnsi="Arial"/>
          <w:sz w:val="20"/>
          <w:szCs w:val="20"/>
        </w:rPr>
        <w:t>Included in the VEGA software and automatically displayed when running the model</w:t>
      </w:r>
    </w:p>
    <w:p>
      <w:pPr>
        <w:pStyle w:val="Contenutotabella"/>
        <w:spacing w:lineRule="auto" w:line="276" w:before="57" w:after="0"/>
        <w:ind w:left="340" w:hanging="0"/>
        <w:rPr>
          <w:rFonts w:ascii="Arial" w:hAnsi="Arial"/>
          <w:sz w:val="20"/>
          <w:szCs w:val="20"/>
        </w:rPr>
      </w:pPr>
      <w:r>
        <w:rPr>
          <w:rFonts w:ascii="Arial" w:hAnsi="Arial"/>
          <w:sz w:val="20"/>
          <w:szCs w:val="20"/>
        </w:rPr>
        <w:t>emilio.benfenati@marionegri.it</w:t>
      </w:r>
    </w:p>
    <w:p>
      <w:pPr>
        <w:pStyle w:val="Contenutotabella"/>
        <w:spacing w:lineRule="auto" w:line="276" w:before="57" w:after="0"/>
        <w:ind w:left="340" w:hanging="0"/>
        <w:rPr>
          <w:sz w:val="20"/>
          <w:szCs w:val="20"/>
        </w:rPr>
      </w:pPr>
      <w:r>
        <w:rPr>
          <w:rFonts w:ascii="Arial" w:hAnsi="Arial"/>
          <w:sz w:val="20"/>
          <w:szCs w:val="20"/>
        </w:rPr>
        <w:t>https://www.vegahub.eu/</w:t>
      </w:r>
    </w:p>
    <w:p>
      <w:pPr>
        <w:pStyle w:val="Contenutotabella"/>
        <w:spacing w:lineRule="auto" w:line="276" w:before="57" w:after="0"/>
        <w:rPr>
          <w:rFonts w:ascii="Times New Roman" w:hAnsi="Times New Roman"/>
          <w:b/>
          <w:b/>
          <w:bCs/>
        </w:rPr>
      </w:pPr>
      <w:r>
        <w:rPr>
          <w:rFonts w:ascii="Times New Roman" w:hAnsi="Times New Roman"/>
          <w:b/>
          <w:bCs/>
          <w:sz w:val="22"/>
          <w:szCs w:val="22"/>
        </w:rPr>
        <w:t>5.4.Limits of applicability:</w:t>
      </w:r>
    </w:p>
    <w:p>
      <w:pPr>
        <w:pStyle w:val="Contenutotabella"/>
        <w:spacing w:lineRule="auto" w:line="276" w:before="57" w:after="0"/>
        <w:ind w:left="340" w:hanging="0"/>
        <w:rPr>
          <w:rFonts w:ascii="Arial" w:hAnsi="Arial"/>
          <w:sz w:val="20"/>
          <w:szCs w:val="20"/>
        </w:rPr>
      </w:pPr>
      <w:r>
        <w:rPr>
          <w:rFonts w:ascii="Arial" w:hAnsi="Arial"/>
          <w:sz w:val="20"/>
          <w:szCs w:val="20"/>
        </w:rPr>
        <w:t>The model is not applicable to inorganic chemicals and substances containing unusual elements (i.e., different from C, O, N, S, P, Cl, Br, F, I). Salts can be predicted only if converted to the neutralized form.</w:t>
      </w:r>
    </w:p>
    <w:p>
      <w:pPr>
        <w:pStyle w:val="Contenutotabella"/>
        <w:spacing w:lineRule="auto" w:line="276" w:before="57" w:after="0"/>
        <w:ind w:left="340" w:hanging="0"/>
        <w:rPr>
          <w:rFonts w:ascii="Arial" w:hAnsi="Arial"/>
          <w:sz w:val="20"/>
          <w:szCs w:val="20"/>
        </w:rPr>
      </w:pPr>
      <w:r>
        <w:rPr>
          <w:rFonts w:ascii="Arial" w:hAnsi="Arial"/>
          <w:sz w:val="20"/>
          <w:szCs w:val="20"/>
        </w:rPr>
        <w:t>The model is suitable for compounds that have the descriptors in the</w:t>
      </w:r>
    </w:p>
    <w:p>
      <w:pPr>
        <w:pStyle w:val="Contenutotabella"/>
        <w:spacing w:lineRule="auto" w:line="276" w:before="57" w:after="0"/>
        <w:ind w:left="340" w:hanging="0"/>
        <w:rPr>
          <w:rFonts w:ascii="Arial" w:hAnsi="Arial"/>
          <w:sz w:val="20"/>
          <w:szCs w:val="20"/>
        </w:rPr>
      </w:pPr>
      <w:r>
        <w:rPr>
          <w:rFonts w:ascii="Arial" w:hAnsi="Arial"/>
          <w:sz w:val="20"/>
          <w:szCs w:val="20"/>
        </w:rPr>
        <w:t>following ranges:</w:t>
      </w:r>
    </w:p>
    <w:p>
      <w:pPr>
        <w:pStyle w:val="Contenutotabella"/>
        <w:spacing w:lineRule="auto" w:line="276" w:before="57" w:after="0"/>
        <w:ind w:left="340" w:hanging="0"/>
        <w:rPr>
          <w:rFonts w:ascii="Arial" w:hAnsi="Arial"/>
          <w:sz w:val="20"/>
          <w:szCs w:val="20"/>
        </w:rPr>
      </w:pPr>
      <w:r>
        <w:rPr>
          <w:rFonts w:ascii="Arial" w:hAnsi="Arial"/>
          <w:sz w:val="20"/>
          <w:szCs w:val="20"/>
        </w:rPr>
        <w:t>[1] SsCH3_acnt min 0 - max 16; SdCH2_acnt min 0 - max 3;</w:t>
      </w:r>
    </w:p>
    <w:p>
      <w:pPr>
        <w:pStyle w:val="Contenutotabella"/>
        <w:spacing w:lineRule="auto" w:line="276" w:before="57" w:after="0"/>
        <w:ind w:left="340" w:hanging="0"/>
        <w:rPr>
          <w:rFonts w:ascii="Arial" w:hAnsi="Arial"/>
          <w:sz w:val="20"/>
          <w:szCs w:val="20"/>
        </w:rPr>
      </w:pPr>
      <w:r>
        <w:rPr>
          <w:rFonts w:ascii="Arial" w:hAnsi="Arial"/>
          <w:sz w:val="20"/>
          <w:szCs w:val="20"/>
        </w:rPr>
        <w:t>[2] SssCH2_acnt min 0 - max 39; SdsCH_acnt min 0 - max 18;</w:t>
      </w:r>
    </w:p>
    <w:p>
      <w:pPr>
        <w:pStyle w:val="Contenutotabella"/>
        <w:spacing w:lineRule="auto" w:line="276" w:before="57" w:after="0"/>
        <w:ind w:left="340" w:hanging="0"/>
        <w:rPr>
          <w:rFonts w:ascii="Arial" w:hAnsi="Arial"/>
          <w:sz w:val="20"/>
          <w:szCs w:val="20"/>
        </w:rPr>
      </w:pPr>
      <w:r>
        <w:rPr>
          <w:rFonts w:ascii="Arial" w:hAnsi="Arial"/>
          <w:sz w:val="20"/>
          <w:szCs w:val="20"/>
        </w:rPr>
        <w:t>[3] SaaCH_acnt min 0 - max 20; SsssCH_acnt min 0 - max 26;</w:t>
      </w:r>
    </w:p>
    <w:p>
      <w:pPr>
        <w:pStyle w:val="Contenutotabella"/>
        <w:spacing w:lineRule="auto" w:line="276" w:before="57" w:after="0"/>
        <w:ind w:left="340" w:hanging="0"/>
        <w:rPr>
          <w:rFonts w:ascii="Arial" w:hAnsi="Arial"/>
          <w:sz w:val="20"/>
          <w:szCs w:val="20"/>
        </w:rPr>
      </w:pPr>
      <w:r>
        <w:rPr>
          <w:rFonts w:ascii="Arial" w:hAnsi="Arial"/>
          <w:sz w:val="20"/>
          <w:szCs w:val="20"/>
        </w:rPr>
        <w:t>[4] SdssC_acnt min 0 - max 36; SaasC_acnt min 0 - max 18;</w:t>
      </w:r>
    </w:p>
    <w:p>
      <w:pPr>
        <w:pStyle w:val="Contenutotabella"/>
        <w:spacing w:lineRule="auto" w:line="276" w:before="57" w:after="0"/>
        <w:ind w:left="340" w:hanging="0"/>
        <w:rPr>
          <w:rFonts w:ascii="Arial" w:hAnsi="Arial"/>
          <w:sz w:val="20"/>
          <w:szCs w:val="20"/>
        </w:rPr>
      </w:pPr>
      <w:r>
        <w:rPr>
          <w:rFonts w:ascii="Arial" w:hAnsi="Arial"/>
          <w:sz w:val="20"/>
          <w:szCs w:val="20"/>
        </w:rPr>
        <w:t>[5] SaaaC_acnt min 0 - max 12; SssssC_acnt min 0 - max 10;</w:t>
      </w:r>
    </w:p>
    <w:p>
      <w:pPr>
        <w:pStyle w:val="Contenutotabella"/>
        <w:spacing w:lineRule="auto" w:line="276" w:before="57" w:after="0"/>
        <w:ind w:left="340" w:hanging="0"/>
        <w:rPr>
          <w:rFonts w:ascii="Arial" w:hAnsi="Arial"/>
          <w:sz w:val="20"/>
          <w:szCs w:val="20"/>
        </w:rPr>
      </w:pPr>
      <w:r>
        <w:rPr>
          <w:rFonts w:ascii="Arial" w:hAnsi="Arial"/>
          <w:sz w:val="20"/>
          <w:szCs w:val="20"/>
        </w:rPr>
        <w:t>[6] SsNH2_acnt min 0 - max 8; StN_acnt min 0 - max 4;</w:t>
      </w:r>
    </w:p>
    <w:p>
      <w:pPr>
        <w:pStyle w:val="Contenutotabella"/>
        <w:spacing w:lineRule="auto" w:line="276" w:before="57" w:after="0"/>
        <w:ind w:left="340" w:hanging="0"/>
        <w:rPr>
          <w:rFonts w:ascii="Arial" w:hAnsi="Arial"/>
          <w:sz w:val="20"/>
          <w:szCs w:val="20"/>
        </w:rPr>
      </w:pPr>
      <w:r>
        <w:rPr>
          <w:rFonts w:ascii="Arial" w:hAnsi="Arial"/>
          <w:sz w:val="20"/>
          <w:szCs w:val="20"/>
        </w:rPr>
        <w:t>[7] SdsN_acnt min 0 - max 6; SaaN_acnt min 0 - max 5;</w:t>
      </w:r>
    </w:p>
    <w:p>
      <w:pPr>
        <w:pStyle w:val="Contenutotabella"/>
        <w:spacing w:lineRule="auto" w:line="276" w:before="57" w:after="0"/>
        <w:ind w:left="340" w:hanging="0"/>
        <w:rPr>
          <w:rFonts w:ascii="Arial" w:hAnsi="Arial"/>
          <w:sz w:val="20"/>
          <w:szCs w:val="20"/>
        </w:rPr>
      </w:pPr>
      <w:r>
        <w:rPr>
          <w:rFonts w:ascii="Arial" w:hAnsi="Arial"/>
          <w:sz w:val="20"/>
          <w:szCs w:val="20"/>
        </w:rPr>
        <w:t>[8] SsssN_acnt min 0 - max 6; SdaaN_acnt min 0 - max 2;</w:t>
      </w:r>
    </w:p>
    <w:p>
      <w:pPr>
        <w:pStyle w:val="Contenutotabella"/>
        <w:spacing w:lineRule="auto" w:line="276" w:before="57" w:after="0"/>
        <w:ind w:left="340" w:hanging="0"/>
        <w:rPr>
          <w:rFonts w:ascii="Arial" w:hAnsi="Arial"/>
          <w:sz w:val="20"/>
          <w:szCs w:val="20"/>
        </w:rPr>
      </w:pPr>
      <w:r>
        <w:rPr>
          <w:rFonts w:ascii="Arial" w:hAnsi="Arial"/>
          <w:sz w:val="20"/>
          <w:szCs w:val="20"/>
        </w:rPr>
        <w:t>[9] SsOH_acnt min 0 - max 14; SdO_acnt min 0 - max 31;</w:t>
      </w:r>
    </w:p>
    <w:p>
      <w:pPr>
        <w:pStyle w:val="Contenutotabella"/>
        <w:spacing w:lineRule="auto" w:line="276" w:before="57" w:after="0"/>
        <w:ind w:left="340" w:hanging="0"/>
        <w:rPr>
          <w:rFonts w:ascii="Arial" w:hAnsi="Arial"/>
          <w:sz w:val="20"/>
          <w:szCs w:val="20"/>
        </w:rPr>
      </w:pPr>
      <w:r>
        <w:rPr>
          <w:rFonts w:ascii="Arial" w:hAnsi="Arial"/>
          <w:sz w:val="20"/>
          <w:szCs w:val="20"/>
        </w:rPr>
        <w:t>[10] SssO_acnt min 0 - max 14; SaaO_acnt min 0 - max 2;</w:t>
      </w:r>
    </w:p>
    <w:p>
      <w:pPr>
        <w:pStyle w:val="Contenutotabella"/>
        <w:spacing w:lineRule="auto" w:line="276" w:before="57" w:after="0"/>
        <w:ind w:left="340" w:hanging="0"/>
        <w:rPr>
          <w:rFonts w:ascii="Arial" w:hAnsi="Arial"/>
          <w:sz w:val="20"/>
          <w:szCs w:val="20"/>
        </w:rPr>
      </w:pPr>
      <w:r>
        <w:rPr>
          <w:rFonts w:ascii="Arial" w:hAnsi="Arial"/>
          <w:sz w:val="20"/>
          <w:szCs w:val="20"/>
        </w:rPr>
        <w:t>[11] SHCHnX_Acnt min 0 - max 6; Gmin min -9.06 - max 2.25;</w:t>
      </w:r>
    </w:p>
    <w:p>
      <w:pPr>
        <w:pStyle w:val="Contenutotabella"/>
        <w:spacing w:lineRule="auto" w:line="276" w:before="57" w:after="0"/>
        <w:ind w:left="340" w:hanging="0"/>
        <w:rPr>
          <w:rFonts w:ascii="Arial" w:hAnsi="Arial"/>
          <w:sz w:val="20"/>
          <w:szCs w:val="20"/>
        </w:rPr>
      </w:pPr>
      <w:r>
        <w:rPr>
          <w:rFonts w:ascii="Arial" w:hAnsi="Arial"/>
          <w:sz w:val="20"/>
          <w:szCs w:val="20"/>
        </w:rPr>
        <w:t>[12] idwbar min 0 - max 14.28; nrings min 0 - max 10;ALOGP min -12.9 - max 13.59;</w:t>
      </w:r>
    </w:p>
    <w:p>
      <w:pPr>
        <w:pStyle w:val="Contenutotabella"/>
        <w:spacing w:lineRule="auto" w:line="276" w:before="57" w:after="0"/>
        <w:ind w:left="340" w:hanging="0"/>
        <w:rPr>
          <w:rFonts w:ascii="Arial" w:hAnsi="Arial"/>
          <w:sz w:val="20"/>
          <w:szCs w:val="20"/>
        </w:rPr>
      </w:pPr>
      <w:r>
        <w:rPr>
          <w:rFonts w:ascii="Arial" w:hAnsi="Arial"/>
          <w:sz w:val="20"/>
          <w:szCs w:val="20"/>
        </w:rPr>
        <w:t>The user has also to evaluate the ADI described in 5.1.</w:t>
      </w:r>
    </w:p>
    <w:p>
      <w:pPr>
        <w:pStyle w:val="Contenutotabella"/>
        <w:spacing w:lineRule="auto" w:line="276" w:before="57" w:after="0"/>
        <w:ind w:left="340" w:hanging="0"/>
        <w:rPr>
          <w:rFonts w:ascii="Arial" w:hAnsi="Arial"/>
          <w:sz w:val="20"/>
          <w:szCs w:val="20"/>
        </w:rPr>
      </w:pPr>
      <w:r>
        <w:rPr>
          <w:rFonts w:ascii="Arial" w:hAnsi="Arial"/>
          <w:sz w:val="20"/>
          <w:szCs w:val="20"/>
        </w:rPr>
      </w:r>
    </w:p>
    <w:p>
      <w:pPr>
        <w:pStyle w:val="Contenutotabella"/>
        <w:spacing w:lineRule="auto" w:line="276" w:before="57" w:after="0"/>
        <w:ind w:left="340" w:hanging="0"/>
        <w:rPr>
          <w:rFonts w:ascii="Arial" w:hAnsi="Arial"/>
        </w:rPr>
      </w:pPr>
      <w:r>
        <w:rPr>
          <w:rFonts w:ascii="Arial" w:hAnsi="Arial"/>
        </w:rPr>
      </w:r>
    </w:p>
    <w:tbl>
      <w:tblPr>
        <w:tblW w:w="987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50" w:type="dxa"/>
          <w:bottom w:w="55" w:type="dxa"/>
          <w:right w:w="55" w:type="dxa"/>
        </w:tblCellMar>
        <w:tblLook w:noVBand="0" w:val="0000" w:noHBand="0" w:lastColumn="0" w:firstColumn="0" w:lastRow="0" w:firstRow="0"/>
      </w:tblPr>
      <w:tblGrid>
        <w:gridCol w:w="9870"/>
      </w:tblGrid>
      <w:tr>
        <w:trPr/>
        <w:tc>
          <w:tcPr>
            <w:tcW w:w="98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DDDDDD" w:val="clear"/>
          </w:tcPr>
          <w:p>
            <w:pPr>
              <w:pStyle w:val="Contenutotabella"/>
              <w:rPr>
                <w:sz w:val="22"/>
                <w:szCs w:val="22"/>
              </w:rPr>
            </w:pPr>
            <w:r>
              <w:rPr>
                <w:rFonts w:ascii="Times New Roman" w:hAnsi="Times New Roman"/>
                <w:b/>
                <w:bCs/>
                <w:sz w:val="22"/>
                <w:szCs w:val="22"/>
              </w:rPr>
              <w:t>6.Internal validation - OECD Principle 4</w:t>
            </w:r>
          </w:p>
        </w:tc>
      </w:tr>
    </w:tbl>
    <w:p>
      <w:pPr>
        <w:pStyle w:val="Contenutotabella"/>
        <w:spacing w:lineRule="auto" w:line="276" w:before="57" w:after="0"/>
        <w:rPr/>
      </w:pPr>
      <w:r>
        <w:rPr>
          <w:rFonts w:ascii="Times New Roman" w:hAnsi="Times New Roman"/>
          <w:b/>
          <w:sz w:val="22"/>
          <w:szCs w:val="22"/>
        </w:rPr>
        <w:t>6.1.Availability of the training set:</w:t>
      </w:r>
    </w:p>
    <w:p>
      <w:pPr>
        <w:pStyle w:val="Contenutotabella"/>
        <w:spacing w:lineRule="auto" w:line="276" w:before="57" w:after="0"/>
        <w:ind w:left="340" w:hanging="0"/>
        <w:rPr>
          <w:rFonts w:ascii="Arial" w:hAnsi="Arial"/>
          <w:sz w:val="20"/>
          <w:szCs w:val="20"/>
        </w:rPr>
      </w:pPr>
      <w:r>
        <w:rPr>
          <w:rFonts w:ascii="Arial" w:hAnsi="Arial"/>
          <w:sz w:val="20"/>
          <w:szCs w:val="20"/>
        </w:rPr>
        <w:t>Yes</w:t>
      </w:r>
    </w:p>
    <w:p>
      <w:pPr>
        <w:pStyle w:val="Contenutotabella"/>
        <w:spacing w:lineRule="auto" w:line="276" w:before="57" w:after="0"/>
        <w:rPr/>
      </w:pPr>
      <w:r>
        <w:rPr>
          <w:rFonts w:ascii="Times New Roman" w:hAnsi="Times New Roman"/>
          <w:b/>
          <w:sz w:val="22"/>
          <w:szCs w:val="22"/>
        </w:rPr>
        <w:t>6.2.Available information for the training set:</w:t>
      </w:r>
    </w:p>
    <w:p>
      <w:pPr>
        <w:pStyle w:val="Contenutotabella"/>
        <w:spacing w:lineRule="auto" w:line="276" w:before="57" w:after="0"/>
        <w:ind w:left="340" w:hanging="0"/>
        <w:rPr>
          <w:sz w:val="20"/>
          <w:szCs w:val="20"/>
        </w:rPr>
      </w:pPr>
      <w:r>
        <w:rPr>
          <w:rFonts w:ascii="Arial" w:hAnsi="Arial"/>
          <w:sz w:val="20"/>
          <w:szCs w:val="20"/>
        </w:rPr>
        <w:t>CAS RN: Yes</w:t>
      </w:r>
    </w:p>
    <w:p>
      <w:pPr>
        <w:pStyle w:val="Contenutotabella"/>
        <w:spacing w:lineRule="auto" w:line="276" w:before="57" w:after="0"/>
        <w:ind w:left="340" w:hanging="0"/>
        <w:rPr>
          <w:sz w:val="20"/>
          <w:szCs w:val="20"/>
        </w:rPr>
      </w:pPr>
      <w:r>
        <w:rPr>
          <w:rFonts w:ascii="Arial" w:hAnsi="Arial"/>
          <w:sz w:val="20"/>
          <w:szCs w:val="20"/>
        </w:rPr>
        <w:t>Chemical Name: Yes</w:t>
      </w:r>
    </w:p>
    <w:p>
      <w:pPr>
        <w:pStyle w:val="Contenutotabella"/>
        <w:spacing w:lineRule="auto" w:line="276" w:before="57" w:after="0"/>
        <w:ind w:left="340" w:hanging="0"/>
        <w:rPr>
          <w:sz w:val="20"/>
          <w:szCs w:val="20"/>
          <w:lang w:val="it-IT"/>
        </w:rPr>
      </w:pPr>
      <w:r>
        <w:rPr>
          <w:rFonts w:ascii="Arial" w:hAnsi="Arial"/>
          <w:sz w:val="20"/>
          <w:szCs w:val="20"/>
          <w:lang w:val="it-IT"/>
        </w:rPr>
        <w:t>Smiles: Yes</w:t>
      </w:r>
    </w:p>
    <w:p>
      <w:pPr>
        <w:pStyle w:val="Contenutotabella"/>
        <w:spacing w:lineRule="auto" w:line="276" w:before="57" w:after="0"/>
        <w:ind w:left="340" w:hanging="0"/>
        <w:rPr>
          <w:sz w:val="20"/>
          <w:szCs w:val="20"/>
          <w:lang w:val="it-IT"/>
        </w:rPr>
      </w:pPr>
      <w:r>
        <w:rPr>
          <w:rFonts w:ascii="Arial" w:hAnsi="Arial"/>
          <w:sz w:val="20"/>
          <w:szCs w:val="20"/>
          <w:lang w:val="it-IT"/>
        </w:rPr>
        <w:t>Formula: Yes</w:t>
      </w:r>
    </w:p>
    <w:p>
      <w:pPr>
        <w:pStyle w:val="Contenutotabella"/>
        <w:spacing w:lineRule="auto" w:line="276" w:before="57" w:after="0"/>
        <w:ind w:left="340" w:hanging="0"/>
        <w:rPr>
          <w:sz w:val="20"/>
          <w:szCs w:val="20"/>
          <w:lang w:val="it-IT"/>
        </w:rPr>
      </w:pPr>
      <w:r>
        <w:rPr>
          <w:rFonts w:ascii="Arial" w:hAnsi="Arial"/>
          <w:sz w:val="20"/>
          <w:szCs w:val="20"/>
          <w:lang w:val="it-IT"/>
        </w:rPr>
        <w:t>INChI: No</w:t>
      </w:r>
    </w:p>
    <w:p>
      <w:pPr>
        <w:pStyle w:val="Contenutotabella"/>
        <w:spacing w:lineRule="auto" w:line="276" w:before="57" w:after="0"/>
        <w:ind w:left="340" w:hanging="0"/>
        <w:rPr>
          <w:sz w:val="20"/>
          <w:szCs w:val="20"/>
          <w:lang w:val="it-IT"/>
        </w:rPr>
      </w:pPr>
      <w:r>
        <w:rPr>
          <w:rFonts w:ascii="Arial" w:hAnsi="Arial"/>
          <w:sz w:val="20"/>
          <w:szCs w:val="20"/>
          <w:lang w:val="it-IT"/>
        </w:rPr>
        <w:t>MOL file: Yes</w:t>
      </w:r>
    </w:p>
    <w:p>
      <w:pPr>
        <w:pStyle w:val="Contenutotabella"/>
        <w:spacing w:lineRule="auto" w:line="276" w:before="57" w:after="0"/>
        <w:rPr/>
      </w:pPr>
      <w:r>
        <w:rPr>
          <w:rFonts w:ascii="Times New Roman" w:hAnsi="Times New Roman"/>
          <w:b/>
          <w:sz w:val="22"/>
          <w:szCs w:val="22"/>
        </w:rPr>
        <w:t>6.3.Data for each descriptor variable for the training set:</w:t>
      </w:r>
    </w:p>
    <w:p>
      <w:pPr>
        <w:pStyle w:val="Contenutotabella"/>
        <w:spacing w:lineRule="auto" w:line="276" w:before="57" w:after="0"/>
        <w:ind w:left="340" w:hanging="0"/>
        <w:rPr>
          <w:rFonts w:ascii="Arial" w:hAnsi="Arial"/>
          <w:sz w:val="20"/>
          <w:szCs w:val="20"/>
        </w:rPr>
      </w:pPr>
      <w:r>
        <w:rPr>
          <w:rFonts w:ascii="Arial" w:hAnsi="Arial"/>
          <w:sz w:val="20"/>
          <w:szCs w:val="20"/>
        </w:rPr>
        <w:t>All</w:t>
      </w:r>
    </w:p>
    <w:p>
      <w:pPr>
        <w:pStyle w:val="Contenutotabella"/>
        <w:spacing w:lineRule="auto" w:line="276" w:before="57" w:after="0"/>
        <w:rPr/>
      </w:pPr>
      <w:r>
        <w:rPr>
          <w:rFonts w:ascii="Times New Roman" w:hAnsi="Times New Roman"/>
          <w:b/>
          <w:sz w:val="22"/>
          <w:szCs w:val="22"/>
        </w:rPr>
        <w:t>6.4.Data for the dependent variable for the training set:</w:t>
      </w:r>
    </w:p>
    <w:p>
      <w:pPr>
        <w:pStyle w:val="Contenutotabella"/>
        <w:spacing w:lineRule="auto" w:line="276" w:before="57" w:after="0"/>
        <w:ind w:left="340" w:hanging="0"/>
        <w:rPr>
          <w:rFonts w:ascii="Arial" w:hAnsi="Arial"/>
          <w:sz w:val="20"/>
          <w:szCs w:val="20"/>
        </w:rPr>
      </w:pPr>
      <w:r>
        <w:rPr>
          <w:rFonts w:ascii="Arial" w:hAnsi="Arial"/>
          <w:sz w:val="20"/>
          <w:szCs w:val="20"/>
        </w:rPr>
        <w:t>All</w:t>
      </w:r>
    </w:p>
    <w:p>
      <w:pPr>
        <w:pStyle w:val="Contenutotabella"/>
        <w:spacing w:lineRule="auto" w:line="276" w:before="57" w:after="0"/>
        <w:rPr/>
      </w:pPr>
      <w:r>
        <w:rPr>
          <w:rFonts w:ascii="Times New Roman" w:hAnsi="Times New Roman"/>
          <w:b/>
          <w:sz w:val="22"/>
          <w:szCs w:val="22"/>
        </w:rPr>
        <w:t>6.5.Other information about the training set:</w:t>
      </w:r>
    </w:p>
    <w:p>
      <w:pPr>
        <w:pStyle w:val="Contenutotabella"/>
        <w:spacing w:lineRule="auto" w:line="276" w:before="57" w:after="0"/>
        <w:ind w:left="340" w:hanging="0"/>
        <w:rPr>
          <w:rFonts w:ascii="Arial" w:hAnsi="Arial"/>
          <w:sz w:val="20"/>
          <w:szCs w:val="20"/>
        </w:rPr>
      </w:pPr>
      <w:r>
        <w:rPr>
          <w:rFonts w:ascii="Arial" w:hAnsi="Arial"/>
          <w:sz w:val="20"/>
          <w:szCs w:val="20"/>
        </w:rPr>
        <w:t xml:space="preserve"> </w:t>
      </w:r>
      <w:r>
        <w:rPr>
          <w:rFonts w:ascii="Arial" w:hAnsi="Arial"/>
          <w:sz w:val="20"/>
          <w:szCs w:val="20"/>
        </w:rPr>
        <w:t>NA</w:t>
      </w:r>
    </w:p>
    <w:p>
      <w:pPr>
        <w:pStyle w:val="Contenutotabella"/>
        <w:spacing w:lineRule="auto" w:line="276" w:before="57" w:after="0"/>
        <w:rPr>
          <w:rFonts w:ascii="Arial" w:hAnsi="Arial"/>
          <w:sz w:val="20"/>
          <w:szCs w:val="20"/>
        </w:rPr>
      </w:pPr>
      <w:r>
        <w:rPr>
          <w:rFonts w:ascii="Times New Roman" w:hAnsi="Times New Roman"/>
          <w:b/>
          <w:sz w:val="22"/>
          <w:szCs w:val="22"/>
        </w:rPr>
        <w:t>6.6.Pre-processing of data before modelling:</w:t>
      </w:r>
    </w:p>
    <w:p>
      <w:pPr>
        <w:pStyle w:val="Contenutotabella"/>
        <w:spacing w:lineRule="auto" w:line="276" w:before="57" w:after="0"/>
        <w:ind w:left="340" w:hanging="0"/>
        <w:rPr>
          <w:rFonts w:ascii="Arial" w:hAnsi="Arial"/>
          <w:sz w:val="20"/>
          <w:szCs w:val="20"/>
        </w:rPr>
      </w:pPr>
      <w:r>
        <w:rPr>
          <w:rFonts w:ascii="Arial" w:hAnsi="Arial"/>
          <w:sz w:val="20"/>
          <w:szCs w:val="20"/>
        </w:rPr>
        <w:t>All chemical structures have been checked manually</w:t>
      </w:r>
    </w:p>
    <w:p>
      <w:pPr>
        <w:pStyle w:val="Contenutotabella"/>
        <w:spacing w:lineRule="auto" w:line="276" w:before="57" w:after="0"/>
        <w:rPr/>
      </w:pPr>
      <w:r>
        <w:rPr>
          <w:rFonts w:ascii="Times New Roman" w:hAnsi="Times New Roman"/>
          <w:b/>
          <w:sz w:val="22"/>
          <w:szCs w:val="22"/>
        </w:rPr>
        <w:t>6.7.Statistics for goodness-of-fit:</w:t>
      </w:r>
    </w:p>
    <w:p>
      <w:pPr>
        <w:pStyle w:val="Contenutotabella"/>
        <w:spacing w:lineRule="auto" w:line="276" w:before="57" w:after="0"/>
        <w:ind w:left="340" w:hanging="0"/>
        <w:rPr>
          <w:rFonts w:ascii="Arial" w:hAnsi="Arial"/>
          <w:sz w:val="20"/>
          <w:szCs w:val="20"/>
        </w:rPr>
      </w:pPr>
      <w:r>
        <w:rPr>
          <w:rFonts w:ascii="Arial" w:hAnsi="Arial"/>
          <w:sz w:val="20"/>
          <w:szCs w:val="20"/>
        </w:rPr>
        <w:t>If "suspicious" predictions are taken as "mutagenic":</w:t>
      </w:r>
    </w:p>
    <w:p>
      <w:pPr>
        <w:pStyle w:val="Contenutotabella"/>
        <w:spacing w:lineRule="auto" w:line="276" w:before="57" w:after="0"/>
        <w:ind w:left="340" w:hanging="0"/>
        <w:rPr>
          <w:rFonts w:ascii="Arial" w:hAnsi="Arial"/>
          <w:sz w:val="20"/>
          <w:szCs w:val="20"/>
        </w:rPr>
      </w:pPr>
      <w:r>
        <w:rPr>
          <w:rFonts w:ascii="Arial" w:hAnsi="Arial"/>
          <w:sz w:val="20"/>
          <w:szCs w:val="20"/>
        </w:rPr>
        <w:t>Accuracy = 90.7%</w:t>
      </w:r>
    </w:p>
    <w:p>
      <w:pPr>
        <w:pStyle w:val="Contenutotabella"/>
        <w:spacing w:lineRule="auto" w:line="276" w:before="57" w:after="0"/>
        <w:ind w:left="340" w:hanging="0"/>
        <w:rPr>
          <w:rFonts w:ascii="Arial" w:hAnsi="Arial"/>
          <w:sz w:val="20"/>
          <w:szCs w:val="20"/>
        </w:rPr>
      </w:pPr>
      <w:r>
        <w:rPr>
          <w:rFonts w:ascii="Arial" w:hAnsi="Arial"/>
          <w:sz w:val="20"/>
          <w:szCs w:val="20"/>
        </w:rPr>
        <w:t>Sensitivity = 96.3%</w:t>
      </w:r>
    </w:p>
    <w:p>
      <w:pPr>
        <w:pStyle w:val="Contenutotabella"/>
        <w:spacing w:lineRule="auto" w:line="276" w:before="57" w:after="0"/>
        <w:ind w:left="340" w:hanging="0"/>
        <w:rPr>
          <w:rFonts w:ascii="Arial" w:hAnsi="Arial"/>
          <w:sz w:val="20"/>
          <w:szCs w:val="20"/>
        </w:rPr>
      </w:pPr>
      <w:r>
        <w:rPr>
          <w:rFonts w:ascii="Arial" w:hAnsi="Arial"/>
          <w:sz w:val="20"/>
          <w:szCs w:val="20"/>
        </w:rPr>
        <w:t>Specificity = 83.5%</w:t>
      </w:r>
    </w:p>
    <w:p>
      <w:pPr>
        <w:pStyle w:val="Contenutotabella"/>
        <w:spacing w:lineRule="auto" w:line="276" w:before="57" w:after="0"/>
        <w:ind w:left="340" w:hanging="0"/>
        <w:rPr>
          <w:rFonts w:ascii="Arial" w:hAnsi="Arial"/>
          <w:sz w:val="20"/>
          <w:szCs w:val="20"/>
        </w:rPr>
      </w:pPr>
      <w:r>
        <w:rPr>
          <w:rFonts w:ascii="Arial" w:hAnsi="Arial"/>
          <w:sz w:val="20"/>
          <w:szCs w:val="20"/>
        </w:rPr>
        <w:t>If "suspicious" predictions are taken as "non-mutagenic":</w:t>
      </w:r>
    </w:p>
    <w:p>
      <w:pPr>
        <w:pStyle w:val="Contenutotabella"/>
        <w:spacing w:lineRule="auto" w:line="276" w:before="57" w:after="0"/>
        <w:ind w:left="340" w:hanging="0"/>
        <w:rPr>
          <w:rFonts w:ascii="Arial" w:hAnsi="Arial"/>
          <w:sz w:val="20"/>
          <w:szCs w:val="20"/>
        </w:rPr>
      </w:pPr>
      <w:r>
        <w:rPr>
          <w:rFonts w:ascii="Arial" w:hAnsi="Arial"/>
          <w:sz w:val="20"/>
          <w:szCs w:val="20"/>
        </w:rPr>
        <w:t>6.Internal validation - OECD Principle 4Accuracy = 92.5%</w:t>
      </w:r>
    </w:p>
    <w:p>
      <w:pPr>
        <w:pStyle w:val="Contenutotabella"/>
        <w:spacing w:lineRule="auto" w:line="276" w:before="57" w:after="0"/>
        <w:ind w:left="340" w:hanging="0"/>
        <w:rPr>
          <w:rFonts w:ascii="Arial" w:hAnsi="Arial"/>
          <w:sz w:val="20"/>
          <w:szCs w:val="20"/>
        </w:rPr>
      </w:pPr>
      <w:r>
        <w:rPr>
          <w:rFonts w:ascii="Arial" w:hAnsi="Arial"/>
          <w:sz w:val="20"/>
          <w:szCs w:val="20"/>
        </w:rPr>
        <w:t>Sensitivity = 95.5%</w:t>
      </w:r>
    </w:p>
    <w:p>
      <w:pPr>
        <w:pStyle w:val="Contenutotabella"/>
        <w:spacing w:lineRule="auto" w:line="276" w:before="57" w:after="0"/>
        <w:ind w:left="340" w:hanging="0"/>
        <w:rPr>
          <w:rFonts w:ascii="Arial" w:hAnsi="Arial"/>
          <w:sz w:val="20"/>
          <w:szCs w:val="20"/>
        </w:rPr>
      </w:pPr>
      <w:r>
        <w:rPr>
          <w:rFonts w:ascii="Arial" w:hAnsi="Arial"/>
          <w:sz w:val="20"/>
          <w:szCs w:val="20"/>
        </w:rPr>
        <w:t>Specificity = 88.6%</w:t>
      </w:r>
    </w:p>
    <w:p>
      <w:pPr>
        <w:pStyle w:val="Contenutotabella"/>
        <w:spacing w:lineRule="auto" w:line="276" w:before="57" w:after="0"/>
        <w:rPr/>
      </w:pPr>
      <w:r>
        <w:rPr>
          <w:rFonts w:ascii="Times New Roman" w:hAnsi="Times New Roman"/>
          <w:b/>
          <w:sz w:val="22"/>
          <w:szCs w:val="22"/>
        </w:rPr>
        <w:t>6.8.Robustness - Statistics obtained by leave-one-out cross-validation:</w:t>
      </w:r>
    </w:p>
    <w:p>
      <w:pPr>
        <w:pStyle w:val="Contenutotabella"/>
        <w:spacing w:lineRule="auto" w:line="276" w:before="57" w:after="0"/>
        <w:ind w:left="340" w:hanging="0"/>
        <w:rPr>
          <w:sz w:val="20"/>
          <w:szCs w:val="20"/>
        </w:rPr>
      </w:pPr>
      <w:r>
        <w:rPr>
          <w:rFonts w:ascii="Arial" w:hAnsi="Arial"/>
          <w:sz w:val="20"/>
          <w:szCs w:val="20"/>
        </w:rPr>
        <w:t>NA</w:t>
      </w:r>
    </w:p>
    <w:p>
      <w:pPr>
        <w:pStyle w:val="Contenutotabella"/>
        <w:spacing w:lineRule="auto" w:line="276" w:before="57" w:after="0"/>
        <w:rPr/>
      </w:pPr>
      <w:r>
        <w:rPr>
          <w:rFonts w:ascii="Times New Roman" w:hAnsi="Times New Roman"/>
          <w:b/>
          <w:sz w:val="22"/>
          <w:szCs w:val="22"/>
        </w:rPr>
        <w:t>6.9.Robustness - Statistics obtained by leave-many-out cross-validation:</w:t>
      </w:r>
    </w:p>
    <w:p>
      <w:pPr>
        <w:pStyle w:val="Contenutotabella"/>
        <w:spacing w:lineRule="auto" w:line="276" w:before="57" w:after="0"/>
        <w:ind w:left="340" w:hanging="0"/>
        <w:rPr>
          <w:sz w:val="20"/>
          <w:szCs w:val="20"/>
        </w:rPr>
      </w:pPr>
      <w:r>
        <w:rPr>
          <w:rFonts w:ascii="Arial" w:hAnsi="Arial"/>
          <w:sz w:val="20"/>
          <w:szCs w:val="20"/>
        </w:rPr>
        <w:t>NA</w:t>
      </w:r>
    </w:p>
    <w:p>
      <w:pPr>
        <w:pStyle w:val="Contenutotabella"/>
        <w:spacing w:lineRule="auto" w:line="276" w:before="57" w:after="0"/>
        <w:rPr/>
      </w:pPr>
      <w:r>
        <w:rPr>
          <w:rFonts w:ascii="Times New Roman" w:hAnsi="Times New Roman"/>
          <w:b/>
          <w:sz w:val="22"/>
          <w:szCs w:val="22"/>
        </w:rPr>
        <w:t>6.10.Robustness - Statistics obtained by Y-scrambling:</w:t>
      </w:r>
    </w:p>
    <w:p>
      <w:pPr>
        <w:pStyle w:val="Contenutotabella"/>
        <w:spacing w:lineRule="auto" w:line="276" w:before="57" w:after="0"/>
        <w:ind w:left="340" w:hanging="0"/>
        <w:rPr>
          <w:sz w:val="20"/>
          <w:szCs w:val="20"/>
        </w:rPr>
      </w:pPr>
      <w:r>
        <w:rPr>
          <w:rFonts w:ascii="Arial" w:hAnsi="Arial"/>
          <w:sz w:val="20"/>
          <w:szCs w:val="20"/>
        </w:rPr>
        <w:t>NA</w:t>
      </w:r>
    </w:p>
    <w:p>
      <w:pPr>
        <w:pStyle w:val="Contenutotabella"/>
        <w:spacing w:lineRule="auto" w:line="276" w:before="57" w:after="0"/>
        <w:rPr/>
      </w:pPr>
      <w:r>
        <w:rPr>
          <w:rFonts w:ascii="Times New Roman" w:hAnsi="Times New Roman"/>
          <w:b/>
          <w:sz w:val="22"/>
          <w:szCs w:val="22"/>
        </w:rPr>
        <w:t>6.11.Robustness - Statistics obtained by bootstrap:</w:t>
      </w:r>
    </w:p>
    <w:p>
      <w:pPr>
        <w:pStyle w:val="Contenutotabella"/>
        <w:spacing w:lineRule="auto" w:line="276" w:before="57" w:after="0"/>
        <w:ind w:left="340" w:hanging="0"/>
        <w:rPr>
          <w:sz w:val="20"/>
          <w:szCs w:val="20"/>
        </w:rPr>
      </w:pPr>
      <w:r>
        <w:rPr>
          <w:rFonts w:ascii="Arial" w:hAnsi="Arial"/>
          <w:sz w:val="20"/>
          <w:szCs w:val="20"/>
        </w:rPr>
        <w:t>NA</w:t>
      </w:r>
    </w:p>
    <w:p>
      <w:pPr>
        <w:pStyle w:val="Contenutotabella"/>
        <w:spacing w:lineRule="auto" w:line="276" w:before="57" w:after="0"/>
        <w:rPr/>
      </w:pPr>
      <w:r>
        <w:rPr>
          <w:rFonts w:ascii="Times New Roman" w:hAnsi="Times New Roman"/>
          <w:b/>
          <w:sz w:val="22"/>
          <w:szCs w:val="22"/>
        </w:rPr>
        <w:t>6.12.Robustness - Statistics obtained by other methods:</w:t>
      </w:r>
    </w:p>
    <w:p>
      <w:pPr>
        <w:pStyle w:val="Contenutotabella"/>
        <w:spacing w:lineRule="auto" w:line="276" w:before="57" w:after="0"/>
        <w:ind w:left="340" w:hanging="0"/>
        <w:rPr>
          <w:sz w:val="20"/>
          <w:szCs w:val="20"/>
        </w:rPr>
      </w:pPr>
      <w:r>
        <w:rPr>
          <w:rFonts w:ascii="Arial" w:hAnsi="Arial"/>
          <w:sz w:val="20"/>
          <w:szCs w:val="20"/>
        </w:rPr>
        <w:t>NA</w:t>
      </w:r>
    </w:p>
    <w:p>
      <w:pPr>
        <w:pStyle w:val="Contenutotabella"/>
        <w:spacing w:lineRule="auto" w:line="276" w:before="57" w:after="0"/>
        <w:ind w:left="340" w:hanging="0"/>
        <w:rPr>
          <w:rFonts w:ascii="Arial" w:hAnsi="Arial"/>
        </w:rPr>
      </w:pPr>
      <w:r>
        <w:rPr>
          <w:rFonts w:ascii="Arial" w:hAnsi="Arial"/>
        </w:rPr>
      </w:r>
    </w:p>
    <w:tbl>
      <w:tblPr>
        <w:tblW w:w="987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50" w:type="dxa"/>
          <w:bottom w:w="55" w:type="dxa"/>
          <w:right w:w="55" w:type="dxa"/>
        </w:tblCellMar>
        <w:tblLook w:noVBand="0" w:val="0000" w:noHBand="0" w:lastColumn="0" w:firstColumn="0" w:lastRow="0" w:firstRow="0"/>
      </w:tblPr>
      <w:tblGrid>
        <w:gridCol w:w="9870"/>
      </w:tblGrid>
      <w:tr>
        <w:trPr/>
        <w:tc>
          <w:tcPr>
            <w:tcW w:w="98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DDDDDD" w:val="clear"/>
          </w:tcPr>
          <w:p>
            <w:pPr>
              <w:pStyle w:val="Contenutotabella"/>
              <w:rPr>
                <w:sz w:val="22"/>
                <w:szCs w:val="22"/>
              </w:rPr>
            </w:pPr>
            <w:r>
              <w:rPr>
                <w:rFonts w:ascii="Times New Roman" w:hAnsi="Times New Roman"/>
                <w:b/>
                <w:bCs/>
                <w:sz w:val="22"/>
                <w:szCs w:val="22"/>
              </w:rPr>
              <w:t>7.External validation - OECD Principle 4</w:t>
            </w:r>
          </w:p>
        </w:tc>
      </w:tr>
    </w:tbl>
    <w:p>
      <w:pPr>
        <w:pStyle w:val="Contenutotabella"/>
        <w:spacing w:lineRule="auto" w:line="276" w:before="57" w:after="0"/>
        <w:rPr>
          <w:rFonts w:ascii="Times New Roman" w:hAnsi="Times New Roman"/>
          <w:b/>
          <w:b/>
          <w:bCs/>
        </w:rPr>
      </w:pPr>
      <w:r>
        <w:rPr>
          <w:rFonts w:ascii="Times New Roman" w:hAnsi="Times New Roman"/>
          <w:b/>
          <w:bCs/>
          <w:sz w:val="22"/>
          <w:szCs w:val="22"/>
        </w:rPr>
        <w:t>7.1.Availability of the external validation set:</w:t>
      </w:r>
    </w:p>
    <w:p>
      <w:pPr>
        <w:pStyle w:val="Contenutotabella"/>
        <w:spacing w:lineRule="auto" w:line="276" w:before="57" w:after="0"/>
        <w:ind w:left="340" w:hanging="0"/>
        <w:rPr>
          <w:sz w:val="20"/>
          <w:szCs w:val="20"/>
        </w:rPr>
      </w:pPr>
      <w:r>
        <w:rPr>
          <w:rFonts w:ascii="Arial" w:hAnsi="Arial"/>
          <w:sz w:val="20"/>
          <w:szCs w:val="20"/>
        </w:rPr>
        <w:t>Yes</w:t>
      </w:r>
    </w:p>
    <w:p>
      <w:pPr>
        <w:pStyle w:val="Contenutotabella"/>
        <w:spacing w:lineRule="auto" w:line="276" w:before="57" w:after="0"/>
        <w:rPr>
          <w:rFonts w:ascii="Times New Roman" w:hAnsi="Times New Roman"/>
          <w:b/>
          <w:b/>
          <w:bCs/>
        </w:rPr>
      </w:pPr>
      <w:r>
        <w:rPr>
          <w:rFonts w:ascii="Times New Roman" w:hAnsi="Times New Roman"/>
          <w:b/>
          <w:bCs/>
          <w:sz w:val="22"/>
          <w:szCs w:val="22"/>
        </w:rPr>
        <w:t>7.2.Available information for the external validation set:</w:t>
      </w:r>
    </w:p>
    <w:p>
      <w:pPr>
        <w:pStyle w:val="Contenutotabella"/>
        <w:spacing w:lineRule="auto" w:line="276" w:before="57" w:after="0"/>
        <w:ind w:left="340" w:hanging="0"/>
        <w:rPr>
          <w:rFonts w:ascii="Arial" w:hAnsi="Arial"/>
          <w:sz w:val="20"/>
          <w:szCs w:val="20"/>
        </w:rPr>
      </w:pPr>
      <w:r>
        <w:rPr>
          <w:rFonts w:ascii="Arial" w:hAnsi="Arial"/>
          <w:sz w:val="20"/>
          <w:szCs w:val="20"/>
        </w:rPr>
        <w:t>CAS RN: Yes</w:t>
      </w:r>
    </w:p>
    <w:p>
      <w:pPr>
        <w:pStyle w:val="Contenutotabella"/>
        <w:spacing w:lineRule="auto" w:line="276" w:before="57" w:after="0"/>
        <w:ind w:left="340" w:hanging="0"/>
        <w:rPr>
          <w:rFonts w:ascii="Arial" w:hAnsi="Arial"/>
          <w:sz w:val="20"/>
          <w:szCs w:val="20"/>
        </w:rPr>
      </w:pPr>
      <w:r>
        <w:rPr>
          <w:rFonts w:ascii="Arial" w:hAnsi="Arial"/>
          <w:sz w:val="20"/>
          <w:szCs w:val="20"/>
        </w:rPr>
        <w:t>Chemical Name: Yes</w:t>
      </w:r>
    </w:p>
    <w:p>
      <w:pPr>
        <w:pStyle w:val="Contenutotabella"/>
        <w:spacing w:lineRule="auto" w:line="276" w:before="57" w:after="0"/>
        <w:ind w:left="340" w:hanging="0"/>
        <w:rPr>
          <w:rFonts w:ascii="Arial" w:hAnsi="Arial"/>
          <w:sz w:val="20"/>
          <w:szCs w:val="20"/>
        </w:rPr>
      </w:pPr>
      <w:r>
        <w:rPr>
          <w:rFonts w:ascii="Arial" w:hAnsi="Arial"/>
          <w:sz w:val="20"/>
          <w:szCs w:val="20"/>
        </w:rPr>
        <w:t>Smiles: Yes</w:t>
      </w:r>
    </w:p>
    <w:p>
      <w:pPr>
        <w:pStyle w:val="Contenutotabella"/>
        <w:spacing w:lineRule="auto" w:line="276" w:before="57" w:after="0"/>
        <w:ind w:left="340" w:hanging="0"/>
        <w:rPr>
          <w:rFonts w:ascii="Arial" w:hAnsi="Arial"/>
          <w:sz w:val="20"/>
          <w:szCs w:val="20"/>
        </w:rPr>
      </w:pPr>
      <w:r>
        <w:rPr>
          <w:rFonts w:ascii="Arial" w:hAnsi="Arial"/>
          <w:sz w:val="20"/>
          <w:szCs w:val="20"/>
        </w:rPr>
        <w:t>Formula: Yes</w:t>
      </w:r>
    </w:p>
    <w:p>
      <w:pPr>
        <w:pStyle w:val="Contenutotabella"/>
        <w:spacing w:lineRule="auto" w:line="276" w:before="57" w:after="0"/>
        <w:ind w:left="340" w:hanging="0"/>
        <w:rPr>
          <w:rFonts w:ascii="Arial" w:hAnsi="Arial"/>
          <w:sz w:val="20"/>
          <w:szCs w:val="20"/>
        </w:rPr>
      </w:pPr>
      <w:r>
        <w:rPr>
          <w:rFonts w:ascii="Arial" w:hAnsi="Arial"/>
          <w:sz w:val="20"/>
          <w:szCs w:val="20"/>
        </w:rPr>
        <w:t>INChI: No</w:t>
      </w:r>
    </w:p>
    <w:p>
      <w:pPr>
        <w:pStyle w:val="Contenutotabella"/>
        <w:spacing w:lineRule="auto" w:line="276" w:before="57" w:after="0"/>
        <w:ind w:left="340" w:hanging="0"/>
        <w:rPr>
          <w:sz w:val="20"/>
          <w:szCs w:val="20"/>
        </w:rPr>
      </w:pPr>
      <w:r>
        <w:rPr>
          <w:rFonts w:ascii="Arial" w:hAnsi="Arial"/>
          <w:sz w:val="20"/>
          <w:szCs w:val="20"/>
        </w:rPr>
        <w:t>MOL file: Yes</w:t>
      </w:r>
    </w:p>
    <w:p>
      <w:pPr>
        <w:pStyle w:val="Contenutotabella"/>
        <w:spacing w:lineRule="auto" w:line="276" w:before="57" w:after="0"/>
        <w:rPr>
          <w:rFonts w:ascii="Times New Roman" w:hAnsi="Times New Roman"/>
          <w:b/>
          <w:b/>
          <w:bCs/>
        </w:rPr>
      </w:pPr>
      <w:r>
        <w:rPr>
          <w:rFonts w:ascii="Times New Roman" w:hAnsi="Times New Roman"/>
          <w:b/>
          <w:bCs/>
          <w:sz w:val="22"/>
          <w:szCs w:val="22"/>
        </w:rPr>
        <w:t>7.3.Data for each descriptor variable for the external validation set:</w:t>
      </w:r>
    </w:p>
    <w:p>
      <w:pPr>
        <w:pStyle w:val="Contenutotabella"/>
        <w:spacing w:lineRule="auto" w:line="276" w:before="57" w:after="0"/>
        <w:ind w:left="340" w:hanging="0"/>
        <w:rPr>
          <w:rFonts w:ascii="Times New Roman" w:hAnsi="Times New Roman"/>
          <w:b/>
          <w:b/>
          <w:bCs/>
        </w:rPr>
      </w:pPr>
      <w:r>
        <w:rPr>
          <w:rFonts w:ascii="Arial" w:hAnsi="Arial"/>
          <w:sz w:val="20"/>
          <w:szCs w:val="20"/>
        </w:rPr>
        <w:t>All</w:t>
      </w:r>
    </w:p>
    <w:p>
      <w:pPr>
        <w:pStyle w:val="Contenutotabella"/>
        <w:spacing w:lineRule="auto" w:line="276" w:before="57" w:after="0"/>
        <w:rPr>
          <w:rFonts w:ascii="Times New Roman" w:hAnsi="Times New Roman"/>
          <w:b/>
          <w:b/>
          <w:bCs/>
        </w:rPr>
      </w:pPr>
      <w:r>
        <w:rPr>
          <w:rFonts w:ascii="Times New Roman" w:hAnsi="Times New Roman"/>
          <w:b/>
          <w:bCs/>
          <w:sz w:val="22"/>
          <w:szCs w:val="22"/>
        </w:rPr>
        <w:t>7.4.Data for the dependent variable for the external validation set:</w:t>
      </w:r>
    </w:p>
    <w:p>
      <w:pPr>
        <w:pStyle w:val="Contenutotabella"/>
        <w:spacing w:lineRule="auto" w:line="276" w:before="57" w:after="0"/>
        <w:ind w:left="340" w:hanging="0"/>
        <w:rPr>
          <w:rFonts w:ascii="Times New Roman" w:hAnsi="Times New Roman"/>
          <w:b/>
          <w:b/>
          <w:bCs/>
        </w:rPr>
      </w:pPr>
      <w:r>
        <w:rPr>
          <w:rFonts w:ascii="Arial" w:hAnsi="Arial"/>
          <w:sz w:val="20"/>
          <w:szCs w:val="20"/>
        </w:rPr>
        <w:t>All</w:t>
      </w:r>
    </w:p>
    <w:p>
      <w:pPr>
        <w:pStyle w:val="Contenutotabella"/>
        <w:spacing w:lineRule="auto" w:line="276" w:before="57" w:after="0"/>
        <w:rPr>
          <w:rFonts w:ascii="Times New Roman" w:hAnsi="Times New Roman"/>
          <w:b/>
          <w:b/>
          <w:bCs/>
        </w:rPr>
      </w:pPr>
      <w:r>
        <w:rPr>
          <w:rFonts w:ascii="Times New Roman" w:hAnsi="Times New Roman"/>
          <w:b/>
          <w:bCs/>
          <w:sz w:val="22"/>
          <w:szCs w:val="22"/>
        </w:rPr>
        <w:t>7.5.Other information about the external validation set:</w:t>
      </w:r>
    </w:p>
    <w:p>
      <w:pPr>
        <w:pStyle w:val="Contenutotabella"/>
        <w:spacing w:lineRule="auto" w:line="276" w:before="57" w:after="0"/>
        <w:ind w:left="340" w:hanging="0"/>
        <w:rPr>
          <w:sz w:val="20"/>
          <w:szCs w:val="20"/>
        </w:rPr>
      </w:pPr>
      <w:r>
        <w:rPr>
          <w:rFonts w:ascii="Arial" w:hAnsi="Arial"/>
          <w:sz w:val="20"/>
          <w:szCs w:val="20"/>
        </w:rPr>
        <w:t>NA</w:t>
      </w:r>
    </w:p>
    <w:p>
      <w:pPr>
        <w:pStyle w:val="Contenutotabella"/>
        <w:spacing w:lineRule="auto" w:line="276" w:before="57" w:after="0"/>
        <w:rPr>
          <w:rFonts w:ascii="Times New Roman" w:hAnsi="Times New Roman"/>
          <w:b/>
          <w:b/>
          <w:bCs/>
        </w:rPr>
      </w:pPr>
      <w:r>
        <w:rPr>
          <w:rFonts w:ascii="Times New Roman" w:hAnsi="Times New Roman"/>
          <w:b/>
          <w:bCs/>
          <w:sz w:val="22"/>
          <w:szCs w:val="22"/>
        </w:rPr>
        <w:t>7.6.Experimental design of test set:</w:t>
      </w:r>
    </w:p>
    <w:p>
      <w:pPr>
        <w:pStyle w:val="Contenutotabella"/>
        <w:spacing w:lineRule="auto" w:line="276" w:before="57" w:after="0"/>
        <w:ind w:left="340" w:hanging="0"/>
        <w:rPr>
          <w:sz w:val="20"/>
          <w:szCs w:val="20"/>
        </w:rPr>
      </w:pPr>
      <w:r>
        <w:rPr>
          <w:rFonts w:ascii="Arial" w:hAnsi="Arial"/>
          <w:sz w:val="20"/>
          <w:szCs w:val="20"/>
        </w:rPr>
        <w:t>No selection of chemicals prior to experimentation</w:t>
      </w:r>
    </w:p>
    <w:p>
      <w:pPr>
        <w:pStyle w:val="Contenutotabella"/>
        <w:spacing w:lineRule="auto" w:line="276" w:before="57" w:after="0"/>
        <w:rPr>
          <w:rFonts w:ascii="Times New Roman" w:hAnsi="Times New Roman"/>
          <w:b/>
          <w:b/>
          <w:bCs/>
        </w:rPr>
      </w:pPr>
      <w:r>
        <w:rPr>
          <w:rFonts w:ascii="Times New Roman" w:hAnsi="Times New Roman"/>
          <w:b/>
          <w:bCs/>
          <w:sz w:val="22"/>
          <w:szCs w:val="22"/>
        </w:rPr>
        <w:t>7.7.Predictivity - Statistics obtained by external validation:</w:t>
      </w:r>
    </w:p>
    <w:p>
      <w:pPr>
        <w:pStyle w:val="Contenutotabella"/>
        <w:spacing w:lineRule="auto" w:line="276" w:before="57" w:after="0"/>
        <w:ind w:left="340" w:hanging="0"/>
        <w:rPr>
          <w:rFonts w:ascii="Arial" w:hAnsi="Arial"/>
          <w:sz w:val="20"/>
          <w:szCs w:val="20"/>
        </w:rPr>
      </w:pPr>
      <w:r>
        <w:rPr>
          <w:rFonts w:ascii="Arial" w:hAnsi="Arial"/>
          <w:sz w:val="20"/>
          <w:szCs w:val="20"/>
        </w:rPr>
        <w:t>If "suspicious" predictions are taken as "mutagenic":</w:t>
      </w:r>
    </w:p>
    <w:p>
      <w:pPr>
        <w:pStyle w:val="Contenutotabella"/>
        <w:spacing w:lineRule="auto" w:line="276" w:before="57" w:after="0"/>
        <w:ind w:left="340" w:hanging="0"/>
        <w:rPr>
          <w:rFonts w:ascii="Arial" w:hAnsi="Arial"/>
          <w:sz w:val="20"/>
          <w:szCs w:val="20"/>
        </w:rPr>
      </w:pPr>
      <w:r>
        <w:rPr>
          <w:rFonts w:ascii="Arial" w:hAnsi="Arial"/>
          <w:sz w:val="20"/>
          <w:szCs w:val="20"/>
        </w:rPr>
        <w:t>Accuracy = 81.8%</w:t>
      </w:r>
    </w:p>
    <w:p>
      <w:pPr>
        <w:pStyle w:val="Contenutotabella"/>
        <w:spacing w:lineRule="auto" w:line="276" w:before="57" w:after="0"/>
        <w:ind w:left="340" w:hanging="0"/>
        <w:rPr>
          <w:rFonts w:ascii="Arial" w:hAnsi="Arial"/>
          <w:sz w:val="20"/>
          <w:szCs w:val="20"/>
        </w:rPr>
      </w:pPr>
      <w:r>
        <w:rPr>
          <w:rFonts w:ascii="Arial" w:hAnsi="Arial"/>
          <w:sz w:val="20"/>
          <w:szCs w:val="20"/>
        </w:rPr>
        <w:t>Sensitivity = 89.7%</w:t>
      </w:r>
    </w:p>
    <w:p>
      <w:pPr>
        <w:pStyle w:val="Contenutotabella"/>
        <w:spacing w:lineRule="auto" w:line="276" w:before="57" w:after="0"/>
        <w:ind w:left="340" w:hanging="0"/>
        <w:rPr>
          <w:rFonts w:ascii="Arial" w:hAnsi="Arial"/>
          <w:sz w:val="20"/>
          <w:szCs w:val="20"/>
        </w:rPr>
      </w:pPr>
      <w:r>
        <w:rPr>
          <w:rFonts w:ascii="Arial" w:hAnsi="Arial"/>
          <w:sz w:val="20"/>
          <w:szCs w:val="20"/>
        </w:rPr>
        <w:t>Specificity = 72%</w:t>
      </w:r>
    </w:p>
    <w:p>
      <w:pPr>
        <w:pStyle w:val="Contenutotabella"/>
        <w:spacing w:lineRule="auto" w:line="276" w:before="57" w:after="0"/>
        <w:ind w:left="340" w:hanging="0"/>
        <w:rPr>
          <w:rFonts w:ascii="Arial" w:hAnsi="Arial"/>
          <w:sz w:val="20"/>
          <w:szCs w:val="20"/>
        </w:rPr>
      </w:pPr>
      <w:r>
        <w:rPr>
          <w:rFonts w:ascii="Arial" w:hAnsi="Arial"/>
          <w:sz w:val="20"/>
          <w:szCs w:val="20"/>
        </w:rPr>
        <w:t>If "suspicious" predictions are taken as "non-mutagenic":</w:t>
      </w:r>
    </w:p>
    <w:p>
      <w:pPr>
        <w:pStyle w:val="Contenutotabella"/>
        <w:spacing w:lineRule="auto" w:line="276" w:before="57" w:after="0"/>
        <w:ind w:left="340" w:hanging="0"/>
        <w:rPr>
          <w:rFonts w:ascii="Arial" w:hAnsi="Arial"/>
          <w:sz w:val="20"/>
          <w:szCs w:val="20"/>
        </w:rPr>
      </w:pPr>
      <w:r>
        <w:rPr>
          <w:rFonts w:ascii="Arial" w:hAnsi="Arial"/>
          <w:sz w:val="20"/>
          <w:szCs w:val="20"/>
        </w:rPr>
        <w:t>Accuracy = 82.1%</w:t>
      </w:r>
    </w:p>
    <w:p>
      <w:pPr>
        <w:pStyle w:val="Contenutotabella"/>
        <w:spacing w:lineRule="auto" w:line="276" w:before="57" w:after="0"/>
        <w:ind w:left="340" w:hanging="0"/>
        <w:rPr>
          <w:rFonts w:ascii="Arial" w:hAnsi="Arial"/>
          <w:sz w:val="20"/>
          <w:szCs w:val="20"/>
        </w:rPr>
      </w:pPr>
      <w:r>
        <w:rPr>
          <w:rFonts w:ascii="Arial" w:hAnsi="Arial"/>
          <w:sz w:val="20"/>
          <w:szCs w:val="20"/>
        </w:rPr>
        <w:t>Sensitivity = 86.7%</w:t>
      </w:r>
    </w:p>
    <w:p>
      <w:pPr>
        <w:pStyle w:val="Contenutotabella"/>
        <w:spacing w:lineRule="auto" w:line="276" w:before="57" w:after="0"/>
        <w:ind w:left="340" w:hanging="0"/>
        <w:rPr>
          <w:rFonts w:ascii="Arial" w:hAnsi="Arial"/>
          <w:sz w:val="20"/>
          <w:szCs w:val="20"/>
        </w:rPr>
      </w:pPr>
      <w:r>
        <w:rPr>
          <w:rFonts w:ascii="Arial" w:hAnsi="Arial"/>
          <w:sz w:val="20"/>
          <w:szCs w:val="20"/>
        </w:rPr>
        <w:t>Specificity = 76.3%</w:t>
      </w:r>
    </w:p>
    <w:p>
      <w:pPr>
        <w:pStyle w:val="Contenutotabella"/>
        <w:spacing w:lineRule="auto" w:line="276" w:before="57" w:after="0"/>
        <w:rPr>
          <w:rFonts w:ascii="Times New Roman" w:hAnsi="Times New Roman"/>
          <w:b/>
          <w:b/>
          <w:bCs/>
        </w:rPr>
      </w:pPr>
      <w:r>
        <w:rPr>
          <w:rFonts w:ascii="Times New Roman" w:hAnsi="Times New Roman"/>
          <w:b/>
          <w:bCs/>
          <w:sz w:val="22"/>
          <w:szCs w:val="22"/>
        </w:rPr>
        <w:t>7.8.Predictivity - Assessment of the external validation set:</w:t>
      </w:r>
    </w:p>
    <w:p>
      <w:pPr>
        <w:pStyle w:val="Contenutotabella"/>
        <w:spacing w:lineRule="auto" w:line="276" w:before="57" w:after="0"/>
        <w:ind w:left="340" w:hanging="0"/>
        <w:rPr>
          <w:sz w:val="20"/>
          <w:szCs w:val="20"/>
        </w:rPr>
      </w:pPr>
      <w:r>
        <w:rPr>
          <w:rFonts w:ascii="Arial" w:hAnsi="Arial"/>
          <w:sz w:val="20"/>
          <w:szCs w:val="20"/>
        </w:rPr>
        <w:t>NA</w:t>
      </w:r>
    </w:p>
    <w:p>
      <w:pPr>
        <w:pStyle w:val="Contenutotabella"/>
        <w:spacing w:lineRule="auto" w:line="276" w:before="57" w:after="0"/>
        <w:rPr>
          <w:rFonts w:ascii="Times New Roman" w:hAnsi="Times New Roman"/>
          <w:b/>
          <w:b/>
          <w:bCs/>
        </w:rPr>
      </w:pPr>
      <w:r>
        <w:rPr>
          <w:rFonts w:ascii="Times New Roman" w:hAnsi="Times New Roman"/>
          <w:b/>
          <w:bCs/>
          <w:sz w:val="22"/>
          <w:szCs w:val="22"/>
        </w:rPr>
        <w:t>7.9.Comments on the external validation of the model:</w:t>
      </w:r>
    </w:p>
    <w:p>
      <w:pPr>
        <w:pStyle w:val="Contenutotabella"/>
        <w:spacing w:lineRule="auto" w:line="276" w:before="57" w:after="0"/>
        <w:ind w:left="340" w:hanging="0"/>
        <w:rPr>
          <w:rFonts w:ascii="Arial" w:hAnsi="Arial"/>
          <w:sz w:val="20"/>
          <w:szCs w:val="20"/>
        </w:rPr>
      </w:pPr>
      <w:r>
        <w:rPr>
          <w:rFonts w:ascii="Arial" w:hAnsi="Arial"/>
          <w:sz w:val="20"/>
          <w:szCs w:val="20"/>
        </w:rPr>
        <w:t>13% of False Negatives in the SVM predictions are corrected by the first set of structural alerts. By applying even the second set of alerts (i.e., "suspicious" predictions are taken as "mutagenic") more than one-third of False Negatives is corrected (35%) boosting sensitivity to 90% without noticeably downgrading prediction accuracy</w:t>
      </w:r>
    </w:p>
    <w:p>
      <w:pPr>
        <w:pStyle w:val="Contenutotabella"/>
        <w:spacing w:lineRule="auto" w:line="276" w:before="57" w:after="0"/>
        <w:ind w:left="340" w:hanging="0"/>
        <w:rPr>
          <w:rFonts w:ascii="Arial" w:hAnsi="Arial"/>
        </w:rPr>
      </w:pPr>
      <w:r>
        <w:rPr>
          <w:rFonts w:ascii="Arial" w:hAnsi="Arial"/>
        </w:rPr>
      </w:r>
    </w:p>
    <w:tbl>
      <w:tblPr>
        <w:tblW w:w="987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50" w:type="dxa"/>
          <w:bottom w:w="55" w:type="dxa"/>
          <w:right w:w="55" w:type="dxa"/>
        </w:tblCellMar>
        <w:tblLook w:noVBand="0" w:val="0000" w:noHBand="0" w:lastColumn="0" w:firstColumn="0" w:lastRow="0" w:firstRow="0"/>
      </w:tblPr>
      <w:tblGrid>
        <w:gridCol w:w="9870"/>
      </w:tblGrid>
      <w:tr>
        <w:trPr/>
        <w:tc>
          <w:tcPr>
            <w:tcW w:w="98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DDDDDD" w:val="clear"/>
          </w:tcPr>
          <w:p>
            <w:pPr>
              <w:pStyle w:val="Contenutotabella"/>
              <w:rPr>
                <w:sz w:val="22"/>
                <w:szCs w:val="22"/>
              </w:rPr>
            </w:pPr>
            <w:r>
              <w:rPr>
                <w:rFonts w:ascii="Times New Roman" w:hAnsi="Times New Roman"/>
                <w:b/>
                <w:bCs/>
                <w:sz w:val="22"/>
                <w:szCs w:val="22"/>
              </w:rPr>
              <w:t>8.Providing a mechanistic interpretation - OECD Principle 5</w:t>
            </w:r>
          </w:p>
        </w:tc>
      </w:tr>
    </w:tbl>
    <w:p>
      <w:pPr>
        <w:pStyle w:val="Contenutotabella"/>
        <w:spacing w:lineRule="auto" w:line="276" w:before="57" w:after="0"/>
        <w:rPr>
          <w:rFonts w:ascii="Times New Roman" w:hAnsi="Times New Roman"/>
          <w:b/>
          <w:b/>
          <w:bCs/>
        </w:rPr>
      </w:pPr>
      <w:r>
        <w:rPr>
          <w:rFonts w:ascii="Times New Roman" w:hAnsi="Times New Roman"/>
          <w:b/>
          <w:bCs/>
          <w:sz w:val="22"/>
          <w:szCs w:val="22"/>
        </w:rPr>
        <w:t>8.1.Mechanistic basis of the model:</w:t>
      </w:r>
    </w:p>
    <w:p>
      <w:pPr>
        <w:pStyle w:val="Contenutotabella"/>
        <w:spacing w:lineRule="auto" w:line="276" w:before="57" w:after="0"/>
        <w:ind w:left="340" w:hanging="0"/>
        <w:rPr>
          <w:rFonts w:ascii="Arial" w:hAnsi="Arial"/>
          <w:sz w:val="20"/>
          <w:szCs w:val="20"/>
        </w:rPr>
      </w:pPr>
      <w:r>
        <w:rPr>
          <w:rFonts w:ascii="Arial" w:hAnsi="Arial"/>
          <w:sz w:val="20"/>
          <w:szCs w:val="20"/>
        </w:rPr>
        <w:t>The model includes SAs to identify toxic compounds, according to the mechanistic basis described by the Benigni-Bossa rules. In addition a stocastic model is included, to provide basis also for negative results.</w:t>
      </w:r>
    </w:p>
    <w:p>
      <w:pPr>
        <w:pStyle w:val="Contenutotabella"/>
        <w:spacing w:lineRule="auto" w:line="276" w:before="57" w:after="0"/>
        <w:ind w:left="340" w:hanging="0"/>
        <w:rPr>
          <w:rFonts w:ascii="Arial" w:hAnsi="Arial"/>
          <w:sz w:val="20"/>
          <w:szCs w:val="20"/>
        </w:rPr>
      </w:pPr>
      <w:r>
        <w:rPr>
          <w:rFonts w:ascii="Arial" w:hAnsi="Arial"/>
          <w:sz w:val="20"/>
          <w:szCs w:val="20"/>
        </w:rPr>
      </w:r>
    </w:p>
    <w:p>
      <w:pPr>
        <w:pStyle w:val="Contenutotabella"/>
        <w:spacing w:lineRule="auto" w:line="276" w:before="57" w:after="0"/>
        <w:rPr>
          <w:rFonts w:ascii="Times New Roman" w:hAnsi="Times New Roman"/>
          <w:b/>
          <w:b/>
          <w:bCs/>
          <w:sz w:val="22"/>
          <w:szCs w:val="22"/>
        </w:rPr>
      </w:pPr>
      <w:r>
        <w:rPr>
          <w:rFonts w:ascii="Times New Roman" w:hAnsi="Times New Roman"/>
          <w:b/>
          <w:bCs/>
          <w:sz w:val="22"/>
          <w:szCs w:val="22"/>
        </w:rPr>
        <w:t>8.2.A priori or a posteriori mechanistic interpretation:</w:t>
      </w:r>
    </w:p>
    <w:p>
      <w:pPr>
        <w:pStyle w:val="Contenutotabella"/>
        <w:spacing w:lineRule="auto" w:line="276" w:before="57" w:after="0"/>
        <w:ind w:left="340" w:hanging="0"/>
        <w:rPr>
          <w:rFonts w:ascii="Arial" w:hAnsi="Arial"/>
          <w:sz w:val="20"/>
          <w:szCs w:val="20"/>
        </w:rPr>
      </w:pPr>
      <w:r>
        <w:rPr>
          <w:rFonts w:ascii="Arial" w:hAnsi="Arial"/>
          <w:sz w:val="20"/>
          <w:szCs w:val="20"/>
        </w:rPr>
        <w:t>A priori</w:t>
      </w:r>
    </w:p>
    <w:p>
      <w:pPr>
        <w:pStyle w:val="Contenutotabella"/>
        <w:spacing w:lineRule="auto" w:line="276" w:before="57" w:after="0"/>
        <w:rPr>
          <w:rFonts w:ascii="Times New Roman" w:hAnsi="Times New Roman"/>
          <w:b/>
          <w:b/>
          <w:bCs/>
        </w:rPr>
      </w:pPr>
      <w:r>
        <w:rPr>
          <w:rFonts w:ascii="Times New Roman" w:hAnsi="Times New Roman"/>
          <w:b/>
          <w:bCs/>
          <w:sz w:val="22"/>
          <w:szCs w:val="22"/>
        </w:rPr>
        <w:t>8.3.Other information about the mechanistic interpretation:</w:t>
      </w:r>
    </w:p>
    <w:p>
      <w:pPr>
        <w:pStyle w:val="Contenutotabella"/>
        <w:spacing w:lineRule="auto" w:line="276" w:before="57" w:after="0"/>
        <w:ind w:left="340" w:hanging="0"/>
        <w:rPr>
          <w:rFonts w:ascii="Arial" w:hAnsi="Arial"/>
          <w:sz w:val="20"/>
          <w:szCs w:val="20"/>
        </w:rPr>
      </w:pPr>
      <w:r>
        <w:rPr>
          <w:rFonts w:ascii="Arial" w:hAnsi="Arial"/>
          <w:sz w:val="20"/>
          <w:szCs w:val="20"/>
        </w:rPr>
        <w:t>NA</w:t>
      </w:r>
    </w:p>
    <w:p>
      <w:pPr>
        <w:pStyle w:val="Contenutotabella"/>
        <w:spacing w:lineRule="auto" w:line="276" w:before="57" w:after="0"/>
        <w:ind w:left="340" w:hanging="0"/>
        <w:rPr/>
      </w:pPr>
      <w:r>
        <w:rPr/>
      </w:r>
    </w:p>
    <w:tbl>
      <w:tblPr>
        <w:tblW w:w="987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50" w:type="dxa"/>
          <w:bottom w:w="55" w:type="dxa"/>
          <w:right w:w="55" w:type="dxa"/>
        </w:tblCellMar>
        <w:tblLook w:noVBand="0" w:val="0000" w:noHBand="0" w:lastColumn="0" w:firstColumn="0" w:lastRow="0" w:firstRow="0"/>
      </w:tblPr>
      <w:tblGrid>
        <w:gridCol w:w="9870"/>
      </w:tblGrid>
      <w:tr>
        <w:trPr/>
        <w:tc>
          <w:tcPr>
            <w:tcW w:w="98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DDDDDD" w:val="clear"/>
          </w:tcPr>
          <w:p>
            <w:pPr>
              <w:pStyle w:val="Contenutotabella"/>
              <w:rPr>
                <w:sz w:val="22"/>
                <w:szCs w:val="22"/>
              </w:rPr>
            </w:pPr>
            <w:r>
              <w:rPr>
                <w:rFonts w:ascii="Times New Roman" w:hAnsi="Times New Roman"/>
                <w:b/>
                <w:bCs/>
                <w:sz w:val="22"/>
                <w:szCs w:val="22"/>
              </w:rPr>
              <w:t>9.Miscellaneous information</w:t>
            </w:r>
          </w:p>
        </w:tc>
      </w:tr>
    </w:tbl>
    <w:p>
      <w:pPr>
        <w:pStyle w:val="Contenutotabella"/>
        <w:spacing w:lineRule="auto" w:line="276" w:before="57" w:after="0"/>
        <w:rPr>
          <w:rFonts w:ascii="Times New Roman" w:hAnsi="Times New Roman"/>
          <w:b/>
          <w:b/>
          <w:bCs/>
        </w:rPr>
      </w:pPr>
      <w:r>
        <w:rPr>
          <w:rFonts w:ascii="Times New Roman" w:hAnsi="Times New Roman"/>
          <w:b/>
          <w:bCs/>
          <w:sz w:val="22"/>
          <w:szCs w:val="22"/>
        </w:rPr>
        <w:t>9.1.Comments:</w:t>
      </w:r>
    </w:p>
    <w:p>
      <w:pPr>
        <w:pStyle w:val="Contenutotabella"/>
        <w:spacing w:lineRule="auto" w:line="276" w:before="57" w:after="0"/>
        <w:ind w:left="340" w:hanging="0"/>
        <w:rPr>
          <w:rFonts w:ascii="Times New Roman" w:hAnsi="Times New Roman"/>
          <w:b/>
          <w:b/>
          <w:bCs/>
        </w:rPr>
      </w:pPr>
      <w:r>
        <w:rPr>
          <w:rFonts w:ascii="Arial" w:hAnsi="Arial"/>
          <w:sz w:val="20"/>
          <w:szCs w:val="20"/>
        </w:rPr>
        <w:t>NA</w:t>
      </w:r>
    </w:p>
    <w:p>
      <w:pPr>
        <w:pStyle w:val="Contenutotabella"/>
        <w:spacing w:lineRule="auto" w:line="276" w:before="57" w:after="0"/>
        <w:rPr>
          <w:rFonts w:ascii="Times New Roman" w:hAnsi="Times New Roman"/>
          <w:b/>
          <w:b/>
          <w:bCs/>
        </w:rPr>
      </w:pPr>
      <w:r>
        <w:rPr>
          <w:rFonts w:ascii="Times New Roman" w:hAnsi="Times New Roman"/>
          <w:b/>
          <w:bCs/>
          <w:sz w:val="22"/>
          <w:szCs w:val="22"/>
        </w:rPr>
        <w:t>9.2.Bibliography:</w:t>
      </w:r>
    </w:p>
    <w:p>
      <w:pPr>
        <w:pStyle w:val="Contenutotabella"/>
        <w:spacing w:lineRule="auto" w:line="276" w:before="57" w:after="0"/>
        <w:ind w:left="340" w:hanging="0"/>
        <w:rPr>
          <w:rFonts w:ascii="Arial" w:hAnsi="Arial"/>
          <w:sz w:val="20"/>
          <w:szCs w:val="20"/>
        </w:rPr>
      </w:pPr>
      <w:r>
        <w:rPr>
          <w:rFonts w:ascii="Arial" w:hAnsi="Arial"/>
          <w:sz w:val="20"/>
          <w:szCs w:val="20"/>
        </w:rPr>
        <w:t>[1]Ferrari T &amp; Gini G (2010) An open source multistep model to predict mutagenicity from statistical analysis and relevant structural alerts. Chemistry Central Journal , 4(Suppl 1):S2</w:t>
      </w:r>
    </w:p>
    <w:p>
      <w:pPr>
        <w:pStyle w:val="Contenutotabella"/>
        <w:spacing w:lineRule="auto" w:line="276" w:before="57" w:after="0"/>
        <w:ind w:left="340" w:hanging="0"/>
        <w:rPr>
          <w:rFonts w:ascii="Arial" w:hAnsi="Arial"/>
          <w:sz w:val="20"/>
          <w:szCs w:val="20"/>
        </w:rPr>
      </w:pPr>
      <w:r>
        <w:rPr>
          <w:rFonts w:ascii="Arial" w:hAnsi="Arial"/>
          <w:sz w:val="20"/>
          <w:szCs w:val="20"/>
        </w:rPr>
        <w:t>http://www.journal.chemistrycentral.com/content/4/S1/S2</w:t>
      </w:r>
    </w:p>
    <w:p>
      <w:pPr>
        <w:pStyle w:val="Contenutotabella"/>
        <w:spacing w:lineRule="auto" w:line="276" w:before="57" w:after="0"/>
        <w:ind w:left="340" w:hanging="0"/>
        <w:rPr>
          <w:rFonts w:ascii="Arial" w:hAnsi="Arial"/>
          <w:sz w:val="20"/>
          <w:szCs w:val="20"/>
        </w:rPr>
      </w:pPr>
      <w:r>
        <w:rPr>
          <w:rFonts w:ascii="Arial" w:hAnsi="Arial"/>
          <w:sz w:val="20"/>
          <w:szCs w:val="20"/>
        </w:rPr>
        <w:t>[2]Piegorsch WW &amp; Zeiger E ( 1991) Measuring intra-assay agreement for the Ames salmonella assay. In Statistical Methods in Toxicology, Lecture Notes in Medical Informatics. Edited by Hotorn L. Springer-Verlag, 35-41</w:t>
      </w:r>
    </w:p>
    <w:p>
      <w:pPr>
        <w:pStyle w:val="Contenutotabella"/>
        <w:spacing w:lineRule="auto" w:line="276" w:before="57" w:after="0"/>
        <w:ind w:left="340" w:hanging="0"/>
        <w:rPr>
          <w:rFonts w:ascii="Arial" w:hAnsi="Arial"/>
          <w:sz w:val="20"/>
          <w:szCs w:val="20"/>
        </w:rPr>
      </w:pPr>
      <w:r>
        <w:rPr>
          <w:rFonts w:ascii="Arial" w:hAnsi="Arial"/>
          <w:sz w:val="20"/>
          <w:szCs w:val="20"/>
        </w:rPr>
        <w:t>[3]Benigni R, Bossa C, Jeliazkova N, Netzeva T &amp; Worth A (2008). The Benigni / Bossa rulebase for mutagenicity and carcinogenicity - a module of Toxtree. EUR 23241 EN. http://publications.jrc.ec.europa.eu/repository/bitstream/111111111/1028/1/eur%20report%20benigni%20130208%20final.pdf</w:t>
      </w:r>
    </w:p>
    <w:p>
      <w:pPr>
        <w:pStyle w:val="Contenutotabella"/>
        <w:spacing w:lineRule="auto" w:line="276" w:before="57" w:after="0"/>
        <w:ind w:left="340" w:hanging="0"/>
        <w:rPr>
          <w:rFonts w:ascii="Arial" w:hAnsi="Arial"/>
          <w:sz w:val="20"/>
          <w:szCs w:val="20"/>
        </w:rPr>
      </w:pPr>
      <w:r>
        <w:rPr>
          <w:rFonts w:ascii="Arial" w:hAnsi="Arial"/>
          <w:sz w:val="20"/>
          <w:szCs w:val="20"/>
        </w:rPr>
        <w:t>[4]Kazius J, Mcguire R &amp; Bursi R (2005) Derivation and validation of toxicophores for mutagenicity prediction. Journal of Medicinal Chemistry, 48(1),312-320.</w:t>
      </w:r>
    </w:p>
    <w:p>
      <w:pPr>
        <w:pStyle w:val="Contenutotabella"/>
        <w:spacing w:lineRule="auto" w:line="276" w:before="57" w:after="0"/>
        <w:ind w:left="340" w:hanging="0"/>
        <w:rPr>
          <w:rFonts w:ascii="Arial" w:hAnsi="Arial"/>
          <w:sz w:val="20"/>
          <w:szCs w:val="20"/>
        </w:rPr>
      </w:pPr>
      <w:bookmarkStart w:id="0" w:name="_GoBack"/>
      <w:bookmarkEnd w:id="0"/>
      <w:r>
        <w:rPr>
          <w:rFonts w:ascii="Arial" w:hAnsi="Arial"/>
          <w:sz w:val="20"/>
          <w:szCs w:val="20"/>
        </w:rPr>
        <w:t>http://pubs.acs.org/doi/abs/10.1021/jm040835a</w:t>
      </w:r>
    </w:p>
    <w:p>
      <w:pPr>
        <w:pStyle w:val="Contenutotabella"/>
        <w:spacing w:lineRule="auto" w:line="276" w:before="57" w:after="0"/>
        <w:rPr>
          <w:rFonts w:ascii="Times New Roman" w:hAnsi="Times New Roman"/>
          <w:b/>
          <w:b/>
          <w:bCs/>
        </w:rPr>
      </w:pPr>
      <w:r>
        <w:rPr>
          <w:rFonts w:ascii="Times New Roman" w:hAnsi="Times New Roman"/>
          <w:b/>
          <w:bCs/>
          <w:sz w:val="22"/>
          <w:szCs w:val="22"/>
        </w:rPr>
        <w:t>9.3.Supporting information:</w:t>
      </w:r>
    </w:p>
    <w:p>
      <w:pPr>
        <w:pStyle w:val="Contenutotabella"/>
        <w:spacing w:lineRule="auto" w:line="276" w:before="57" w:after="0"/>
        <w:ind w:left="340" w:hanging="0"/>
        <w:rPr>
          <w:rFonts w:ascii="Times New Roman" w:hAnsi="Times New Roman"/>
          <w:b/>
          <w:b/>
          <w:bCs/>
        </w:rPr>
      </w:pPr>
      <w:r>
        <w:rPr>
          <w:rFonts w:ascii="Times New Roman" w:hAnsi="Times New Roman"/>
          <w:b/>
          <w:bCs/>
          <w:sz w:val="22"/>
          <w:szCs w:val="22"/>
        </w:rPr>
        <w:t>Training set(s)Test set(s)Supporting information:</w:t>
      </w:r>
    </w:p>
    <w:p>
      <w:pPr>
        <w:pStyle w:val="Contenutotabella"/>
        <w:spacing w:lineRule="auto" w:line="276" w:before="57" w:after="0"/>
        <w:ind w:left="340" w:hanging="0"/>
        <w:rPr>
          <w:sz w:val="20"/>
          <w:szCs w:val="20"/>
        </w:rPr>
      </w:pPr>
      <w:r>
        <w:rPr>
          <w:rFonts w:ascii="Arial" w:hAnsi="Arial"/>
          <w:sz w:val="20"/>
          <w:szCs w:val="20"/>
        </w:rPr>
        <w:t>All available dataset are present in the model inside the VEGA software.</w:t>
      </w:r>
    </w:p>
    <w:p>
      <w:pPr>
        <w:pStyle w:val="Contenutotabella"/>
        <w:spacing w:lineRule="auto" w:line="276" w:before="57" w:after="0"/>
        <w:ind w:left="340" w:hanging="0"/>
        <w:rPr>
          <w:rFonts w:ascii="Arial" w:hAnsi="Arial"/>
        </w:rPr>
      </w:pPr>
      <w:r>
        <w:rPr>
          <w:rFonts w:ascii="Arial" w:hAnsi="Arial"/>
        </w:rPr>
      </w:r>
    </w:p>
    <w:tbl>
      <w:tblPr>
        <w:tblW w:w="987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50" w:type="dxa"/>
          <w:bottom w:w="55" w:type="dxa"/>
          <w:right w:w="55" w:type="dxa"/>
        </w:tblCellMar>
        <w:tblLook w:noVBand="0" w:val="0000" w:noHBand="0" w:lastColumn="0" w:firstColumn="0" w:lastRow="0" w:firstRow="0"/>
      </w:tblPr>
      <w:tblGrid>
        <w:gridCol w:w="9870"/>
      </w:tblGrid>
      <w:tr>
        <w:trPr/>
        <w:tc>
          <w:tcPr>
            <w:tcW w:w="987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DDDDDD" w:val="clear"/>
          </w:tcPr>
          <w:p>
            <w:pPr>
              <w:pStyle w:val="Contenutotabella"/>
              <w:rPr>
                <w:sz w:val="22"/>
                <w:szCs w:val="22"/>
              </w:rPr>
            </w:pPr>
            <w:r>
              <w:rPr>
                <w:rFonts w:ascii="Times New Roman" w:hAnsi="Times New Roman"/>
                <w:b/>
                <w:bCs/>
                <w:sz w:val="22"/>
                <w:szCs w:val="22"/>
              </w:rPr>
              <w:t>10.Summary (JRC QSAR Model Database)</w:t>
            </w:r>
          </w:p>
        </w:tc>
      </w:tr>
    </w:tbl>
    <w:p>
      <w:pPr>
        <w:pStyle w:val="Contenutotabella"/>
        <w:spacing w:lineRule="auto" w:line="276" w:before="57" w:after="0"/>
        <w:rPr>
          <w:rFonts w:ascii="Times New Roman" w:hAnsi="Times New Roman"/>
          <w:b/>
          <w:b/>
          <w:bCs/>
        </w:rPr>
      </w:pPr>
      <w:r>
        <w:rPr>
          <w:rFonts w:ascii="Times New Roman" w:hAnsi="Times New Roman"/>
          <w:b/>
          <w:bCs/>
          <w:sz w:val="22"/>
          <w:szCs w:val="22"/>
        </w:rPr>
        <w:t>10.1.QMRF number:</w:t>
      </w:r>
    </w:p>
    <w:p>
      <w:pPr>
        <w:pStyle w:val="Contenutotabella"/>
        <w:spacing w:lineRule="auto" w:line="276" w:before="57" w:after="0"/>
        <w:ind w:left="340" w:hanging="0"/>
        <w:rPr>
          <w:rFonts w:ascii="Times New Roman" w:hAnsi="Times New Roman"/>
          <w:b/>
          <w:b/>
          <w:bCs/>
          <w:sz w:val="21"/>
          <w:szCs w:val="21"/>
        </w:rPr>
      </w:pPr>
      <w:r>
        <w:rPr>
          <w:rFonts w:ascii="Arial" w:hAnsi="Arial"/>
          <w:sz w:val="20"/>
          <w:szCs w:val="20"/>
        </w:rPr>
        <w:t>To be entered by JRC</w:t>
      </w:r>
    </w:p>
    <w:p>
      <w:pPr>
        <w:pStyle w:val="Contenutotabella"/>
        <w:spacing w:lineRule="auto" w:line="276" w:before="57" w:after="0"/>
        <w:rPr>
          <w:rFonts w:ascii="Times New Roman" w:hAnsi="Times New Roman"/>
          <w:b/>
          <w:b/>
          <w:bCs/>
        </w:rPr>
      </w:pPr>
      <w:r>
        <w:rPr>
          <w:rFonts w:ascii="Times New Roman" w:hAnsi="Times New Roman"/>
          <w:b/>
          <w:bCs/>
          <w:sz w:val="22"/>
          <w:szCs w:val="22"/>
        </w:rPr>
        <w:t>10.2.Publication date:</w:t>
      </w:r>
    </w:p>
    <w:p>
      <w:pPr>
        <w:pStyle w:val="Contenutotabella"/>
        <w:spacing w:lineRule="auto" w:line="276" w:before="57" w:after="0"/>
        <w:ind w:left="340" w:hanging="0"/>
        <w:rPr>
          <w:rFonts w:ascii="Times New Roman" w:hAnsi="Times New Roman"/>
          <w:b/>
          <w:b/>
          <w:bCs/>
          <w:sz w:val="21"/>
          <w:szCs w:val="21"/>
        </w:rPr>
      </w:pPr>
      <w:r>
        <w:rPr>
          <w:rFonts w:ascii="Arial" w:hAnsi="Arial"/>
          <w:sz w:val="20"/>
          <w:szCs w:val="20"/>
        </w:rPr>
        <w:t>To be entered by JRC</w:t>
      </w:r>
    </w:p>
    <w:p>
      <w:pPr>
        <w:pStyle w:val="Contenutotabella"/>
        <w:spacing w:lineRule="auto" w:line="276" w:before="57" w:after="0"/>
        <w:rPr>
          <w:rFonts w:ascii="Times New Roman" w:hAnsi="Times New Roman"/>
          <w:b/>
          <w:b/>
          <w:bCs/>
        </w:rPr>
      </w:pPr>
      <w:r>
        <w:rPr>
          <w:rFonts w:ascii="Times New Roman" w:hAnsi="Times New Roman"/>
          <w:b/>
          <w:bCs/>
          <w:sz w:val="22"/>
          <w:szCs w:val="22"/>
        </w:rPr>
        <w:t>10.3.Keywords:</w:t>
      </w:r>
    </w:p>
    <w:p>
      <w:pPr>
        <w:pStyle w:val="Contenutotabella"/>
        <w:spacing w:lineRule="auto" w:line="276" w:before="57" w:after="0"/>
        <w:ind w:left="340" w:hanging="0"/>
        <w:rPr>
          <w:rFonts w:ascii="Times New Roman" w:hAnsi="Times New Roman"/>
          <w:b/>
          <w:b/>
          <w:bCs/>
          <w:sz w:val="21"/>
          <w:szCs w:val="21"/>
        </w:rPr>
      </w:pPr>
      <w:r>
        <w:rPr>
          <w:rFonts w:ascii="Arial" w:hAnsi="Arial"/>
          <w:sz w:val="20"/>
          <w:szCs w:val="20"/>
        </w:rPr>
        <w:t>To be entered by JRC</w:t>
      </w:r>
    </w:p>
    <w:p>
      <w:pPr>
        <w:pStyle w:val="Contenutotabella"/>
        <w:spacing w:lineRule="auto" w:line="276" w:before="57" w:after="0"/>
        <w:rPr/>
      </w:pPr>
      <w:r>
        <w:rPr>
          <w:rFonts w:ascii="Times New Roman" w:hAnsi="Times New Roman"/>
          <w:b/>
          <w:bCs/>
          <w:sz w:val="22"/>
          <w:szCs w:val="22"/>
        </w:rPr>
        <w:t>10.4.Comments:</w:t>
      </w:r>
    </w:p>
    <w:p>
      <w:pPr>
        <w:pStyle w:val="Contenutotabella"/>
        <w:spacing w:lineRule="auto" w:line="276" w:before="57" w:after="0"/>
        <w:ind w:left="340" w:hanging="0"/>
        <w:rPr/>
      </w:pPr>
      <w:r>
        <w:rPr>
          <w:rFonts w:ascii="Arial" w:hAnsi="Arial"/>
          <w:sz w:val="20"/>
          <w:szCs w:val="20"/>
        </w:rPr>
        <w:t>To be entered by JRC</w:t>
      </w:r>
    </w:p>
    <w:sectPr>
      <w:type w:val="nextPage"/>
      <w:pgSz w:w="12240" w:h="15840"/>
      <w:pgMar w:left="1417" w:right="964" w:header="0" w:top="567" w:footer="0" w:bottom="567"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1"/>
    <w:family w:val="roman"/>
    <w:pitch w:val="variable"/>
  </w:font>
  <w:font w:name="Calibri Light">
    <w:charset w:val="01"/>
    <w:family w:val="roman"/>
    <w:pitch w:val="variable"/>
  </w:font>
  <w:font w:name="Arial">
    <w:charset w:val="01"/>
    <w:family w:val="roman"/>
    <w:pitch w:val="variable"/>
  </w:font>
  <w:font w:name="Liberation Sans">
    <w:altName w:val="Arial"/>
    <w:charset w:val="01"/>
    <w:family w:val="roman"/>
    <w:pitch w:val="variable"/>
  </w:font>
  <w:font w:name="Meta Offc Book">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Cs w:val="24"/>
        <w:lang w:val="en-US" w:eastAsia="zh-CN" w:bidi="hi-IN"/>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jc w:val="left"/>
    </w:pPr>
    <w:rPr>
      <w:rFonts w:ascii="Liberation Serif" w:hAnsi="Liberation Serif" w:eastAsia="DejaVu Sans" w:cs="FreeSans"/>
      <w:color w:val="auto"/>
      <w:kern w:val="2"/>
      <w:sz w:val="24"/>
      <w:szCs w:val="24"/>
      <w:lang w:val="en-US" w:eastAsia="zh-CN" w:bidi="hi-IN"/>
    </w:rPr>
  </w:style>
  <w:style w:type="character" w:styleId="DefaultParagraphFont" w:default="1">
    <w:name w:val="Default Paragraph Font"/>
    <w:uiPriority w:val="1"/>
    <w:unhideWhenUsed/>
    <w:qFormat/>
    <w:rPr/>
  </w:style>
  <w:style w:type="character" w:styleId="TestofumettoCarattere" w:customStyle="1">
    <w:name w:val="Testo fumetto Carattere"/>
    <w:basedOn w:val="DefaultParagraphFont"/>
    <w:link w:val="Testofumetto"/>
    <w:uiPriority w:val="99"/>
    <w:semiHidden/>
    <w:qFormat/>
    <w:rsid w:val="00bf1bc7"/>
    <w:rPr>
      <w:rFonts w:ascii="Segoe UI" w:hAnsi="Segoe UI" w:cs="Mangal"/>
      <w:sz w:val="18"/>
      <w:szCs w:val="16"/>
    </w:rPr>
  </w:style>
  <w:style w:type="character" w:styleId="StileTxtCarattere" w:customStyle="1">
    <w:name w:val="StileTxt Carattere"/>
    <w:link w:val="StileTxt"/>
    <w:qFormat/>
    <w:rsid w:val="006b26e3"/>
    <w:rPr>
      <w:rFonts w:ascii="Calibri Light" w:hAnsi="Calibri Light" w:eastAsia="Calibri" w:cs="Calibri Light"/>
      <w:kern w:val="0"/>
      <w:sz w:val="24"/>
      <w:lang w:val="en-GB" w:eastAsia="en-US" w:bidi="ar-SA"/>
    </w:rPr>
  </w:style>
  <w:style w:type="character" w:styleId="CollegamentoInternet">
    <w:name w:val="Collegamento Internet"/>
    <w:basedOn w:val="DefaultParagraphFont"/>
    <w:uiPriority w:val="99"/>
    <w:unhideWhenUsed/>
    <w:rsid w:val="00e0286a"/>
    <w:rPr>
      <w:color w:val="0563C1" w:themeColor="hyperlink"/>
      <w:u w:val="single"/>
    </w:rPr>
  </w:style>
  <w:style w:type="character" w:styleId="PlaceholderText">
    <w:name w:val="Placeholder Text"/>
    <w:basedOn w:val="DefaultParagraphFont"/>
    <w:uiPriority w:val="99"/>
    <w:semiHidden/>
    <w:qFormat/>
    <w:rsid w:val="00f24da1"/>
    <w:rPr>
      <w:color w:val="808080"/>
    </w:rPr>
  </w:style>
  <w:style w:type="character" w:styleId="ListLabel1">
    <w:name w:val="ListLabel 1"/>
    <w:qFormat/>
    <w:rPr>
      <w:rFonts w:eastAsia="DejaVu Sans" w:cs="Arial"/>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ascii="Arial" w:hAnsi="Arial"/>
      <w:sz w:val="20"/>
      <w:szCs w:val="20"/>
      <w:lang w:val="it-IT"/>
    </w:rPr>
  </w:style>
  <w:style w:type="character" w:styleId="ListLabel6">
    <w:name w:val="ListLabel 6"/>
    <w:qFormat/>
    <w:rPr>
      <w:rFonts w:ascii="Arial" w:hAnsi="Arial"/>
      <w:sz w:val="20"/>
      <w:szCs w:val="20"/>
    </w:rPr>
  </w:style>
  <w:style w:type="character" w:styleId="ListLabel7">
    <w:name w:val="ListLabel 7"/>
    <w:qFormat/>
    <w:rPr>
      <w:rFonts w:ascii="Arial" w:hAnsi="Arial"/>
      <w:sz w:val="20"/>
      <w:szCs w:val="20"/>
      <w:lang w:val="it-IT"/>
    </w:rPr>
  </w:style>
  <w:style w:type="character" w:styleId="ListLabel8">
    <w:name w:val="ListLabel 8"/>
    <w:qFormat/>
    <w:rPr>
      <w:rFonts w:ascii="Arial" w:hAnsi="Arial"/>
      <w:sz w:val="20"/>
      <w:szCs w:val="20"/>
    </w:rPr>
  </w:style>
  <w:style w:type="paragraph" w:styleId="Titolo">
    <w:name w:val="Titolo"/>
    <w:basedOn w:val="Normal"/>
    <w:next w:val="Corpodeltesto"/>
    <w:qFormat/>
    <w:pPr>
      <w:keepNext w:val="true"/>
      <w:spacing w:before="240" w:after="120"/>
    </w:pPr>
    <w:rPr>
      <w:rFonts w:ascii="Liberation Sans" w:hAnsi="Liberation Sans" w:eastAsia="WenQuanYi Zen Hei" w:cs="FreeSans"/>
      <w:sz w:val="28"/>
      <w:szCs w:val="28"/>
    </w:rPr>
  </w:style>
  <w:style w:type="paragraph" w:styleId="Corpodeltesto">
    <w:name w:val="Body Text"/>
    <w:basedOn w:val="Normal"/>
    <w:pPr>
      <w:spacing w:lineRule="auto" w:line="276" w:before="0" w:after="140"/>
    </w:pPr>
    <w:rPr/>
  </w:style>
  <w:style w:type="paragraph" w:styleId="Elenco">
    <w:name w:val="List"/>
    <w:basedOn w:val="Corpodeltesto"/>
    <w:pPr/>
    <w:rPr/>
  </w:style>
  <w:style w:type="paragraph" w:styleId="Didascalia">
    <w:name w:val="Caption"/>
    <w:basedOn w:val="Normal"/>
    <w:qFormat/>
    <w:pPr>
      <w:suppressLineNumbers/>
      <w:spacing w:before="120" w:after="120"/>
    </w:pPr>
    <w:rPr>
      <w:rFonts w:cs="FreeSans"/>
      <w:i/>
      <w:iCs/>
      <w:sz w:val="24"/>
      <w:szCs w:val="24"/>
    </w:rPr>
  </w:style>
  <w:style w:type="paragraph" w:styleId="Indice" w:customStyle="1">
    <w:name w:val="Indice"/>
    <w:basedOn w:val="Normal"/>
    <w:qFormat/>
    <w:pPr>
      <w:suppressLineNumbers/>
    </w:pPr>
    <w:rPr/>
  </w:style>
  <w:style w:type="paragraph" w:styleId="Titoloprincipale">
    <w:name w:val="Title"/>
    <w:basedOn w:val="Normal"/>
    <w:qFormat/>
    <w:pPr>
      <w:keepNext w:val="true"/>
      <w:spacing w:before="240" w:after="120"/>
    </w:pPr>
    <w:rPr>
      <w:rFonts w:ascii="Liberation Sans" w:hAnsi="Liberation Sans"/>
      <w:sz w:val="28"/>
      <w:szCs w:val="28"/>
    </w:rPr>
  </w:style>
  <w:style w:type="paragraph" w:styleId="Caption">
    <w:name w:val="caption"/>
    <w:basedOn w:val="Normal"/>
    <w:qFormat/>
    <w:pPr>
      <w:suppressLineNumbers/>
      <w:spacing w:before="120" w:after="120"/>
    </w:pPr>
    <w:rPr>
      <w:i/>
      <w:iCs/>
    </w:rPr>
  </w:style>
  <w:style w:type="paragraph" w:styleId="Contenutotabella" w:customStyle="1">
    <w:name w:val="Contenuto tabella"/>
    <w:basedOn w:val="Normal"/>
    <w:qFormat/>
    <w:pPr>
      <w:suppressLineNumbers/>
    </w:pPr>
    <w:rPr/>
  </w:style>
  <w:style w:type="paragraph" w:styleId="Titolotabella" w:customStyle="1">
    <w:name w:val="Titolo tabella"/>
    <w:basedOn w:val="Contenutotabella"/>
    <w:qFormat/>
    <w:pPr>
      <w:jc w:val="center"/>
    </w:pPr>
    <w:rPr>
      <w:b/>
      <w:bCs/>
    </w:rPr>
  </w:style>
  <w:style w:type="paragraph" w:styleId="BalloonText">
    <w:name w:val="Balloon Text"/>
    <w:basedOn w:val="Normal"/>
    <w:link w:val="TestofumettoCarattere"/>
    <w:uiPriority w:val="99"/>
    <w:semiHidden/>
    <w:unhideWhenUsed/>
    <w:qFormat/>
    <w:rsid w:val="00bf1bc7"/>
    <w:pPr/>
    <w:rPr>
      <w:rFonts w:ascii="Segoe UI" w:hAnsi="Segoe UI" w:cs="Mangal"/>
      <w:sz w:val="18"/>
      <w:szCs w:val="16"/>
    </w:rPr>
  </w:style>
  <w:style w:type="paragraph" w:styleId="TabellentextKopfzeile" w:customStyle="1">
    <w:name w:val="Tabellentext Kopfzeile"/>
    <w:basedOn w:val="Normal"/>
    <w:uiPriority w:val="1"/>
    <w:qFormat/>
    <w:rsid w:val="006b26e3"/>
    <w:pPr>
      <w:keepLines/>
    </w:pPr>
    <w:rPr>
      <w:rFonts w:ascii="Meta Offc Book" w:hAnsi="Meta Offc Book" w:eastAsia="MS Mincho" w:cs="Times New Roman"/>
      <w:b/>
      <w:color w:val="FFFFFF"/>
      <w:kern w:val="0"/>
      <w:sz w:val="22"/>
      <w:lang w:val="de-DE" w:eastAsia="de-DE" w:bidi="ar-SA"/>
    </w:rPr>
  </w:style>
  <w:style w:type="paragraph" w:styleId="StileTxt" w:customStyle="1">
    <w:name w:val="StileTxt"/>
    <w:basedOn w:val="Normal"/>
    <w:link w:val="StileTxtCarattere"/>
    <w:qFormat/>
    <w:rsid w:val="006b26e3"/>
    <w:pPr>
      <w:spacing w:before="120" w:after="120"/>
      <w:ind w:left="-6" w:hanging="0"/>
    </w:pPr>
    <w:rPr>
      <w:rFonts w:ascii="Calibri Light" w:hAnsi="Calibri Light" w:eastAsia="Calibri" w:cs="Calibri Light"/>
      <w:kern w:val="0"/>
      <w:lang w:val="en-GB" w:eastAsia="en-US" w:bidi="ar-SA"/>
    </w:rPr>
  </w:style>
  <w:style w:type="paragraph" w:styleId="Default" w:customStyle="1">
    <w:name w:val="Default"/>
    <w:qFormat/>
    <w:rsid w:val="00f24da1"/>
    <w:pPr>
      <w:widowControl/>
      <w:bidi w:val="0"/>
      <w:jc w:val="left"/>
    </w:pPr>
    <w:rPr>
      <w:rFonts w:ascii="Arial" w:hAnsi="Arial" w:eastAsia="DejaVu Sans" w:cs="Arial"/>
      <w:color w:val="000000"/>
      <w:kern w:val="0"/>
      <w:sz w:val="24"/>
      <w:szCs w:val="24"/>
      <w:lang w:val="it-IT" w:eastAsia="zh-CN" w:bidi="ar-SA"/>
    </w:rPr>
  </w:style>
  <w:style w:type="paragraph" w:styleId="NormalWeb">
    <w:name w:val="Normal (Web)"/>
    <w:basedOn w:val="Normal"/>
    <w:uiPriority w:val="99"/>
    <w:semiHidden/>
    <w:unhideWhenUsed/>
    <w:qFormat/>
    <w:rsid w:val="004f7550"/>
    <w:pPr>
      <w:spacing w:beforeAutospacing="1" w:afterAutospacing="1"/>
    </w:pPr>
    <w:rPr>
      <w:rFonts w:ascii="Times New Roman" w:hAnsi="Times New Roman" w:eastAsia="Times New Roman" w:cs="Times New Roman"/>
      <w:kern w:val="0"/>
      <w:lang w:val="it-IT" w:eastAsia="it-IT" w:bidi="ar-SA"/>
    </w:rPr>
  </w:style>
  <w:style w:type="numbering" w:styleId="NoList" w:default="1">
    <w:name w:val="No List"/>
    <w:uiPriority w:val="99"/>
    <w:semiHidden/>
    <w:unhideWhenUsed/>
    <w:qFormat/>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arionegri.it/" TargetMode="External"/><Relationship Id="rId4" Type="http://schemas.openxmlformats.org/officeDocument/2006/relationships/hyperlink" Target="https://www.marionegri.it/" TargetMode="External"/><Relationship Id="rId5" Type="http://schemas.openxmlformats.org/officeDocument/2006/relationships/hyperlink" Target="http://www.talete.mi.it/"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Application>LibreOffice/6.0.7.3$Linux_X86_64 LibreOffice_project/00m0$Build-3</Application>
  <Pages>7</Pages>
  <Words>2149</Words>
  <Characters>12415</Characters>
  <CharactersWithSpaces>14380</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2021-04-15T09:03:00Z</dcterms:created>
  <dc:creator>Erika Colombo</dc:creator>
  <dc:description/>
  <dc:language>en-US</dc:language>
  <cp:lastModifiedBy/>
  <dcterms:modified xsi:type="dcterms:W3CDTF">2021-04-16T11:03:53Z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