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PROCÈS-VERBAL DE RÉUNION</w:t>
      </w:r>
    </w:p>
    <w:p/>
    <w:p>
      <w:pPr>
        <w:jc w:val="left"/>
      </w:pPr>
      <w:r>
        <w:rPr>
          <w:b/>
          <w:sz w:val="28"/>
        </w:rPr>
        <w:t>POINTS DU PV</w:t>
      </w:r>
    </w:p>
    <w:p>
      <w:pPr>
        <w:jc w:val="left"/>
      </w:pPr>
      <w:r>
        <w:rPr>
          <w:b/>
          <w:sz w:val="24"/>
        </w:rPr>
        <w:t xml:space="preserve">Point 1 – </w:t>
      </w:r>
    </w:p>
    <w:p>
      <w:r>
        <w:rPr>
          <w:b w:val="0"/>
          <w:sz w:val="22"/>
        </w:rPr>
        <w:t>لدي الخدمة العميلية زيادة ملحوظة في حجم الاتصالات بنسبة +15٪ مقارنة بالعام السابق. رغم هذه الزيادة، انخفض مؤشر رضا العملاء من 4,5/5 إلى 3,8/5. استمر وقت الانتظار المتوسط عند 6 دقائق، لكنه تم تحديده كأحد العوامل الرئيسية التي ساهمت في تراجع مستوى رضا العملاء.</w:t>
      </w:r>
    </w:p>
    <w:p>
      <w:r>
        <w:rPr>
          <w:b/>
          <w:sz w:val="20"/>
        </w:rPr>
        <w:t>Type : constat</w:t>
      </w:r>
    </w:p>
    <w:p/>
    <w:p>
      <w:pPr>
        <w:jc w:val="left"/>
      </w:pPr>
      <w:r>
        <w:rPr>
          <w:b/>
          <w:sz w:val="28"/>
        </w:rPr>
        <w:t>DÉCISIONS</w:t>
      </w:r>
    </w:p>
    <w:p>
      <w:r>
        <w:rPr>
          <w:b w:val="0"/>
          <w:sz w:val="22"/>
        </w:rPr>
        <w:t>قررت الإدارة الموافقة على الميزانية المقترحة للعام 2024 والتي تبلغ قيمتها 45,000 €. يغطي هذا المبلغ أجور العاملين الجدد في عقود العمل المؤقتة (CDD) اعتبارًا من يونيو 2024، وكذلك ترخيص برنامج الدردشة الآلية. سيتم إطلاق المرحلة التجريبية الأولى في 15 مايو، مع الحاجة إلى الحصول على الموافقة النهائية خلال هذه الجلسة.</w:t>
      </w:r>
    </w:p>
    <w:p/>
    <w:p>
      <w:pPr>
        <w:jc w:val="left"/>
      </w:pPr>
      <w:r>
        <w:rPr>
          <w:b/>
          <w:sz w:val="28"/>
        </w:rPr>
        <w:t>PLAN D'ACTION</w:t>
      </w:r>
    </w:p>
    <w:p>
      <w:r>
        <w:rPr>
          <w:b/>
          <w:sz w:val="22"/>
        </w:rPr>
        <w:t>A01 – التوظيف والتدريب للعاملين الجدد في عقود العمل المؤقتة لتعزيز فريق الخدمة العميلية.</w:t>
      </w:r>
    </w:p>
    <w:p>
      <w:r>
        <w:rPr>
          <w:b w:val="0"/>
          <w:sz w:val="20"/>
        </w:rPr>
        <w:t>Échéance : يونيو 2024; Statut : في التنفيذ</w:t>
      </w:r>
    </w:p>
    <w:p/>
    <w:p>
      <w:r>
        <w:rPr>
          <w:b/>
          <w:sz w:val="22"/>
        </w:rPr>
        <w:t>A02 – تثبيت وتكوين برنامج الدردشة الآلية لمعالجة الأسئلة الشائعة، مما يقلل من حجم العمل على العاملين.</w:t>
      </w:r>
    </w:p>
    <w:p>
      <w:r>
        <w:rPr>
          <w:b w:val="0"/>
          <w:sz w:val="20"/>
        </w:rPr>
        <w:t>Échéance : 15 مايو 2024; Statut : في التنفيذ</w:t>
      </w:r>
    </w:p>
    <w:p/>
    <w:p>
      <w:r>
        <w:rPr>
          <w:b/>
          <w:sz w:val="22"/>
        </w:rPr>
        <w:t>A03 – تطوير مؤشر متابعة شهري لوقت الانتظار، سيتم تقييمه بشكل دوري في اجتماعات المتابعة.</w:t>
      </w:r>
    </w:p>
    <w:p>
      <w:r>
        <w:rPr>
          <w:b w:val="0"/>
          <w:sz w:val="20"/>
        </w:rPr>
        <w:t>Échéance : شهريا; Statut : في التنفيذ</w:t>
      </w:r>
    </w:p>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