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53088" cy="350600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3506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Independent Variable: Mother’s weight in pounds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Dependant Variable: Birthweight in grams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19763" cy="354735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547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Independent Variable: Total population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Dependant Variable: Housing insecurity prevalence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624513" cy="348827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488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Independent Variable: Obesity prevalence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Dependant Variable: Mental health prevalence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