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BF03" w14:textId="50ABEB2F" w:rsidR="00F6403B" w:rsidRDefault="005221BD">
      <w:pPr>
        <w:rPr>
          <w:b/>
          <w:bCs/>
          <w:sz w:val="28"/>
          <w:szCs w:val="28"/>
          <w:lang w:val="en-US"/>
        </w:rPr>
      </w:pPr>
      <w:r w:rsidRPr="005221BD">
        <w:rPr>
          <w:b/>
          <w:bCs/>
          <w:sz w:val="28"/>
          <w:szCs w:val="28"/>
          <w:lang w:val="en-US"/>
        </w:rPr>
        <w:t>CAPM (Capital Asset Pricing Model) –</w:t>
      </w:r>
    </w:p>
    <w:p w14:paraId="7EFE2B31" w14:textId="2BB689AA" w:rsidR="005221BD" w:rsidRPr="00235370" w:rsidRDefault="005221BD" w:rsidP="005221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35370">
        <w:rPr>
          <w:rFonts w:ascii="Arial" w:hAnsi="Arial" w:cs="Arial"/>
          <w:lang w:val="en-US"/>
        </w:rPr>
        <w:t>CAPM is a model that described the relationship between the expected return and risk securities.</w:t>
      </w:r>
    </w:p>
    <w:p w14:paraId="7F739BAD" w14:textId="74ECC563" w:rsidR="005221BD" w:rsidRPr="00235370" w:rsidRDefault="005221BD" w:rsidP="005221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35370">
        <w:rPr>
          <w:rFonts w:ascii="Arial" w:hAnsi="Arial" w:cs="Arial"/>
          <w:lang w:val="en-US"/>
        </w:rPr>
        <w:t xml:space="preserve">CAPM indicates that the expected return on a security is equal to the risk-free </w:t>
      </w:r>
      <w:proofErr w:type="spellStart"/>
      <w:r w:rsidRPr="00235370">
        <w:rPr>
          <w:rFonts w:ascii="Arial" w:hAnsi="Arial" w:cs="Arial"/>
          <w:lang w:val="en-US"/>
        </w:rPr>
        <w:t>returm</w:t>
      </w:r>
      <w:proofErr w:type="spellEnd"/>
      <w:r w:rsidRPr="00235370">
        <w:rPr>
          <w:rFonts w:ascii="Arial" w:hAnsi="Arial" w:cs="Arial"/>
          <w:lang w:val="en-US"/>
        </w:rPr>
        <w:t xml:space="preserve"> plus a risk premium.</w:t>
      </w:r>
    </w:p>
    <w:p w14:paraId="53358CCD" w14:textId="77777777" w:rsidR="005221BD" w:rsidRPr="00235370" w:rsidRDefault="005221BD">
      <w:pPr>
        <w:rPr>
          <w:rStyle w:val="mclose"/>
          <w:rFonts w:ascii="Arial" w:hAnsi="Arial" w:cs="Arial"/>
          <w:color w:val="111111"/>
          <w:spacing w:val="1"/>
          <w:sz w:val="33"/>
          <w:szCs w:val="33"/>
          <w:shd w:val="clear" w:color="auto" w:fill="FFFFFF"/>
        </w:rPr>
      </w:pPr>
      <w:r w:rsidRPr="0023537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7085913" wp14:editId="7B5371F6">
                <wp:extent cx="302260" cy="302260"/>
                <wp:effectExtent l="0" t="0" r="0" b="0"/>
                <wp:docPr id="1100859141" name="Rectangle 4" descr="E(R_{i}) = R_{f}+\beta_{i}(E(R_{m})-R_{f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795CB" id="Rectangle 4" o:spid="_x0000_s1026" alt="E(R_{i}) = R_{f}+\beta_{i}(E(R_{m})-R_{f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3537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7CC338" wp14:editId="088E39E1">
                <wp:extent cx="302260" cy="302260"/>
                <wp:effectExtent l="0" t="0" r="0" b="0"/>
                <wp:docPr id="549237786" name="Rectangle 5" descr="E(R_{i}) = R_{f}+\beta_{i}(E(R_{m})-R_{f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7BC56" id="Rectangle 5" o:spid="_x0000_s1026" alt="E(R_{i}) = R_{f}+\beta_{i}(E(R_{m})-R_{f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33"/>
          <w:szCs w:val="33"/>
          <w:shd w:val="clear" w:color="auto" w:fill="FFFFFF"/>
        </w:rPr>
        <w:t>ER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23"/>
          <w:szCs w:val="23"/>
          <w:shd w:val="clear" w:color="auto" w:fill="FFFFFF"/>
        </w:rPr>
        <w:t>i</w:t>
      </w:r>
      <w:r w:rsidRPr="00235370">
        <w:rPr>
          <w:rStyle w:val="vlist-s"/>
          <w:rFonts w:ascii="Arial" w:hAnsi="Arial" w:cs="Arial"/>
          <w:color w:val="111111"/>
          <w:spacing w:val="1"/>
          <w:sz w:val="2"/>
          <w:szCs w:val="2"/>
          <w:shd w:val="clear" w:color="auto" w:fill="FFFFFF"/>
        </w:rPr>
        <w:t>​</w:t>
      </w:r>
      <w:r w:rsidRPr="00235370">
        <w:rPr>
          <w:rStyle w:val="mrel"/>
          <w:rFonts w:ascii="Arial" w:hAnsi="Arial" w:cs="Arial"/>
          <w:color w:val="111111"/>
          <w:spacing w:val="1"/>
          <w:sz w:val="33"/>
          <w:szCs w:val="33"/>
          <w:shd w:val="clear" w:color="auto" w:fill="FFFFFF"/>
        </w:rPr>
        <w:t>=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33"/>
          <w:szCs w:val="33"/>
          <w:shd w:val="clear" w:color="auto" w:fill="FFFFFF"/>
        </w:rPr>
        <w:t>R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23"/>
          <w:szCs w:val="23"/>
          <w:shd w:val="clear" w:color="auto" w:fill="FFFFFF"/>
        </w:rPr>
        <w:t>f</w:t>
      </w:r>
      <w:r w:rsidRPr="00235370">
        <w:rPr>
          <w:rStyle w:val="vlist-s"/>
          <w:rFonts w:ascii="Arial" w:hAnsi="Arial" w:cs="Arial"/>
          <w:color w:val="111111"/>
          <w:spacing w:val="1"/>
          <w:sz w:val="2"/>
          <w:szCs w:val="2"/>
          <w:shd w:val="clear" w:color="auto" w:fill="FFFFFF"/>
        </w:rPr>
        <w:t>​</w:t>
      </w:r>
      <w:r w:rsidRPr="00235370">
        <w:rPr>
          <w:rStyle w:val="mbin"/>
          <w:rFonts w:ascii="Arial" w:hAnsi="Arial" w:cs="Arial"/>
          <w:color w:val="111111"/>
          <w:spacing w:val="1"/>
          <w:sz w:val="33"/>
          <w:szCs w:val="33"/>
          <w:shd w:val="clear" w:color="auto" w:fill="FFFFFF"/>
        </w:rPr>
        <w:t>+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33"/>
          <w:szCs w:val="33"/>
          <w:shd w:val="clear" w:color="auto" w:fill="FFFFFF"/>
        </w:rPr>
        <w:t>β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23"/>
          <w:szCs w:val="23"/>
          <w:shd w:val="clear" w:color="auto" w:fill="FFFFFF"/>
        </w:rPr>
        <w:t>i</w:t>
      </w:r>
      <w:r w:rsidRPr="00235370">
        <w:rPr>
          <w:rStyle w:val="vlist-s"/>
          <w:rFonts w:ascii="Arial" w:hAnsi="Arial" w:cs="Arial"/>
          <w:color w:val="111111"/>
          <w:spacing w:val="1"/>
          <w:sz w:val="2"/>
          <w:szCs w:val="2"/>
          <w:shd w:val="clear" w:color="auto" w:fill="FFFFFF"/>
        </w:rPr>
        <w:t>​</w:t>
      </w:r>
      <w:r w:rsidRPr="00235370">
        <w:rPr>
          <w:rStyle w:val="mopen"/>
          <w:rFonts w:ascii="Arial" w:hAnsi="Arial" w:cs="Arial"/>
          <w:color w:val="111111"/>
          <w:spacing w:val="1"/>
          <w:sz w:val="33"/>
          <w:szCs w:val="33"/>
          <w:shd w:val="clear" w:color="auto" w:fill="FFFFFF"/>
        </w:rPr>
        <w:t>(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33"/>
          <w:szCs w:val="33"/>
          <w:shd w:val="clear" w:color="auto" w:fill="FFFFFF"/>
        </w:rPr>
        <w:t>ER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23"/>
          <w:szCs w:val="23"/>
          <w:shd w:val="clear" w:color="auto" w:fill="FFFFFF"/>
        </w:rPr>
        <w:t>m</w:t>
      </w:r>
      <w:r w:rsidRPr="00235370">
        <w:rPr>
          <w:rStyle w:val="vlist-s"/>
          <w:rFonts w:ascii="Arial" w:hAnsi="Arial" w:cs="Arial"/>
          <w:color w:val="111111"/>
          <w:spacing w:val="1"/>
          <w:sz w:val="2"/>
          <w:szCs w:val="2"/>
          <w:shd w:val="clear" w:color="auto" w:fill="FFFFFF"/>
        </w:rPr>
        <w:t>​</w:t>
      </w:r>
      <w:r w:rsidRPr="00235370">
        <w:rPr>
          <w:rStyle w:val="mbin"/>
          <w:rFonts w:ascii="Arial" w:hAnsi="Arial" w:cs="Arial"/>
          <w:color w:val="111111"/>
          <w:spacing w:val="1"/>
          <w:sz w:val="33"/>
          <w:szCs w:val="33"/>
          <w:shd w:val="clear" w:color="auto" w:fill="FFFFFF"/>
        </w:rPr>
        <w:t>−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33"/>
          <w:szCs w:val="33"/>
          <w:shd w:val="clear" w:color="auto" w:fill="FFFFFF"/>
        </w:rPr>
        <w:t>R</w:t>
      </w:r>
      <w:r w:rsidRPr="00235370">
        <w:rPr>
          <w:rStyle w:val="mord"/>
          <w:rFonts w:ascii="Arial" w:hAnsi="Arial" w:cs="Arial"/>
          <w:i/>
          <w:iCs/>
          <w:color w:val="111111"/>
          <w:spacing w:val="1"/>
          <w:sz w:val="23"/>
          <w:szCs w:val="23"/>
          <w:shd w:val="clear" w:color="auto" w:fill="FFFFFF"/>
        </w:rPr>
        <w:t>f</w:t>
      </w:r>
      <w:r w:rsidRPr="00235370">
        <w:rPr>
          <w:rStyle w:val="vlist-s"/>
          <w:rFonts w:ascii="Arial" w:hAnsi="Arial" w:cs="Arial"/>
          <w:color w:val="111111"/>
          <w:spacing w:val="1"/>
          <w:sz w:val="2"/>
          <w:szCs w:val="2"/>
          <w:shd w:val="clear" w:color="auto" w:fill="FFFFFF"/>
        </w:rPr>
        <w:t>​</w:t>
      </w:r>
      <w:r w:rsidRPr="00235370">
        <w:rPr>
          <w:rStyle w:val="mclose"/>
          <w:rFonts w:ascii="Arial" w:hAnsi="Arial" w:cs="Arial"/>
          <w:color w:val="111111"/>
          <w:spacing w:val="1"/>
          <w:sz w:val="33"/>
          <w:szCs w:val="33"/>
          <w:shd w:val="clear" w:color="auto" w:fill="FFFFFF"/>
        </w:rPr>
        <w:t>)</w:t>
      </w:r>
    </w:p>
    <w:p w14:paraId="3BF4447B" w14:textId="77777777" w:rsidR="005221BD" w:rsidRPr="00235370" w:rsidRDefault="005221BD" w:rsidP="005221BD">
      <w:pPr>
        <w:ind w:firstLine="720"/>
        <w:rPr>
          <w:rStyle w:val="mord"/>
          <w:rFonts w:ascii="Arial" w:hAnsi="Arial" w:cs="Arial"/>
          <w:b/>
          <w:bCs/>
          <w:color w:val="111111"/>
          <w:spacing w:val="1"/>
          <w:sz w:val="33"/>
          <w:szCs w:val="33"/>
          <w:shd w:val="clear" w:color="auto" w:fill="FFFFFF"/>
        </w:rPr>
      </w:pPr>
      <w:r w:rsidRPr="00235370">
        <w:rPr>
          <w:rStyle w:val="mord"/>
          <w:rFonts w:ascii="Arial" w:hAnsi="Arial" w:cs="Arial"/>
          <w:b/>
          <w:bCs/>
          <w:color w:val="111111"/>
          <w:spacing w:val="1"/>
          <w:sz w:val="33"/>
          <w:szCs w:val="33"/>
          <w:shd w:val="clear" w:color="auto" w:fill="FFFFFF"/>
        </w:rPr>
        <w:t>where:</w:t>
      </w:r>
    </w:p>
    <w:p w14:paraId="3E177EC4" w14:textId="77777777" w:rsidR="005221BD" w:rsidRPr="00235370" w:rsidRDefault="005221BD" w:rsidP="005221BD">
      <w:pPr>
        <w:ind w:firstLine="720"/>
        <w:rPr>
          <w:rFonts w:ascii="Arial" w:hAnsi="Arial" w:cs="Arial"/>
        </w:rPr>
      </w:pPr>
      <w:proofErr w:type="spellStart"/>
      <w:r w:rsidRPr="00235370">
        <w:rPr>
          <w:rFonts w:ascii="Arial" w:hAnsi="Arial" w:cs="Arial"/>
        </w:rPr>
        <w:t>ERi</w:t>
      </w:r>
      <w:proofErr w:type="spellEnd"/>
      <w:r w:rsidRPr="00235370">
        <w:rPr>
          <w:rFonts w:ascii="Arial" w:hAnsi="Arial" w:cs="Arial"/>
        </w:rPr>
        <w:t>​=expected return of investment</w:t>
      </w:r>
    </w:p>
    <w:p w14:paraId="5A0DC6C0" w14:textId="77777777" w:rsidR="005221BD" w:rsidRPr="00235370" w:rsidRDefault="005221BD" w:rsidP="005221BD">
      <w:pPr>
        <w:ind w:firstLine="720"/>
        <w:rPr>
          <w:rFonts w:ascii="Arial" w:hAnsi="Arial" w:cs="Arial"/>
        </w:rPr>
      </w:pPr>
      <w:r w:rsidRPr="00235370">
        <w:rPr>
          <w:rFonts w:ascii="Arial" w:hAnsi="Arial" w:cs="Arial"/>
        </w:rPr>
        <w:t>Rf​=risk-free rate</w:t>
      </w:r>
    </w:p>
    <w:p w14:paraId="56A98281" w14:textId="549D0C86" w:rsidR="005221BD" w:rsidRPr="00235370" w:rsidRDefault="005221BD" w:rsidP="005221BD">
      <w:pPr>
        <w:ind w:firstLine="720"/>
        <w:rPr>
          <w:rFonts w:ascii="Arial" w:hAnsi="Arial" w:cs="Arial"/>
        </w:rPr>
      </w:pPr>
      <w:r w:rsidRPr="00235370">
        <w:rPr>
          <w:rFonts w:ascii="Arial" w:hAnsi="Arial" w:cs="Arial"/>
        </w:rPr>
        <w:t>β</w:t>
      </w:r>
      <w:proofErr w:type="spellStart"/>
      <w:r w:rsidRPr="00235370">
        <w:rPr>
          <w:rFonts w:ascii="Arial" w:hAnsi="Arial" w:cs="Arial"/>
        </w:rPr>
        <w:t>i</w:t>
      </w:r>
      <w:proofErr w:type="spellEnd"/>
      <w:r w:rsidRPr="00235370">
        <w:rPr>
          <w:rFonts w:ascii="Arial" w:hAnsi="Arial" w:cs="Arial"/>
        </w:rPr>
        <w:t>​=beta of the investment</w:t>
      </w:r>
      <w:r w:rsidR="00F832DC" w:rsidRPr="00235370">
        <w:rPr>
          <w:rFonts w:ascii="Arial" w:hAnsi="Arial" w:cs="Arial"/>
        </w:rPr>
        <w:t xml:space="preserve"> or systematic risk</w:t>
      </w:r>
    </w:p>
    <w:p w14:paraId="2D6B81C8" w14:textId="2A98DAAF" w:rsidR="005221BD" w:rsidRPr="00235370" w:rsidRDefault="005221BD" w:rsidP="005221BD">
      <w:pPr>
        <w:ind w:firstLine="720"/>
        <w:rPr>
          <w:rFonts w:ascii="Arial" w:hAnsi="Arial" w:cs="Arial"/>
        </w:rPr>
      </w:pPr>
      <w:r w:rsidRPr="00235370">
        <w:rPr>
          <w:rFonts w:ascii="Arial" w:hAnsi="Arial" w:cs="Arial"/>
        </w:rPr>
        <w:t>(</w:t>
      </w:r>
      <w:proofErr w:type="spellStart"/>
      <w:r w:rsidRPr="00235370">
        <w:rPr>
          <w:rFonts w:ascii="Arial" w:hAnsi="Arial" w:cs="Arial"/>
        </w:rPr>
        <w:t>ERm</w:t>
      </w:r>
      <w:proofErr w:type="spellEnd"/>
      <w:r w:rsidRPr="00235370">
        <w:rPr>
          <w:rFonts w:ascii="Arial" w:hAnsi="Arial" w:cs="Arial"/>
        </w:rPr>
        <w:t>​−Rf​)=market risk premium​</w:t>
      </w:r>
    </w:p>
    <w:p w14:paraId="000944AD" w14:textId="27F64653" w:rsidR="005221BD" w:rsidRDefault="005221BD" w:rsidP="00F832DC">
      <w:pPr>
        <w:pStyle w:val="ListParagraph"/>
        <w:rPr>
          <w:color w:val="111111"/>
          <w:spacing w:val="1"/>
          <w:sz w:val="33"/>
          <w:szCs w:val="33"/>
          <w:shd w:val="clear" w:color="auto" w:fill="FFFFFF"/>
        </w:rPr>
      </w:pPr>
    </w:p>
    <w:p w14:paraId="1E0D166D" w14:textId="13E078DC" w:rsidR="00F832DC" w:rsidRDefault="00F832DC" w:rsidP="00F832DC">
      <w:pPr>
        <w:rPr>
          <w:b/>
          <w:bCs/>
          <w:sz w:val="28"/>
          <w:szCs w:val="28"/>
          <w:shd w:val="clear" w:color="auto" w:fill="FFFFFF"/>
        </w:rPr>
      </w:pPr>
      <w:r w:rsidRPr="00F832DC">
        <w:rPr>
          <w:b/>
          <w:bCs/>
          <w:sz w:val="28"/>
          <w:szCs w:val="28"/>
          <w:shd w:val="clear" w:color="auto" w:fill="FFFFFF"/>
        </w:rPr>
        <w:t>Terms –</w:t>
      </w:r>
    </w:p>
    <w:p w14:paraId="4E27CE02" w14:textId="28AAF345" w:rsidR="00F832DC" w:rsidRPr="00E45DED" w:rsidRDefault="00F832DC" w:rsidP="00F832DC">
      <w:pPr>
        <w:pStyle w:val="ListParagraph"/>
        <w:numPr>
          <w:ilvl w:val="0"/>
          <w:numId w:val="3"/>
        </w:numPr>
        <w:rPr>
          <w:b/>
          <w:bCs/>
          <w:shd w:val="clear" w:color="auto" w:fill="FFFFFF"/>
        </w:rPr>
      </w:pPr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>The expected return is the profit or loss that an </w:t>
      </w:r>
      <w:hyperlink r:id="rId5" w:history="1">
        <w:r w:rsidRPr="00F832DC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investor</w:t>
        </w:r>
      </w:hyperlink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> anticipates on an investment that has known historical </w:t>
      </w:r>
      <w:hyperlink r:id="rId6" w:history="1">
        <w:r w:rsidRPr="00F832DC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rates of return</w:t>
        </w:r>
      </w:hyperlink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> (</w:t>
      </w:r>
      <w:proofErr w:type="spellStart"/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>RoR</w:t>
      </w:r>
      <w:proofErr w:type="spellEnd"/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 xml:space="preserve">). It is calculated by multiplying potential outcomes by the chances of them occurring and then </w:t>
      </w:r>
      <w:proofErr w:type="spellStart"/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>totaling</w:t>
      </w:r>
      <w:proofErr w:type="spellEnd"/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 xml:space="preserve"> these results.</w:t>
      </w:r>
    </w:p>
    <w:p w14:paraId="03D0FC62" w14:textId="2BE78603" w:rsidR="00E45DED" w:rsidRPr="00E45DED" w:rsidRDefault="00E45DED" w:rsidP="00F832DC">
      <w:pPr>
        <w:pStyle w:val="ListParagraph"/>
        <w:numPr>
          <w:ilvl w:val="0"/>
          <w:numId w:val="3"/>
        </w:numPr>
        <w:rPr>
          <w:b/>
          <w:bCs/>
          <w:shd w:val="clear" w:color="auto" w:fill="FFFFFF"/>
        </w:rPr>
      </w:pPr>
      <w:r w:rsidRPr="00E45DED">
        <w:rPr>
          <w:rFonts w:ascii="Arial" w:hAnsi="Arial" w:cs="Arial"/>
          <w:color w:val="111111"/>
          <w:spacing w:val="1"/>
          <w:shd w:val="clear" w:color="auto" w:fill="FFFFFF"/>
        </w:rPr>
        <w:t>The expected return is the profit or loss that an </w:t>
      </w:r>
      <w:hyperlink r:id="rId7" w:history="1">
        <w:r w:rsidRPr="00E45DED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investor</w:t>
        </w:r>
      </w:hyperlink>
      <w:r w:rsidRPr="00E45DED">
        <w:rPr>
          <w:rFonts w:ascii="Arial" w:hAnsi="Arial" w:cs="Arial"/>
          <w:color w:val="111111"/>
          <w:spacing w:val="1"/>
          <w:shd w:val="clear" w:color="auto" w:fill="FFFFFF"/>
        </w:rPr>
        <w:t> anticipates on an investment that has known historical </w:t>
      </w:r>
      <w:hyperlink r:id="rId8" w:history="1">
        <w:r w:rsidRPr="00E45DED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rates of return</w:t>
        </w:r>
      </w:hyperlink>
      <w:r w:rsidRPr="00E45DED">
        <w:rPr>
          <w:rFonts w:ascii="Arial" w:hAnsi="Arial" w:cs="Arial"/>
          <w:color w:val="111111"/>
          <w:spacing w:val="1"/>
          <w:shd w:val="clear" w:color="auto" w:fill="FFFFFF"/>
        </w:rPr>
        <w:t> (</w:t>
      </w:r>
      <w:proofErr w:type="spellStart"/>
      <w:r w:rsidRPr="00E45DED">
        <w:rPr>
          <w:rFonts w:ascii="Arial" w:hAnsi="Arial" w:cs="Arial"/>
          <w:color w:val="111111"/>
          <w:spacing w:val="1"/>
          <w:shd w:val="clear" w:color="auto" w:fill="FFFFFF"/>
        </w:rPr>
        <w:t>RoR</w:t>
      </w:r>
      <w:proofErr w:type="spellEnd"/>
      <w:r w:rsidRPr="00E45DED">
        <w:rPr>
          <w:rFonts w:ascii="Arial" w:hAnsi="Arial" w:cs="Arial"/>
          <w:color w:val="111111"/>
          <w:spacing w:val="1"/>
          <w:shd w:val="clear" w:color="auto" w:fill="FFFFFF"/>
        </w:rPr>
        <w:t xml:space="preserve">). It is calculated by multiplying potential outcomes by the chances of them occurring and then </w:t>
      </w:r>
      <w:proofErr w:type="spellStart"/>
      <w:r w:rsidRPr="00E45DED">
        <w:rPr>
          <w:rFonts w:ascii="Arial" w:hAnsi="Arial" w:cs="Arial"/>
          <w:color w:val="111111"/>
          <w:spacing w:val="1"/>
          <w:shd w:val="clear" w:color="auto" w:fill="FFFFFF"/>
        </w:rPr>
        <w:t>totaling</w:t>
      </w:r>
      <w:proofErr w:type="spellEnd"/>
      <w:r w:rsidRPr="00E45DED">
        <w:rPr>
          <w:rFonts w:ascii="Arial" w:hAnsi="Arial" w:cs="Arial"/>
          <w:color w:val="111111"/>
          <w:spacing w:val="1"/>
          <w:shd w:val="clear" w:color="auto" w:fill="FFFFFF"/>
        </w:rPr>
        <w:t xml:space="preserve"> these results.</w:t>
      </w:r>
    </w:p>
    <w:p w14:paraId="4C3E4975" w14:textId="284115BF" w:rsidR="00E45DED" w:rsidRPr="00E45DED" w:rsidRDefault="00F832DC" w:rsidP="00E45DED">
      <w:pPr>
        <w:pStyle w:val="ListParagraph"/>
        <w:numPr>
          <w:ilvl w:val="0"/>
          <w:numId w:val="3"/>
        </w:numPr>
        <w:rPr>
          <w:b/>
          <w:bCs/>
          <w:shd w:val="clear" w:color="auto" w:fill="FFFFFF"/>
        </w:rPr>
      </w:pPr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>Systematic risk refers to the risk inherent to the entire market or </w:t>
      </w:r>
      <w:hyperlink r:id="rId9" w:history="1">
        <w:r w:rsidRPr="00F832DC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market segment</w:t>
        </w:r>
      </w:hyperlink>
      <w:r w:rsidRPr="00F832DC">
        <w:rPr>
          <w:rFonts w:ascii="Arial" w:hAnsi="Arial" w:cs="Arial"/>
          <w:color w:val="111111"/>
          <w:spacing w:val="1"/>
          <w:shd w:val="clear" w:color="auto" w:fill="FFFFFF"/>
        </w:rPr>
        <w:t>. Systematic risk, also known as undiversifiable risk, volatility risk, or market risk, affects the overall market, not just a particular stock or industry.</w:t>
      </w:r>
    </w:p>
    <w:p w14:paraId="6FE5A0B6" w14:textId="2D246EB4" w:rsidR="00E45DED" w:rsidRPr="00235370" w:rsidRDefault="00235370" w:rsidP="00E45DED">
      <w:pPr>
        <w:pStyle w:val="ListParagraph"/>
        <w:numPr>
          <w:ilvl w:val="0"/>
          <w:numId w:val="3"/>
        </w:numPr>
        <w:rPr>
          <w:b/>
          <w:bCs/>
          <w:shd w:val="clear" w:color="auto" w:fill="FFFFFF"/>
        </w:rPr>
      </w:pPr>
      <w:r w:rsidRPr="00235370">
        <w:rPr>
          <w:rFonts w:ascii="Arial" w:hAnsi="Arial" w:cs="Arial"/>
          <w:color w:val="111111"/>
          <w:spacing w:val="1"/>
          <w:shd w:val="clear" w:color="auto" w:fill="FFFFFF"/>
        </w:rPr>
        <w:t>The risk-free rate of return is the theoretical </w:t>
      </w:r>
      <w:hyperlink r:id="rId10" w:history="1">
        <w:r w:rsidRPr="00235370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rate of return</w:t>
        </w:r>
      </w:hyperlink>
      <w:r w:rsidRPr="00235370">
        <w:rPr>
          <w:rFonts w:ascii="Arial" w:hAnsi="Arial" w:cs="Arial"/>
          <w:color w:val="111111"/>
          <w:spacing w:val="1"/>
          <w:shd w:val="clear" w:color="auto" w:fill="FFFFFF"/>
        </w:rPr>
        <w:t> of an investment with zero risk. The </w:t>
      </w:r>
      <w:hyperlink r:id="rId11" w:history="1">
        <w:r w:rsidRPr="00235370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risk-free</w:t>
        </w:r>
      </w:hyperlink>
      <w:r w:rsidRPr="00235370">
        <w:rPr>
          <w:rFonts w:ascii="Arial" w:hAnsi="Arial" w:cs="Arial"/>
          <w:color w:val="111111"/>
          <w:spacing w:val="1"/>
          <w:shd w:val="clear" w:color="auto" w:fill="FFFFFF"/>
        </w:rPr>
        <w:t> rate represents the interest an investor would expect from an absolutely risk-free investment over a specified period of time.</w:t>
      </w:r>
    </w:p>
    <w:p w14:paraId="041CC3D8" w14:textId="37C448F3" w:rsidR="00F80987" w:rsidRDefault="00F80987" w:rsidP="00F80987">
      <w:pPr>
        <w:rPr>
          <w:shd w:val="clear" w:color="auto" w:fill="FFFFFF"/>
        </w:rPr>
      </w:pPr>
    </w:p>
    <w:p w14:paraId="084ED620" w14:textId="78B3A504" w:rsidR="00BC2F41" w:rsidRPr="00BC2F41" w:rsidRDefault="00F80987" w:rsidP="00F80987">
      <w:pPr>
        <w:rPr>
          <w:rFonts w:ascii="Symbol" w:hAnsi="Symbol"/>
          <w:shd w:val="clear" w:color="auto" w:fill="FFFFFF"/>
        </w:rPr>
      </w:pPr>
      <w:r>
        <w:rPr>
          <w:rFonts w:ascii="Symbol" w:hAnsi="Symbol"/>
          <w:shd w:val="clear" w:color="auto" w:fill="FFFFFF"/>
        </w:rPr>
        <w:t>b</w:t>
      </w:r>
      <w:r>
        <w:rPr>
          <w:shd w:val="clear" w:color="auto" w:fill="FFFFFF"/>
        </w:rPr>
        <w:t>p=(w1*b1)+(w2*b2)+….</w:t>
      </w:r>
      <w:r w:rsidR="00BC2F41">
        <w:rPr>
          <w:shd w:val="clear" w:color="auto" w:fill="FFFFFF"/>
        </w:rPr>
        <w:t xml:space="preserve">+ </w:t>
      </w:r>
    </w:p>
    <w:p w14:paraId="710EC103" w14:textId="77777777" w:rsidR="00F832DC" w:rsidRPr="005221BD" w:rsidRDefault="00F832DC" w:rsidP="00F832DC">
      <w:pPr>
        <w:pStyle w:val="ListParagraph"/>
        <w:rPr>
          <w:lang w:val="en-US"/>
        </w:rPr>
      </w:pPr>
    </w:p>
    <w:p w14:paraId="3DA064E2" w14:textId="77777777" w:rsidR="005221BD" w:rsidRPr="005221BD" w:rsidRDefault="005221BD">
      <w:pPr>
        <w:rPr>
          <w:lang w:val="en-US"/>
        </w:rPr>
      </w:pPr>
    </w:p>
    <w:sectPr w:rsidR="005221BD" w:rsidRPr="0052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5E1A"/>
    <w:multiLevelType w:val="hybridMultilevel"/>
    <w:tmpl w:val="CF6AD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663B4"/>
    <w:multiLevelType w:val="hybridMultilevel"/>
    <w:tmpl w:val="6868E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B1432"/>
    <w:multiLevelType w:val="hybridMultilevel"/>
    <w:tmpl w:val="D0B65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72263">
    <w:abstractNumId w:val="2"/>
  </w:num>
  <w:num w:numId="2" w16cid:durableId="862747246">
    <w:abstractNumId w:val="0"/>
  </w:num>
  <w:num w:numId="3" w16cid:durableId="4911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EA"/>
    <w:rsid w:val="00235370"/>
    <w:rsid w:val="005221BD"/>
    <w:rsid w:val="008843D3"/>
    <w:rsid w:val="008B6473"/>
    <w:rsid w:val="00BC2F41"/>
    <w:rsid w:val="00DC0CEA"/>
    <w:rsid w:val="00E45DED"/>
    <w:rsid w:val="00F6403B"/>
    <w:rsid w:val="00F80987"/>
    <w:rsid w:val="00F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4695"/>
  <w15:chartTrackingRefBased/>
  <w15:docId w15:val="{82FBE43B-4F91-48B5-8011-FC51EA94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1BD"/>
    <w:rPr>
      <w:color w:val="808080"/>
    </w:rPr>
  </w:style>
  <w:style w:type="character" w:customStyle="1" w:styleId="mord">
    <w:name w:val="mord"/>
    <w:basedOn w:val="DefaultParagraphFont"/>
    <w:rsid w:val="005221BD"/>
  </w:style>
  <w:style w:type="character" w:customStyle="1" w:styleId="vlist-s">
    <w:name w:val="vlist-s"/>
    <w:basedOn w:val="DefaultParagraphFont"/>
    <w:rsid w:val="005221BD"/>
  </w:style>
  <w:style w:type="character" w:customStyle="1" w:styleId="mrel">
    <w:name w:val="mrel"/>
    <w:basedOn w:val="DefaultParagraphFont"/>
    <w:rsid w:val="005221BD"/>
  </w:style>
  <w:style w:type="character" w:customStyle="1" w:styleId="mbin">
    <w:name w:val="mbin"/>
    <w:basedOn w:val="DefaultParagraphFont"/>
    <w:rsid w:val="005221BD"/>
  </w:style>
  <w:style w:type="character" w:customStyle="1" w:styleId="mopen">
    <w:name w:val="mopen"/>
    <w:basedOn w:val="DefaultParagraphFont"/>
    <w:rsid w:val="005221BD"/>
  </w:style>
  <w:style w:type="character" w:customStyle="1" w:styleId="mclose">
    <w:name w:val="mclose"/>
    <w:basedOn w:val="DefaultParagraphFont"/>
    <w:rsid w:val="005221BD"/>
  </w:style>
  <w:style w:type="character" w:styleId="Hyperlink">
    <w:name w:val="Hyperlink"/>
    <w:basedOn w:val="DefaultParagraphFont"/>
    <w:uiPriority w:val="99"/>
    <w:semiHidden/>
    <w:unhideWhenUsed/>
    <w:rsid w:val="00F83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ateofreturn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i/investo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r/rateofreturn.asp" TargetMode="External"/><Relationship Id="rId11" Type="http://schemas.openxmlformats.org/officeDocument/2006/relationships/hyperlink" Target="https://www.investopedia.com/articles/financial-theory/08/risk-free-rate-return.asp" TargetMode="External"/><Relationship Id="rId5" Type="http://schemas.openxmlformats.org/officeDocument/2006/relationships/hyperlink" Target="https://www.investopedia.com/terms/i/investor.asp" TargetMode="External"/><Relationship Id="rId10" Type="http://schemas.openxmlformats.org/officeDocument/2006/relationships/hyperlink" Target="https://www.investopedia.com/terms/r/rateofretur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m/market-seg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amanjaiswal240@outlook.com</dc:creator>
  <cp:keywords/>
  <dc:description/>
  <cp:lastModifiedBy>amanjaiswal240@outlook.com</cp:lastModifiedBy>
  <cp:revision>8</cp:revision>
  <dcterms:created xsi:type="dcterms:W3CDTF">2023-07-12T14:35:00Z</dcterms:created>
  <dcterms:modified xsi:type="dcterms:W3CDTF">2023-07-15T17:26:00Z</dcterms:modified>
</cp:coreProperties>
</file>