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left"/>
      </w:pPr>
      <w:r>
        <w:rPr>
          <w:rFonts w:ascii="Arial" w:hAnsi="Arial"/>
          <w:b/>
          <w:color w:val="D97706"/>
          <w:sz w:val="22"/>
        </w:rPr>
        <w:t>WEEK 1  |  STRATEGY DOCUMENT</w:t>
      </w:r>
    </w:p>
    <w:p>
      <w:pPr>
        <w:pStyle w:val="Title"/>
        <w:spacing w:before="360" w:after="200"/>
      </w:pPr>
      <w:r>
        <w:t>Data Acquisition Strategy</w:t>
        <w:br/>
        <w:t>and Preliminary Insights</w:t>
      </w:r>
    </w:p>
    <w:p>
      <w:pPr>
        <w:pStyle w:val="Subtitle"/>
        <w:spacing w:after="360"/>
      </w:pPr>
      <w:r>
        <w:t>Construction Project Analysis Using Python</w:t>
      </w:r>
    </w:p>
    <w:tbl>
      <w:tblPr>
        <w:tblW w:type="auto" w:w="0"/>
        <w:tblLayout w:type="fixed"/>
        <w:tblLook w:firstColumn="1" w:firstRow="1" w:lastColumn="0" w:lastRow="0" w:noHBand="0" w:noVBand="1" w:val="04A0"/>
      </w:tblPr>
      <w:tblGrid>
        <w:gridCol w:w="9504"/>
      </w:tblGrid>
      <w:tr>
        <w:trPr>
          <w:trHeight w:val="101"/>
        </w:trPr>
        <w:tc>
          <w:tcPr>
            <w:tcW w:type="dxa" w:w="9749"/>
            <w:shd w:fill="D97706"/>
          </w:tcPr>
          <w:p>
            <w:r>
              <w:t xml:space="preserve"> </w:t>
            </w:r>
          </w:p>
        </w:tc>
      </w:tr>
    </w:tbl>
    <w:p>
      <w:pPr>
        <w:spacing w:after="20"/>
      </w:pPr>
    </w:p>
    <w:p>
      <w:pPr>
        <w:spacing w:after="20"/>
      </w:pPr>
    </w:p>
    <w:p>
      <w:pPr>
        <w:spacing w:after="20"/>
      </w:pPr>
    </w:p>
    <w:tbl>
      <w:tblPr>
        <w:tblStyle w:val="TableGrid"/>
        <w:tblW w:type="auto" w:w="0"/>
        <w:jc w:val="center"/>
        <w:tblLayout w:type="fixed"/>
        <w:tblLook w:firstColumn="1" w:firstRow="1" w:lastColumn="0" w:lastRow="0" w:noHBand="0" w:noVBand="1" w:val="04A0"/>
      </w:tblPr>
      <w:tblGrid>
        <w:gridCol w:w="4874"/>
        <w:gridCol w:w="4874"/>
      </w:tblGrid>
      <w:tr>
        <w:trPr>
          <w:tblHeader w:val="true"/>
          <w:cantSplit/>
        </w:trPr>
        <w:tc>
          <w:tcPr>
            <w:tcW w:type="dxa" w:w="2232"/>
            <w:vAlign w:val="center"/>
            <w:tcMar>
              <w:top w:w="90" w:type="dxa"/>
              <w:start w:w="100" w:type="dxa"/>
              <w:bottom w:w="90" w:type="dxa"/>
              <w:end w:w="100" w:type="dxa"/>
            </w:tcMar>
            <w:shd w:fill="18324A"/>
          </w:tcPr>
          <w:p>
            <w:pPr>
              <w:spacing w:after="0" w:before="0" w:line="250" w:lineRule="auto"/>
            </w:pPr>
            <w:r/>
            <w:r>
              <w:rPr>
                <w:rFonts w:ascii="Arial" w:hAnsi="Arial"/>
                <w:b/>
                <w:color w:val="FFFFFF"/>
                <w:sz w:val="18"/>
              </w:rPr>
              <w:t>Document control</w:t>
            </w:r>
          </w:p>
        </w:tc>
        <w:tc>
          <w:tcPr>
            <w:tcW w:type="dxa" w:w="7272"/>
            <w:vAlign w:val="center"/>
            <w:tcMar>
              <w:top w:w="90" w:type="dxa"/>
              <w:start w:w="100" w:type="dxa"/>
              <w:bottom w:w="90" w:type="dxa"/>
              <w:end w:w="100" w:type="dxa"/>
            </w:tcMar>
            <w:shd w:fill="18324A"/>
          </w:tcPr>
          <w:p>
            <w:pPr>
              <w:spacing w:after="0" w:before="0" w:line="250" w:lineRule="auto"/>
            </w:pPr>
            <w:r/>
            <w:r>
              <w:rPr>
                <w:rFonts w:ascii="Arial" w:hAnsi="Arial"/>
                <w:b/>
                <w:color w:val="FFFFFF"/>
                <w:sz w:val="18"/>
              </w:rPr>
              <w:t>Details</w:t>
            </w:r>
          </w:p>
        </w:tc>
      </w:tr>
      <w:tr>
        <w:trPr>
          <w:cantSplit/>
        </w:trPr>
        <w:tc>
          <w:tcPr>
            <w:tcW w:type="dxa" w:w="2232"/>
            <w:vAlign w:val="center"/>
            <w:tcMar>
              <w:top w:w="90" w:type="dxa"/>
              <w:start w:w="100" w:type="dxa"/>
              <w:bottom w:w="90" w:type="dxa"/>
              <w:end w:w="100" w:type="dxa"/>
            </w:tcMar>
          </w:tcPr>
          <w:p>
            <w:pPr>
              <w:spacing w:after="0" w:before="0" w:line="250" w:lineRule="auto"/>
            </w:pPr>
            <w:r/>
            <w:r>
              <w:rPr>
                <w:rFonts w:ascii="Arial" w:hAnsi="Arial"/>
                <w:b w:val="0"/>
                <w:color w:val="263746"/>
                <w:sz w:val="18"/>
              </w:rPr>
              <w:t>Prepared by</w:t>
            </w:r>
          </w:p>
        </w:tc>
        <w:tc>
          <w:tcPr>
            <w:tcW w:type="dxa" w:w="7272"/>
            <w:vAlign w:val="center"/>
            <w:tcMar>
              <w:top w:w="90" w:type="dxa"/>
              <w:start w:w="100" w:type="dxa"/>
              <w:bottom w:w="90" w:type="dxa"/>
              <w:end w:w="100" w:type="dxa"/>
            </w:tcMar>
          </w:tcPr>
          <w:p>
            <w:pPr>
              <w:spacing w:after="0" w:before="0" w:line="250" w:lineRule="auto"/>
            </w:pPr>
            <w:r/>
            <w:r>
              <w:rPr>
                <w:rFonts w:ascii="Arial" w:hAnsi="Arial"/>
                <w:b w:val="0"/>
                <w:color w:val="263746"/>
                <w:sz w:val="18"/>
              </w:rPr>
              <w:t>Aman Yadav</w:t>
            </w:r>
          </w:p>
        </w:tc>
      </w:tr>
      <w:tr>
        <w:trPr>
          <w:cantSplit/>
        </w:trPr>
        <w:tc>
          <w:tcPr>
            <w:tcW w:type="dxa" w:w="2232"/>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8"/>
              </w:rPr>
              <w:t>Internship</w:t>
            </w:r>
          </w:p>
        </w:tc>
        <w:tc>
          <w:tcPr>
            <w:tcW w:type="dxa" w:w="7272"/>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8"/>
              </w:rPr>
              <w:t>Construction Project Data Science Analyst — Kochi</w:t>
            </w:r>
          </w:p>
        </w:tc>
      </w:tr>
      <w:tr>
        <w:trPr>
          <w:cantSplit/>
        </w:trPr>
        <w:tc>
          <w:tcPr>
            <w:tcW w:type="dxa" w:w="2232"/>
            <w:vAlign w:val="center"/>
            <w:tcMar>
              <w:top w:w="90" w:type="dxa"/>
              <w:start w:w="100" w:type="dxa"/>
              <w:bottom w:w="90" w:type="dxa"/>
              <w:end w:w="100" w:type="dxa"/>
            </w:tcMar>
          </w:tcPr>
          <w:p>
            <w:pPr>
              <w:spacing w:after="0" w:before="0" w:line="250" w:lineRule="auto"/>
            </w:pPr>
            <w:r/>
            <w:r>
              <w:rPr>
                <w:rFonts w:ascii="Arial" w:hAnsi="Arial"/>
                <w:b w:val="0"/>
                <w:color w:val="263746"/>
                <w:sz w:val="18"/>
              </w:rPr>
              <w:t>Task</w:t>
            </w:r>
          </w:p>
        </w:tc>
        <w:tc>
          <w:tcPr>
            <w:tcW w:type="dxa" w:w="7272"/>
            <w:vAlign w:val="center"/>
            <w:tcMar>
              <w:top w:w="90" w:type="dxa"/>
              <w:start w:w="100" w:type="dxa"/>
              <w:bottom w:w="90" w:type="dxa"/>
              <w:end w:w="100" w:type="dxa"/>
            </w:tcMar>
          </w:tcPr>
          <w:p>
            <w:pPr>
              <w:spacing w:after="0" w:before="0" w:line="250" w:lineRule="auto"/>
            </w:pPr>
            <w:r/>
            <w:r>
              <w:rPr>
                <w:rFonts w:ascii="Arial" w:hAnsi="Arial"/>
                <w:b w:val="0"/>
                <w:color w:val="263746"/>
                <w:sz w:val="18"/>
              </w:rPr>
              <w:t>Week 1: Data Acquisition Strategy and Preliminary Insights</w:t>
            </w:r>
          </w:p>
        </w:tc>
      </w:tr>
      <w:tr>
        <w:trPr>
          <w:cantSplit/>
        </w:trPr>
        <w:tc>
          <w:tcPr>
            <w:tcW w:type="dxa" w:w="2232"/>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8"/>
              </w:rPr>
              <w:t>Document type</w:t>
            </w:r>
          </w:p>
        </w:tc>
        <w:tc>
          <w:tcPr>
            <w:tcW w:type="dxa" w:w="7272"/>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8"/>
              </w:rPr>
              <w:t>Planning report with Python starter workflow</w:t>
            </w:r>
          </w:p>
        </w:tc>
      </w:tr>
      <w:tr>
        <w:trPr>
          <w:cantSplit/>
        </w:trPr>
        <w:tc>
          <w:tcPr>
            <w:tcW w:type="dxa" w:w="2232"/>
            <w:vAlign w:val="center"/>
            <w:tcMar>
              <w:top w:w="90" w:type="dxa"/>
              <w:start w:w="100" w:type="dxa"/>
              <w:bottom w:w="90" w:type="dxa"/>
              <w:end w:w="100" w:type="dxa"/>
            </w:tcMar>
          </w:tcPr>
          <w:p>
            <w:pPr>
              <w:spacing w:after="0" w:before="0" w:line="250" w:lineRule="auto"/>
            </w:pPr>
            <w:r/>
            <w:r>
              <w:rPr>
                <w:rFonts w:ascii="Arial" w:hAnsi="Arial"/>
                <w:b w:val="0"/>
                <w:color w:val="263746"/>
                <w:sz w:val="18"/>
              </w:rPr>
              <w:t>Scenario status</w:t>
            </w:r>
          </w:p>
        </w:tc>
        <w:tc>
          <w:tcPr>
            <w:tcW w:type="dxa" w:w="7272"/>
            <w:vAlign w:val="center"/>
            <w:tcMar>
              <w:top w:w="90" w:type="dxa"/>
              <w:start w:w="100" w:type="dxa"/>
              <w:bottom w:w="90" w:type="dxa"/>
              <w:end w:w="100" w:type="dxa"/>
            </w:tcMar>
          </w:tcPr>
          <w:p>
            <w:pPr>
              <w:spacing w:after="0" w:before="0" w:line="250" w:lineRule="auto"/>
            </w:pPr>
            <w:r/>
            <w:r>
              <w:rPr>
                <w:rFonts w:ascii="Arial" w:hAnsi="Arial"/>
                <w:b w:val="0"/>
                <w:color w:val="263746"/>
                <w:sz w:val="18"/>
              </w:rPr>
              <w:t>Fictional construction project context; included starter data is synthetic</w:t>
            </w:r>
          </w:p>
        </w:tc>
      </w:tr>
      <w:tr>
        <w:trPr>
          <w:cantSplit/>
        </w:trPr>
        <w:tc>
          <w:tcPr>
            <w:tcW w:type="dxa" w:w="2232"/>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8"/>
              </w:rPr>
              <w:t>Version</w:t>
            </w:r>
          </w:p>
        </w:tc>
        <w:tc>
          <w:tcPr>
            <w:tcW w:type="dxa" w:w="7272"/>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8"/>
              </w:rPr>
              <w:t>1.0 | 17 October 2026</w:t>
            </w:r>
          </w:p>
        </w:tc>
      </w:tr>
    </w:tbl>
    <w:p>
      <w:pPr>
        <w:spacing w:after="20"/>
      </w:pPr>
    </w:p>
    <w:p>
      <w:pPr>
        <w:spacing w:before="360"/>
      </w:pPr>
      <w:r>
        <w:rPr>
          <w:b/>
          <w:color w:val="18324A"/>
          <w:sz w:val="22"/>
        </w:rPr>
        <w:t>Purpose</w:t>
      </w:r>
    </w:p>
    <w:p>
      <w:pPr>
        <w:widowControl/>
      </w:pPr>
      <w:r>
        <w:t>Define a defensible and repeatable approach to locating, assessing, collecting, documenting and preparing construction project data for later exploratory analysis and predictive work.</w:t>
      </w:r>
    </w:p>
    <w:p>
      <w:pPr>
        <w:spacing w:before="360"/>
      </w:pPr>
      <w:r>
        <w:rPr>
          <w:b/>
          <w:color w:val="D97706"/>
          <w:sz w:val="20"/>
        </w:rPr>
        <w:t>Important data note</w:t>
      </w:r>
    </w:p>
    <w:p>
      <w:pPr>
        <w:widowControl/>
      </w:pPr>
      <w:r>
        <w:t>This is a strategy deliverable. No real construction-company records were supplied. The small CSV included with the supporting package is an intentionally imperfect synthetic training fixture, not an empirical sample of Indian construction projects.</w:t>
      </w:r>
    </w:p>
    <w:p>
      <w:r>
        <w:br w:type="page"/>
      </w:r>
    </w:p>
    <w:p>
      <w:pPr>
        <w:pStyle w:val="Heading1"/>
        <w:keepNext/>
      </w:pPr>
      <w:r>
        <w:t>Executive Summary</w:t>
      </w:r>
    </w:p>
    <w:p>
      <w:pPr>
        <w:widowControl/>
      </w:pPr>
      <w:r>
        <w:t>Construction performance analysis requires consistent information on approved budgets, schedules, physical progress, resource deployment, procurement, materials and site risks. Those fields often originate in different systems and may use different units, reporting periods or definitions. This report proposes a structured data acquisition and preparation strategy for a fictional mid-sized construction programme that wants to improve budget monitoring, schedule visibility and early risk identification.</w:t>
      </w:r>
    </w:p>
    <w:p>
      <w:pPr>
        <w:widowControl/>
      </w:pPr>
      <w:r>
        <w:t>The preferred approach is to combine (a) public sources for context and benchmarks, (b) authorized project-control records for detailed operational measures where access is approved, and (c) clearly labelled synthetic data for this learning project whenever record-level data cannot be obtained. Public sources are not assumed to contain every required variable. For example, India’s Ministry of Statistics and Programme Implementation describes using project monitoring data to analyze time and cost overruns and publishing Flash and Quarterly Project Implementation Status reports; such reporting is useful context but is not a substitute for a complete task-level construction dataset [1].</w:t>
      </w:r>
    </w:p>
    <w:p>
      <w:pPr>
        <w:widowControl/>
      </w:pPr>
      <w:r>
        <w:t>The strategy defines the analytical questions, a candidate data-source inventory, a project-level data dictionary, validation rules, a proposed Python profiling workflow, access and reproducibility controls, key risks and a 32-hour work plan. A small synthetic fixture and a starter profiling script accompany the report to demonstrate the workflow without implying real-world evidence.</w:t>
      </w:r>
    </w:p>
    <w:p>
      <w:pPr>
        <w:pStyle w:val="Heading2"/>
        <w:keepNext/>
      </w:pPr>
      <w:r>
        <w:t>Recommended decisions at a glance</w:t>
      </w:r>
    </w:p>
    <w:p>
      <w:pPr>
        <w:pStyle w:val="ListBullet"/>
        <w:spacing w:after="60" w:line="259" w:lineRule="auto"/>
        <w:ind w:left="403" w:hanging="230"/>
      </w:pPr>
      <w:r>
        <w:rPr>
          <w:b/>
        </w:rPr>
        <w:t xml:space="preserve">Use a source hierarchy: </w:t>
      </w:r>
      <w:r>
        <w:t>official public data for context and rates; authorized project records for operational variables; synthetic data only for method testing.</w:t>
      </w:r>
    </w:p>
    <w:p>
      <w:pPr>
        <w:pStyle w:val="ListBullet"/>
        <w:spacing w:after="60" w:line="259" w:lineRule="auto"/>
        <w:ind w:left="403" w:hanging="230"/>
      </w:pPr>
      <w:r>
        <w:rPr>
          <w:b/>
        </w:rPr>
        <w:t xml:space="preserve">Define a single grain: </w:t>
      </w:r>
      <w:r>
        <w:t>one row per project snapshot, with explicit snapshot date and stable project ID; keep monthly or daily history in a separate event table if required.</w:t>
      </w:r>
    </w:p>
    <w:p>
      <w:pPr>
        <w:pStyle w:val="ListBullet"/>
        <w:spacing w:after="60" w:line="259" w:lineRule="auto"/>
        <w:ind w:left="403" w:hanging="230"/>
      </w:pPr>
      <w:r>
        <w:rPr>
          <w:b/>
        </w:rPr>
        <w:t xml:space="preserve">Preserve raw inputs: </w:t>
      </w:r>
      <w:r>
        <w:t>never overwrite source files; create a standardized staging copy, a data-quality profile and an exception list.</w:t>
      </w:r>
    </w:p>
    <w:p>
      <w:pPr>
        <w:pStyle w:val="ListBullet"/>
        <w:spacing w:after="60" w:line="259" w:lineRule="auto"/>
        <w:ind w:left="403" w:hanging="230"/>
      </w:pPr>
      <w:r>
        <w:rPr>
          <w:b/>
        </w:rPr>
        <w:t xml:space="preserve">Make assumptions visible: </w:t>
      </w:r>
      <w:r>
        <w:t>document units, definitions, source URLs, access date, license/usage terms and each transformation.</w:t>
      </w:r>
    </w:p>
    <w:p>
      <w:pPr>
        <w:pStyle w:val="ListBullet"/>
        <w:spacing w:after="60" w:line="259" w:lineRule="auto"/>
        <w:ind w:left="403" w:hanging="230"/>
      </w:pPr>
      <w:r>
        <w:rPr>
          <w:b/>
        </w:rPr>
        <w:t xml:space="preserve">Prevent misleading modeling: </w:t>
      </w:r>
      <w:r>
        <w:t>keep final outcome fields separate from predictors known at the forecast date; assess leakage and time alignment before model training.</w:t>
      </w:r>
    </w:p>
    <w:p>
      <w:pPr>
        <w:pStyle w:val="Heading2"/>
        <w:keepNext/>
      </w:pPr>
      <w:r>
        <w:t>Report map</w:t>
      </w:r>
    </w:p>
    <w:p>
      <w:pPr>
        <w:widowControl/>
      </w:pPr>
      <w:r>
        <w:t>1. Business context and objectives  |  2. Scope and research questions  |  3. Candidate sources  |  4. Acquisition plan  |  5. Data dictionary  |  6. Cleaning and preparation rules  |  7. Python workflow  |  8. Governance and reproducibility  |  9. Timeline, risks and preliminary hypotheses  |  10. Acceptance checklist and references.</w:t>
      </w:r>
    </w:p>
    <w:p>
      <w:pPr>
        <w:pStyle w:val="Heading1"/>
        <w:keepNext/>
      </w:pPr>
      <w:r>
        <w:t>1. Business Context and Project Definition</w:t>
      </w:r>
    </w:p>
    <w:p>
      <w:pPr>
        <w:pStyle w:val="Heading2"/>
        <w:keepNext/>
      </w:pPr>
      <w:r>
        <w:t>1.1 Fictional scenario</w:t>
      </w:r>
    </w:p>
    <w:p>
      <w:pPr>
        <w:widowControl/>
      </w:pPr>
      <w:r>
        <w:t>The proposed analysis supports a fictional programme owner coordinating several mid-sized projects in building and civil infrastructure. Project teams submit periodic progress updates, budget snapshots and resource summaries. Senior management wants to answer three practical questions: which projects need attention, which factors may explain schedule or cost deviation, and what additional data should be collected before building predictive models.</w:t>
      </w:r>
    </w:p>
    <w:p>
      <w:pPr>
        <w:pStyle w:val="Heading2"/>
        <w:keepNext/>
      </w:pPr>
      <w:r>
        <w:t>1.2 Problem statement</w:t>
      </w:r>
    </w:p>
    <w:p>
      <w:pPr>
        <w:widowControl/>
      </w:pPr>
      <w:r>
        <w:t>Project information is expected to be fragmented across schedule files, cost reports, procurement logs and site progress updates. Inconsistent IDs, dates, units, status labels and incomplete records can make cross-project comparison unreliable. The first task is therefore not to make a prediction; it is to define a repeatable acquisition and quality-control process that produces traceable, analysis-ready inputs for later tasks.</w:t>
      </w:r>
    </w:p>
    <w:p>
      <w:pPr>
        <w:pStyle w:val="Heading2"/>
        <w:keepNext/>
      </w:pPr>
      <w:r>
        <w:t>1.3 Objectives and intended decisions</w:t>
      </w:r>
    </w:p>
    <w:p>
      <w:pPr>
        <w:pStyle w:val="ListBullet"/>
        <w:spacing w:after="60" w:line="259" w:lineRule="auto"/>
        <w:ind w:left="403" w:hanging="230"/>
      </w:pPr>
      <w:r>
        <w:t>Estimate the completeness, timeliness and consistency of candidate datasets before committing to analysis.</w:t>
      </w:r>
    </w:p>
    <w:p>
      <w:pPr>
        <w:pStyle w:val="ListBullet"/>
        <w:spacing w:after="60" w:line="259" w:lineRule="auto"/>
        <w:ind w:left="403" w:hanging="230"/>
      </w:pPr>
      <w:r>
        <w:t>Compare baseline budget, cost-to-date, planned duration and reported progress using aligned definitions and snapshot dates.</w:t>
      </w:r>
    </w:p>
    <w:p>
      <w:pPr>
        <w:pStyle w:val="ListBullet"/>
        <w:spacing w:after="60" w:line="259" w:lineRule="auto"/>
        <w:ind w:left="403" w:hanging="230"/>
      </w:pPr>
      <w:r>
        <w:t>Identify candidate drivers of variance, such as procurement delay, material-rate changes, labor availability, equipment utilization and weather disruption.</w:t>
      </w:r>
    </w:p>
    <w:p>
      <w:pPr>
        <w:pStyle w:val="ListBullet"/>
        <w:spacing w:after="60" w:line="259" w:lineRule="auto"/>
        <w:ind w:left="403" w:hanging="230"/>
      </w:pPr>
      <w:r>
        <w:t>Create a transparent project-level data dictionary and provenance record so later EDA and modeling can be reproduced.</w:t>
      </w:r>
    </w:p>
    <w:p>
      <w:pPr>
        <w:pStyle w:val="ListBullet"/>
        <w:spacing w:after="60" w:line="259" w:lineRule="auto"/>
        <w:ind w:left="403" w:hanging="230"/>
      </w:pPr>
      <w:r>
        <w:t>Deliver a documented source and preparation strategy with a practical Python profiling example.</w:t>
      </w:r>
    </w:p>
    <w:p>
      <w:pPr>
        <w:pStyle w:val="Heading2"/>
        <w:keepNext/>
      </w:pPr>
      <w:r>
        <w:t>1.4 Questions to support later analysis</w:t>
      </w:r>
    </w:p>
    <w:p>
      <w:pPr>
        <w:pStyle w:val="ListBullet"/>
        <w:spacing w:after="60" w:line="259" w:lineRule="auto"/>
        <w:ind w:left="403" w:hanging="230"/>
      </w:pPr>
      <w:r>
        <w:t>Which projects have material gaps in budget, schedule, progress or resource fields?</w:t>
      </w:r>
    </w:p>
    <w:p>
      <w:pPr>
        <w:pStyle w:val="ListBullet"/>
        <w:spacing w:after="60" w:line="259" w:lineRule="auto"/>
        <w:ind w:left="403" w:hanging="230"/>
      </w:pPr>
      <w:r>
        <w:t>How should baseline and current cost be aligned with the approved estimate version and snapshot date?</w:t>
      </w:r>
    </w:p>
    <w:p>
      <w:pPr>
        <w:pStyle w:val="ListBullet"/>
        <w:spacing w:after="60" w:line="259" w:lineRule="auto"/>
        <w:ind w:left="403" w:hanging="230"/>
      </w:pPr>
      <w:r>
        <w:t>Are schedule slippage and procurement delay recorded consistently enough to compare projects?</w:t>
      </w:r>
    </w:p>
    <w:p>
      <w:pPr>
        <w:pStyle w:val="ListBullet"/>
        <w:spacing w:after="60" w:line="259" w:lineRule="auto"/>
        <w:ind w:left="403" w:hanging="230"/>
      </w:pPr>
      <w:r>
        <w:t>Which material, resource and contractor fields are available at a useful frequency?</w:t>
      </w:r>
    </w:p>
    <w:p>
      <w:pPr>
        <w:pStyle w:val="ListBullet"/>
        <w:spacing w:after="60" w:line="259" w:lineRule="auto"/>
        <w:ind w:left="403" w:hanging="230"/>
      </w:pPr>
      <w:r>
        <w:t>What evidence is required before cost overrun or delay can be modeled credibly?</w:t>
      </w:r>
    </w:p>
    <w:p>
      <w:pPr>
        <w:pStyle w:val="Heading1"/>
        <w:keepNext/>
      </w:pPr>
      <w:r>
        <w:t>2. Scope, Boundaries and Assumptions</w:t>
      </w:r>
    </w:p>
    <w:tbl>
      <w:tblPr>
        <w:tblStyle w:val="TableGrid"/>
        <w:tblW w:type="auto" w:w="0"/>
        <w:jc w:val="center"/>
        <w:tblLayout w:type="fixed"/>
        <w:tblLook w:firstColumn="1" w:firstRow="1" w:lastColumn="0" w:lastRow="0" w:noHBand="0" w:noVBand="1" w:val="04A0"/>
      </w:tblPr>
      <w:tblGrid>
        <w:gridCol w:w="4874"/>
        <w:gridCol w:w="4874"/>
      </w:tblGrid>
      <w:tr>
        <w:trPr>
          <w:tblHeader w:val="true"/>
          <w:cantSplit/>
        </w:trPr>
        <w:tc>
          <w:tcPr>
            <w:tcW w:type="dxa" w:w="4824"/>
            <w:vAlign w:val="center"/>
            <w:tcMar>
              <w:top w:w="90" w:type="dxa"/>
              <w:start w:w="100" w:type="dxa"/>
              <w:bottom w:w="90" w:type="dxa"/>
              <w:end w:w="100" w:type="dxa"/>
            </w:tcMar>
            <w:shd w:fill="18324A"/>
          </w:tcPr>
          <w:p>
            <w:pPr>
              <w:spacing w:after="0" w:before="0" w:line="250" w:lineRule="auto"/>
            </w:pPr>
            <w:r/>
            <w:r>
              <w:rPr>
                <w:rFonts w:ascii="Arial" w:hAnsi="Arial"/>
                <w:b/>
                <w:color w:val="FFFFFF"/>
                <w:sz w:val="16"/>
              </w:rPr>
              <w:t>In scope</w:t>
            </w:r>
          </w:p>
        </w:tc>
        <w:tc>
          <w:tcPr>
            <w:tcW w:type="dxa" w:w="4680"/>
            <w:vAlign w:val="center"/>
            <w:tcMar>
              <w:top w:w="90" w:type="dxa"/>
              <w:start w:w="100" w:type="dxa"/>
              <w:bottom w:w="90" w:type="dxa"/>
              <w:end w:w="100" w:type="dxa"/>
            </w:tcMar>
            <w:shd w:fill="18324A"/>
          </w:tcPr>
          <w:p>
            <w:pPr>
              <w:spacing w:after="0" w:before="0" w:line="250" w:lineRule="auto"/>
            </w:pPr>
            <w:r/>
            <w:r>
              <w:rPr>
                <w:rFonts w:ascii="Arial" w:hAnsi="Arial"/>
                <w:b/>
                <w:color w:val="FFFFFF"/>
                <w:sz w:val="16"/>
              </w:rPr>
              <w:t>Out of scope for Week 1</w:t>
            </w:r>
          </w:p>
        </w:tc>
      </w:tr>
      <w:tr>
        <w:trPr>
          <w:cantSplit/>
        </w:trPr>
        <w:tc>
          <w:tcPr>
            <w:tcW w:type="dxa" w:w="4824"/>
            <w:vAlign w:val="center"/>
            <w:tcMar>
              <w:top w:w="90" w:type="dxa"/>
              <w:start w:w="100" w:type="dxa"/>
              <w:bottom w:w="90" w:type="dxa"/>
              <w:end w:w="100" w:type="dxa"/>
            </w:tcMar>
          </w:tcPr>
          <w:p>
            <w:pPr>
              <w:spacing w:after="0" w:before="0" w:line="250" w:lineRule="auto"/>
            </w:pPr>
            <w:r/>
            <w:r>
              <w:rPr>
                <w:rFonts w:ascii="Arial" w:hAnsi="Arial"/>
                <w:b w:val="0"/>
                <w:color w:val="263746"/>
                <w:sz w:val="16"/>
              </w:rPr>
              <w:t>Define the analytical use cases and candidate project KPIs.</w:t>
            </w:r>
          </w:p>
        </w:tc>
        <w:tc>
          <w:tcPr>
            <w:tcW w:type="dxa" w:w="4680"/>
            <w:vAlign w:val="center"/>
            <w:tcMar>
              <w:top w:w="90" w:type="dxa"/>
              <w:start w:w="100" w:type="dxa"/>
              <w:bottom w:w="90" w:type="dxa"/>
              <w:end w:w="100" w:type="dxa"/>
            </w:tcMar>
          </w:tcPr>
          <w:p>
            <w:pPr>
              <w:spacing w:after="0" w:before="0" w:line="250" w:lineRule="auto"/>
            </w:pPr>
            <w:r/>
            <w:r>
              <w:rPr>
                <w:rFonts w:ascii="Arial" w:hAnsi="Arial"/>
                <w:b w:val="0"/>
                <w:color w:val="263746"/>
                <w:sz w:val="16"/>
              </w:rPr>
              <w:t>Claiming actual performance outcomes for a real construction company.</w:t>
            </w:r>
          </w:p>
        </w:tc>
      </w:tr>
      <w:tr>
        <w:trPr>
          <w:cantSplit/>
        </w:trPr>
        <w:tc>
          <w:tcPr>
            <w:tcW w:type="dxa" w:w="4824"/>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6"/>
              </w:rPr>
              <w:t>Identify public, authorized internal and simulated data options.</w:t>
            </w:r>
          </w:p>
        </w:tc>
        <w:tc>
          <w:tcPr>
            <w:tcW w:type="dxa" w:w="4680"/>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6"/>
              </w:rPr>
              <w:t>Collecting confidential project records without written authorization.</w:t>
            </w:r>
          </w:p>
        </w:tc>
      </w:tr>
      <w:tr>
        <w:trPr>
          <w:cantSplit/>
        </w:trPr>
        <w:tc>
          <w:tcPr>
            <w:tcW w:type="dxa" w:w="4824"/>
            <w:vAlign w:val="center"/>
            <w:tcMar>
              <w:top w:w="90" w:type="dxa"/>
              <w:start w:w="100" w:type="dxa"/>
              <w:bottom w:w="90" w:type="dxa"/>
              <w:end w:w="100" w:type="dxa"/>
            </w:tcMar>
          </w:tcPr>
          <w:p>
            <w:pPr>
              <w:spacing w:after="0" w:before="0" w:line="250" w:lineRule="auto"/>
            </w:pPr>
            <w:r/>
            <w:r>
              <w:rPr>
                <w:rFonts w:ascii="Arial" w:hAnsi="Arial"/>
                <w:b w:val="0"/>
                <w:color w:val="263746"/>
                <w:sz w:val="16"/>
              </w:rPr>
              <w:t>Propose a schema, metadata standard and extraction log.</w:t>
            </w:r>
          </w:p>
        </w:tc>
        <w:tc>
          <w:tcPr>
            <w:tcW w:type="dxa" w:w="4680"/>
            <w:vAlign w:val="center"/>
            <w:tcMar>
              <w:top w:w="90" w:type="dxa"/>
              <w:start w:w="100" w:type="dxa"/>
              <w:bottom w:w="90" w:type="dxa"/>
              <w:end w:w="100" w:type="dxa"/>
            </w:tcMar>
          </w:tcPr>
          <w:p>
            <w:pPr>
              <w:spacing w:after="0" w:before="0" w:line="250" w:lineRule="auto"/>
            </w:pPr>
            <w:r/>
            <w:r>
              <w:rPr>
                <w:rFonts w:ascii="Arial" w:hAnsi="Arial"/>
                <w:b w:val="0"/>
                <w:color w:val="263746"/>
                <w:sz w:val="16"/>
              </w:rPr>
              <w:t>Building a production ETL platform or a deployed predictive model.</w:t>
            </w:r>
          </w:p>
        </w:tc>
      </w:tr>
      <w:tr>
        <w:trPr>
          <w:cantSplit/>
        </w:trPr>
        <w:tc>
          <w:tcPr>
            <w:tcW w:type="dxa" w:w="4824"/>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6"/>
              </w:rPr>
              <w:t>Specify cleaning, validation, staging and exception-handling rules.</w:t>
            </w:r>
          </w:p>
        </w:tc>
        <w:tc>
          <w:tcPr>
            <w:tcW w:type="dxa" w:w="4680"/>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6"/>
              </w:rPr>
              <w:t>Automatically deleting unusual values or imputing every missing field.</w:t>
            </w:r>
          </w:p>
        </w:tc>
      </w:tr>
      <w:tr>
        <w:trPr>
          <w:cantSplit/>
        </w:trPr>
        <w:tc>
          <w:tcPr>
            <w:tcW w:type="dxa" w:w="4824"/>
            <w:vAlign w:val="center"/>
            <w:tcMar>
              <w:top w:w="90" w:type="dxa"/>
              <w:start w:w="100" w:type="dxa"/>
              <w:bottom w:w="90" w:type="dxa"/>
              <w:end w:w="100" w:type="dxa"/>
            </w:tcMar>
          </w:tcPr>
          <w:p>
            <w:pPr>
              <w:spacing w:after="0" w:before="0" w:line="250" w:lineRule="auto"/>
            </w:pPr>
            <w:r/>
            <w:r>
              <w:rPr>
                <w:rFonts w:ascii="Arial" w:hAnsi="Arial"/>
                <w:b w:val="0"/>
                <w:color w:val="263746"/>
                <w:sz w:val="16"/>
              </w:rPr>
              <w:t>Provide a small synthetic starter file and a Python profiling workflow.</w:t>
            </w:r>
          </w:p>
        </w:tc>
        <w:tc>
          <w:tcPr>
            <w:tcW w:type="dxa" w:w="4680"/>
            <w:vAlign w:val="center"/>
            <w:tcMar>
              <w:top w:w="90" w:type="dxa"/>
              <w:start w:w="100" w:type="dxa"/>
              <w:bottom w:w="90" w:type="dxa"/>
              <w:end w:w="100" w:type="dxa"/>
            </w:tcMar>
          </w:tcPr>
          <w:p>
            <w:pPr>
              <w:spacing w:after="0" w:before="0" w:line="250" w:lineRule="auto"/>
            </w:pPr>
            <w:r/>
            <w:r>
              <w:rPr>
                <w:rFonts w:ascii="Arial" w:hAnsi="Arial"/>
                <w:b w:val="0"/>
                <w:color w:val="263746"/>
                <w:sz w:val="16"/>
              </w:rPr>
              <w:t>Treating synthetic example records as evidence about sector-wide trends.</w:t>
            </w:r>
          </w:p>
        </w:tc>
      </w:tr>
    </w:tbl>
    <w:p>
      <w:pPr>
        <w:spacing w:after="20"/>
      </w:pPr>
    </w:p>
    <w:p>
      <w:pPr>
        <w:pStyle w:val="Heading2"/>
        <w:keepNext/>
      </w:pPr>
      <w:r>
        <w:t>2.1 Assumptions</w:t>
      </w:r>
    </w:p>
    <w:p>
      <w:pPr>
        <w:pStyle w:val="ListBullet"/>
        <w:spacing w:after="60" w:line="259" w:lineRule="auto"/>
        <w:ind w:left="403" w:hanging="230"/>
      </w:pPr>
      <w:r>
        <w:t>The primary analytical unit is a project snapshot. If the business question requires trends over time, a separate project-month or project-event table will be needed.</w:t>
      </w:r>
    </w:p>
    <w:p>
      <w:pPr>
        <w:pStyle w:val="ListBullet"/>
        <w:spacing w:after="60" w:line="259" w:lineRule="auto"/>
        <w:ind w:left="403" w:hanging="230"/>
      </w:pPr>
      <w:r>
        <w:t>Budget values will be stored in INR lakh for this project, with original source unit and conversion rule preserved in metadata.</w:t>
      </w:r>
    </w:p>
    <w:p>
      <w:pPr>
        <w:pStyle w:val="ListBullet"/>
        <w:spacing w:after="60" w:line="259" w:lineRule="auto"/>
        <w:ind w:left="403" w:hanging="230"/>
      </w:pPr>
      <w:r>
        <w:t>Dates will use ISO format (YYYY-MM-DD) in standardized outputs; source text is retained separately for audit where practical.</w:t>
      </w:r>
    </w:p>
    <w:p>
      <w:pPr>
        <w:pStyle w:val="ListBullet"/>
        <w:spacing w:after="60" w:line="259" w:lineRule="auto"/>
        <w:ind w:left="403" w:hanging="230"/>
      </w:pPr>
      <w:r>
        <w:t>Public datasets may provide aggregate or procurement information without project-level labor, equipment, safety or progress fields.</w:t>
      </w:r>
    </w:p>
    <w:p>
      <w:pPr>
        <w:pStyle w:val="ListBullet"/>
        <w:spacing w:after="60" w:line="259" w:lineRule="auto"/>
        <w:ind w:left="403" w:hanging="230"/>
      </w:pPr>
      <w:r>
        <w:t>Any proposed thresholds and KPI targets are provisional and require stakeholder approval before operational use.</w:t>
      </w:r>
    </w:p>
    <w:p>
      <w:pPr>
        <w:pStyle w:val="Heading2"/>
        <w:keepNext/>
      </w:pPr>
      <w:r>
        <w:t>2.2 Candidate KPIs</w:t>
      </w:r>
    </w:p>
    <w:tbl>
      <w:tblPr>
        <w:tblStyle w:val="TableGrid"/>
        <w:tblW w:type="auto" w:w="0"/>
        <w:jc w:val="center"/>
        <w:tblLayout w:type="fixed"/>
        <w:tblLook w:firstColumn="1" w:firstRow="1" w:lastColumn="0" w:lastRow="0" w:noHBand="0" w:noVBand="1" w:val="04A0"/>
      </w:tblPr>
      <w:tblGrid>
        <w:gridCol w:w="3250"/>
        <w:gridCol w:w="3250"/>
        <w:gridCol w:w="3250"/>
      </w:tblGrid>
      <w:tr>
        <w:trPr>
          <w:tblHeader w:val="true"/>
          <w:cantSplit/>
        </w:trPr>
        <w:tc>
          <w:tcPr>
            <w:tcW w:type="dxa" w:w="1944"/>
            <w:vAlign w:val="center"/>
            <w:tcMar>
              <w:top w:w="90" w:type="dxa"/>
              <w:start w:w="100" w:type="dxa"/>
              <w:bottom w:w="90" w:type="dxa"/>
              <w:end w:w="100" w:type="dxa"/>
            </w:tcMar>
            <w:shd w:fill="18324A"/>
          </w:tcPr>
          <w:p>
            <w:pPr>
              <w:spacing w:after="0" w:before="0" w:line="250" w:lineRule="auto"/>
            </w:pPr>
            <w:r/>
            <w:r>
              <w:rPr>
                <w:rFonts w:ascii="Arial" w:hAnsi="Arial"/>
                <w:b/>
                <w:color w:val="FFFFFF"/>
                <w:sz w:val="16"/>
              </w:rPr>
              <w:t>KPI</w:t>
            </w:r>
          </w:p>
        </w:tc>
        <w:tc>
          <w:tcPr>
            <w:tcW w:type="dxa" w:w="3816"/>
            <w:vAlign w:val="center"/>
            <w:tcMar>
              <w:top w:w="90" w:type="dxa"/>
              <w:start w:w="100" w:type="dxa"/>
              <w:bottom w:w="90" w:type="dxa"/>
              <w:end w:w="100" w:type="dxa"/>
            </w:tcMar>
            <w:shd w:fill="18324A"/>
          </w:tcPr>
          <w:p>
            <w:pPr>
              <w:spacing w:after="0" w:before="0" w:line="250" w:lineRule="auto"/>
            </w:pPr>
            <w:r/>
            <w:r>
              <w:rPr>
                <w:rFonts w:ascii="Arial" w:hAnsi="Arial"/>
                <w:b/>
                <w:color w:val="FFFFFF"/>
                <w:sz w:val="16"/>
              </w:rPr>
              <w:t>Proposed definition</w:t>
            </w:r>
          </w:p>
        </w:tc>
        <w:tc>
          <w:tcPr>
            <w:tcW w:type="dxa" w:w="3744"/>
            <w:vAlign w:val="center"/>
            <w:tcMar>
              <w:top w:w="90" w:type="dxa"/>
              <w:start w:w="100" w:type="dxa"/>
              <w:bottom w:w="90" w:type="dxa"/>
              <w:end w:w="100" w:type="dxa"/>
            </w:tcMar>
            <w:shd w:fill="18324A"/>
          </w:tcPr>
          <w:p>
            <w:pPr>
              <w:spacing w:after="0" w:before="0" w:line="250" w:lineRule="auto"/>
            </w:pPr>
            <w:r/>
            <w:r>
              <w:rPr>
                <w:rFonts w:ascii="Arial" w:hAnsi="Arial"/>
                <w:b/>
                <w:color w:val="FFFFFF"/>
                <w:sz w:val="16"/>
              </w:rPr>
              <w:t>Data needed / cautions</w:t>
            </w:r>
          </w:p>
        </w:tc>
      </w:tr>
      <w:tr>
        <w:trPr>
          <w:cantSplit/>
        </w:trPr>
        <w:tc>
          <w:tcPr>
            <w:tcW w:type="dxa" w:w="1944"/>
            <w:vAlign w:val="center"/>
            <w:tcMar>
              <w:top w:w="90" w:type="dxa"/>
              <w:start w:w="100" w:type="dxa"/>
              <w:bottom w:w="90" w:type="dxa"/>
              <w:end w:w="100" w:type="dxa"/>
            </w:tcMar>
          </w:tcPr>
          <w:p>
            <w:pPr>
              <w:spacing w:after="0" w:before="0" w:line="250" w:lineRule="auto"/>
            </w:pPr>
            <w:r/>
            <w:r>
              <w:rPr>
                <w:rFonts w:ascii="Arial" w:hAnsi="Arial"/>
                <w:b w:val="0"/>
                <w:color w:val="263746"/>
                <w:sz w:val="16"/>
              </w:rPr>
              <w:t>Budget variance (INR)</w:t>
            </w:r>
          </w:p>
        </w:tc>
        <w:tc>
          <w:tcPr>
            <w:tcW w:type="dxa" w:w="3816"/>
            <w:vAlign w:val="center"/>
            <w:tcMar>
              <w:top w:w="90" w:type="dxa"/>
              <w:start w:w="100" w:type="dxa"/>
              <w:bottom w:w="90" w:type="dxa"/>
              <w:end w:w="100" w:type="dxa"/>
            </w:tcMar>
          </w:tcPr>
          <w:p>
            <w:pPr>
              <w:spacing w:after="0" w:before="0" w:line="250" w:lineRule="auto"/>
            </w:pPr>
            <w:r/>
            <w:r>
              <w:rPr>
                <w:rFonts w:ascii="Arial" w:hAnsi="Arial"/>
                <w:b w:val="0"/>
                <w:color w:val="263746"/>
                <w:sz w:val="16"/>
              </w:rPr>
              <w:t>Actual or forecast cost minus the approved baseline cost.</w:t>
            </w:r>
          </w:p>
        </w:tc>
        <w:tc>
          <w:tcPr>
            <w:tcW w:type="dxa" w:w="3744"/>
            <w:vAlign w:val="center"/>
            <w:tcMar>
              <w:top w:w="90" w:type="dxa"/>
              <w:start w:w="100" w:type="dxa"/>
              <w:bottom w:w="90" w:type="dxa"/>
              <w:end w:w="100" w:type="dxa"/>
            </w:tcMar>
          </w:tcPr>
          <w:p>
            <w:pPr>
              <w:spacing w:after="0" w:before="0" w:line="250" w:lineRule="auto"/>
            </w:pPr>
            <w:r/>
            <w:r>
              <w:rPr>
                <w:rFonts w:ascii="Arial" w:hAnsi="Arial"/>
                <w:b w:val="0"/>
                <w:color w:val="263746"/>
                <w:sz w:val="16"/>
              </w:rPr>
              <w:t>Baseline version, snapshot date, actual cost and forecast/estimate distinction.</w:t>
            </w:r>
          </w:p>
        </w:tc>
      </w:tr>
      <w:tr>
        <w:trPr>
          <w:cantSplit/>
        </w:trPr>
        <w:tc>
          <w:tcPr>
            <w:tcW w:type="dxa" w:w="1944"/>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6"/>
              </w:rPr>
              <w:t>Budget variance (%)</w:t>
            </w:r>
          </w:p>
        </w:tc>
        <w:tc>
          <w:tcPr>
            <w:tcW w:type="dxa" w:w="3816"/>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6"/>
              </w:rPr>
              <w:t>(Current cost − baseline) / baseline × 100.</w:t>
            </w:r>
          </w:p>
        </w:tc>
        <w:tc>
          <w:tcPr>
            <w:tcW w:type="dxa" w:w="3744"/>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6"/>
              </w:rPr>
              <w:t>Do not divide by zero; identify whether cost means cost-to-date or forecast-at-completion.</w:t>
            </w:r>
          </w:p>
        </w:tc>
      </w:tr>
      <w:tr>
        <w:trPr>
          <w:cantSplit/>
        </w:trPr>
        <w:tc>
          <w:tcPr>
            <w:tcW w:type="dxa" w:w="1944"/>
            <w:vAlign w:val="center"/>
            <w:tcMar>
              <w:top w:w="90" w:type="dxa"/>
              <w:start w:w="100" w:type="dxa"/>
              <w:bottom w:w="90" w:type="dxa"/>
              <w:end w:w="100" w:type="dxa"/>
            </w:tcMar>
          </w:tcPr>
          <w:p>
            <w:pPr>
              <w:spacing w:after="0" w:before="0" w:line="250" w:lineRule="auto"/>
            </w:pPr>
            <w:r/>
            <w:r>
              <w:rPr>
                <w:rFonts w:ascii="Arial" w:hAnsi="Arial"/>
                <w:b w:val="0"/>
                <w:color w:val="263746"/>
                <w:sz w:val="16"/>
              </w:rPr>
              <w:t>Schedule variance (days)</w:t>
            </w:r>
          </w:p>
        </w:tc>
        <w:tc>
          <w:tcPr>
            <w:tcW w:type="dxa" w:w="3816"/>
            <w:vAlign w:val="center"/>
            <w:tcMar>
              <w:top w:w="90" w:type="dxa"/>
              <w:start w:w="100" w:type="dxa"/>
              <w:bottom w:w="90" w:type="dxa"/>
              <w:end w:w="100" w:type="dxa"/>
            </w:tcMar>
          </w:tcPr>
          <w:p>
            <w:pPr>
              <w:spacing w:after="0" w:before="0" w:line="250" w:lineRule="auto"/>
            </w:pPr>
            <w:r/>
            <w:r>
              <w:rPr>
                <w:rFonts w:ascii="Arial" w:hAnsi="Arial"/>
                <w:b w:val="0"/>
                <w:color w:val="263746"/>
                <w:sz w:val="16"/>
              </w:rPr>
              <w:t>Forecast or actual completion date minus approved planned completion date.</w:t>
            </w:r>
          </w:p>
        </w:tc>
        <w:tc>
          <w:tcPr>
            <w:tcW w:type="dxa" w:w="3744"/>
            <w:vAlign w:val="center"/>
            <w:tcMar>
              <w:top w:w="90" w:type="dxa"/>
              <w:start w:w="100" w:type="dxa"/>
              <w:bottom w:w="90" w:type="dxa"/>
              <w:end w:w="100" w:type="dxa"/>
            </w:tcMar>
          </w:tcPr>
          <w:p>
            <w:pPr>
              <w:spacing w:after="0" w:before="0" w:line="250" w:lineRule="auto"/>
            </w:pPr>
            <w:r/>
            <w:r>
              <w:rPr>
                <w:rFonts w:ascii="Arial" w:hAnsi="Arial"/>
                <w:b w:val="0"/>
                <w:color w:val="263746"/>
                <w:sz w:val="16"/>
              </w:rPr>
              <w:t>Distinguish elapsed time from delay; retain revised baseline history.</w:t>
            </w:r>
          </w:p>
        </w:tc>
      </w:tr>
      <w:tr>
        <w:trPr>
          <w:cantSplit/>
        </w:trPr>
        <w:tc>
          <w:tcPr>
            <w:tcW w:type="dxa" w:w="1944"/>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6"/>
              </w:rPr>
              <w:t>Physical progress (%)</w:t>
            </w:r>
          </w:p>
        </w:tc>
        <w:tc>
          <w:tcPr>
            <w:tcW w:type="dxa" w:w="3816"/>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6"/>
              </w:rPr>
              <w:t>Reported completed work relative to approved scope.</w:t>
            </w:r>
          </w:p>
        </w:tc>
        <w:tc>
          <w:tcPr>
            <w:tcW w:type="dxa" w:w="3744"/>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6"/>
              </w:rPr>
              <w:t>Use an agreed measurement method and a 0–100 range; verify progress date.</w:t>
            </w:r>
          </w:p>
        </w:tc>
      </w:tr>
      <w:tr>
        <w:trPr>
          <w:cantSplit/>
        </w:trPr>
        <w:tc>
          <w:tcPr>
            <w:tcW w:type="dxa" w:w="1944"/>
            <w:vAlign w:val="center"/>
            <w:tcMar>
              <w:top w:w="90" w:type="dxa"/>
              <w:start w:w="100" w:type="dxa"/>
              <w:bottom w:w="90" w:type="dxa"/>
              <w:end w:w="100" w:type="dxa"/>
            </w:tcMar>
          </w:tcPr>
          <w:p>
            <w:pPr>
              <w:spacing w:after="0" w:before="0" w:line="250" w:lineRule="auto"/>
            </w:pPr>
            <w:r/>
            <w:r>
              <w:rPr>
                <w:rFonts w:ascii="Arial" w:hAnsi="Arial"/>
                <w:b w:val="0"/>
                <w:color w:val="263746"/>
                <w:sz w:val="16"/>
              </w:rPr>
              <w:t>Procurement delay (days)</w:t>
            </w:r>
          </w:p>
        </w:tc>
        <w:tc>
          <w:tcPr>
            <w:tcW w:type="dxa" w:w="3816"/>
            <w:vAlign w:val="center"/>
            <w:tcMar>
              <w:top w:w="90" w:type="dxa"/>
              <w:start w:w="100" w:type="dxa"/>
              <w:bottom w:w="90" w:type="dxa"/>
              <w:end w:w="100" w:type="dxa"/>
            </w:tcMar>
          </w:tcPr>
          <w:p>
            <w:pPr>
              <w:spacing w:after="0" w:before="0" w:line="250" w:lineRule="auto"/>
            </w:pPr>
            <w:r/>
            <w:r>
              <w:rPr>
                <w:rFonts w:ascii="Arial" w:hAnsi="Arial"/>
                <w:b w:val="0"/>
                <w:color w:val="263746"/>
                <w:sz w:val="16"/>
              </w:rPr>
              <w:t>Difference between planned and actual delivery/availability milestones.</w:t>
            </w:r>
          </w:p>
        </w:tc>
        <w:tc>
          <w:tcPr>
            <w:tcW w:type="dxa" w:w="3744"/>
            <w:vAlign w:val="center"/>
            <w:tcMar>
              <w:top w:w="90" w:type="dxa"/>
              <w:start w:w="100" w:type="dxa"/>
              <w:bottom w:w="90" w:type="dxa"/>
              <w:end w:w="100" w:type="dxa"/>
            </w:tcMar>
          </w:tcPr>
          <w:p>
            <w:pPr>
              <w:spacing w:after="0" w:before="0" w:line="250" w:lineRule="auto"/>
            </w:pPr>
            <w:r/>
            <w:r>
              <w:rPr>
                <w:rFonts w:ascii="Arial" w:hAnsi="Arial"/>
                <w:b w:val="0"/>
                <w:color w:val="263746"/>
                <w:sz w:val="16"/>
              </w:rPr>
              <w:t>Requires purchase order or delivery-event dates; public notices may not have these.</w:t>
            </w:r>
          </w:p>
        </w:tc>
      </w:tr>
      <w:tr>
        <w:trPr>
          <w:cantSplit/>
        </w:trPr>
        <w:tc>
          <w:tcPr>
            <w:tcW w:type="dxa" w:w="1944"/>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6"/>
              </w:rPr>
              <w:t>Resource intensity</w:t>
            </w:r>
          </w:p>
        </w:tc>
        <w:tc>
          <w:tcPr>
            <w:tcW w:type="dxa" w:w="3816"/>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6"/>
              </w:rPr>
              <w:t>Labor hours, equipment hours or utilization per project/snapshot.</w:t>
            </w:r>
          </w:p>
        </w:tc>
        <w:tc>
          <w:tcPr>
            <w:tcW w:type="dxa" w:w="3744"/>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6"/>
              </w:rPr>
              <w:t>Define working hours, reporting period and crew/equipment coverage.</w:t>
            </w:r>
          </w:p>
        </w:tc>
      </w:tr>
    </w:tbl>
    <w:p>
      <w:pPr>
        <w:spacing w:after="20"/>
      </w:pPr>
    </w:p>
    <w:p>
      <w:pPr>
        <w:pStyle w:val="Heading1"/>
        <w:keepNext/>
      </w:pPr>
      <w:r>
        <w:t>3. Candidate Data Sources and Suitability</w:t>
      </w:r>
    </w:p>
    <w:p>
      <w:pPr>
        <w:widowControl/>
      </w:pPr>
      <w:r>
        <w:t>Source selection should be based on relevance, granularity, authority, update frequency, accessibility, licensing, data-quality metadata and fitness for the specific question. No single source is expected to provide all operational variables.</w:t>
      </w:r>
    </w:p>
    <w:tbl>
      <w:tblPr>
        <w:tblStyle w:val="TableGrid"/>
        <w:tblW w:type="auto" w:w="0"/>
        <w:jc w:val="center"/>
        <w:tblLayout w:type="fixed"/>
        <w:tblLook w:firstColumn="1" w:firstRow="1" w:lastColumn="0" w:lastRow="0" w:noHBand="0" w:noVBand="1" w:val="04A0"/>
      </w:tblPr>
      <w:tblGrid>
        <w:gridCol w:w="3250"/>
        <w:gridCol w:w="3250"/>
        <w:gridCol w:w="3250"/>
      </w:tblGrid>
      <w:tr>
        <w:trPr>
          <w:tblHeader w:val="true"/>
          <w:cantSplit/>
        </w:trPr>
        <w:tc>
          <w:tcPr>
            <w:tcW w:type="dxa" w:w="2232"/>
            <w:vAlign w:val="center"/>
            <w:tcMar>
              <w:top w:w="90" w:type="dxa"/>
              <w:start w:w="100" w:type="dxa"/>
              <w:bottom w:w="90" w:type="dxa"/>
              <w:end w:w="100" w:type="dxa"/>
            </w:tcMar>
            <w:shd w:fill="18324A"/>
          </w:tcPr>
          <w:p>
            <w:pPr>
              <w:spacing w:after="0" w:before="0" w:line="250" w:lineRule="auto"/>
            </w:pPr>
            <w:r/>
            <w:r>
              <w:rPr>
                <w:rFonts w:ascii="Arial" w:hAnsi="Arial"/>
                <w:b/>
                <w:color w:val="FFFFFF"/>
                <w:sz w:val="15"/>
              </w:rPr>
              <w:t>Candidate source</w:t>
            </w:r>
          </w:p>
        </w:tc>
        <w:tc>
          <w:tcPr>
            <w:tcW w:type="dxa" w:w="3485"/>
            <w:vAlign w:val="center"/>
            <w:tcMar>
              <w:top w:w="90" w:type="dxa"/>
              <w:start w:w="100" w:type="dxa"/>
              <w:bottom w:w="90" w:type="dxa"/>
              <w:end w:w="100" w:type="dxa"/>
            </w:tcMar>
            <w:shd w:fill="18324A"/>
          </w:tcPr>
          <w:p>
            <w:pPr>
              <w:spacing w:after="0" w:before="0" w:line="250" w:lineRule="auto"/>
            </w:pPr>
            <w:r/>
            <w:r>
              <w:rPr>
                <w:rFonts w:ascii="Arial" w:hAnsi="Arial"/>
                <w:b/>
                <w:color w:val="FFFFFF"/>
                <w:sz w:val="15"/>
              </w:rPr>
              <w:t>Potential use</w:t>
            </w:r>
          </w:p>
        </w:tc>
        <w:tc>
          <w:tcPr>
            <w:tcW w:type="dxa" w:w="3787"/>
            <w:vAlign w:val="center"/>
            <w:tcMar>
              <w:top w:w="90" w:type="dxa"/>
              <w:start w:w="100" w:type="dxa"/>
              <w:bottom w:w="90" w:type="dxa"/>
              <w:end w:w="100" w:type="dxa"/>
            </w:tcMar>
            <w:shd w:fill="18324A"/>
          </w:tcPr>
          <w:p>
            <w:pPr>
              <w:spacing w:after="0" w:before="0" w:line="250" w:lineRule="auto"/>
            </w:pPr>
            <w:r/>
            <w:r>
              <w:rPr>
                <w:rFonts w:ascii="Arial" w:hAnsi="Arial"/>
                <w:b/>
                <w:color w:val="FFFFFF"/>
                <w:sz w:val="15"/>
              </w:rPr>
              <w:t>Limits and handling decision</w:t>
            </w:r>
          </w:p>
        </w:tc>
      </w:tr>
      <w:tr>
        <w:trPr>
          <w:cantSplit/>
        </w:trPr>
        <w:tc>
          <w:tcPr>
            <w:tcW w:type="dxa" w:w="2232"/>
            <w:vAlign w:val="center"/>
            <w:tcMar>
              <w:top w:w="90" w:type="dxa"/>
              <w:start w:w="100" w:type="dxa"/>
              <w:bottom w:w="90" w:type="dxa"/>
              <w:end w:w="100" w:type="dxa"/>
            </w:tcMar>
          </w:tcPr>
          <w:p>
            <w:pPr>
              <w:spacing w:after="0" w:before="0" w:line="250" w:lineRule="auto"/>
            </w:pPr>
            <w:r/>
            <w:r>
              <w:rPr>
                <w:rFonts w:ascii="Arial" w:hAnsi="Arial"/>
                <w:b w:val="0"/>
                <w:color w:val="263746"/>
                <w:sz w:val="15"/>
              </w:rPr>
              <w:t>MoSPI / Infrastructure &amp; Project Monitoring Division (IPMD) [1]</w:t>
            </w:r>
          </w:p>
        </w:tc>
        <w:tc>
          <w:tcPr>
            <w:tcW w:type="dxa" w:w="3485"/>
            <w:vAlign w:val="center"/>
            <w:tcMar>
              <w:top w:w="90" w:type="dxa"/>
              <w:start w:w="100" w:type="dxa"/>
              <w:bottom w:w="90" w:type="dxa"/>
              <w:end w:w="100" w:type="dxa"/>
            </w:tcMar>
          </w:tcPr>
          <w:p>
            <w:pPr>
              <w:spacing w:after="0" w:before="0" w:line="250" w:lineRule="auto"/>
            </w:pPr>
            <w:r/>
            <w:r>
              <w:rPr>
                <w:rFonts w:ascii="Arial" w:hAnsi="Arial"/>
                <w:b w:val="0"/>
                <w:color w:val="263746"/>
                <w:sz w:val="15"/>
              </w:rPr>
              <w:t>Context for monitoring large central-sector projects; reported time/cost overruns; identify terminology and benchmark context.</w:t>
            </w:r>
          </w:p>
        </w:tc>
        <w:tc>
          <w:tcPr>
            <w:tcW w:type="dxa" w:w="3787"/>
            <w:vAlign w:val="center"/>
            <w:tcMar>
              <w:top w:w="90" w:type="dxa"/>
              <w:start w:w="100" w:type="dxa"/>
              <w:bottom w:w="90" w:type="dxa"/>
              <w:end w:w="100" w:type="dxa"/>
            </w:tcMar>
          </w:tcPr>
          <w:p>
            <w:pPr>
              <w:spacing w:after="0" w:before="0" w:line="250" w:lineRule="auto"/>
            </w:pPr>
            <w:r/>
            <w:r>
              <w:rPr>
                <w:rFonts w:ascii="Arial" w:hAnsi="Arial"/>
                <w:b w:val="0"/>
                <w:color w:val="263746"/>
                <w:sz w:val="15"/>
              </w:rPr>
              <w:t>Reported project scope and granularity may not expose raw activity-level data. Use for context and comparison, not as a substitute for daily site records.</w:t>
            </w:r>
          </w:p>
        </w:tc>
      </w:tr>
      <w:tr>
        <w:trPr>
          <w:cantSplit/>
        </w:trPr>
        <w:tc>
          <w:tcPr>
            <w:tcW w:type="dxa" w:w="2232"/>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CPWD Delhi Schedule of Rates (Civil) [2]</w:t>
            </w:r>
          </w:p>
        </w:tc>
        <w:tc>
          <w:tcPr>
            <w:tcW w:type="dxa" w:w="3485"/>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Reference unit rates for selected civil work items and estimate-checking context.</w:t>
            </w:r>
          </w:p>
        </w:tc>
        <w:tc>
          <w:tcPr>
            <w:tcW w:type="dxa" w:w="3787"/>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A schedule of rates is a benchmark, not actual invoice data. Geography, effective date and correction slips matter; do not apply Delhi rates as universal local prices.</w:t>
            </w:r>
          </w:p>
        </w:tc>
      </w:tr>
      <w:tr>
        <w:trPr>
          <w:cantSplit/>
        </w:trPr>
        <w:tc>
          <w:tcPr>
            <w:tcW w:type="dxa" w:w="2232"/>
            <w:vAlign w:val="center"/>
            <w:tcMar>
              <w:top w:w="90" w:type="dxa"/>
              <w:start w:w="100" w:type="dxa"/>
              <w:bottom w:w="90" w:type="dxa"/>
              <w:end w:w="100" w:type="dxa"/>
            </w:tcMar>
          </w:tcPr>
          <w:p>
            <w:pPr>
              <w:spacing w:after="0" w:before="0" w:line="250" w:lineRule="auto"/>
            </w:pPr>
            <w:r/>
            <w:r>
              <w:rPr>
                <w:rFonts w:ascii="Arial" w:hAnsi="Arial"/>
                <w:b w:val="0"/>
                <w:color w:val="263746"/>
                <w:sz w:val="15"/>
              </w:rPr>
              <w:t>World Bank Procurement Notices [3]</w:t>
            </w:r>
          </w:p>
        </w:tc>
        <w:tc>
          <w:tcPr>
            <w:tcW w:type="dxa" w:w="3485"/>
            <w:vAlign w:val="center"/>
            <w:tcMar>
              <w:top w:w="90" w:type="dxa"/>
              <w:start w:w="100" w:type="dxa"/>
              <w:bottom w:w="90" w:type="dxa"/>
              <w:end w:w="100" w:type="dxa"/>
            </w:tcMar>
          </w:tcPr>
          <w:p>
            <w:pPr>
              <w:spacing w:after="0" w:before="0" w:line="250" w:lineRule="auto"/>
            </w:pPr>
            <w:r/>
            <w:r>
              <w:rPr>
                <w:rFonts w:ascii="Arial" w:hAnsi="Arial"/>
                <w:b w:val="0"/>
                <w:color w:val="263746"/>
                <w:sz w:val="15"/>
              </w:rPr>
              <w:t>Public tender/notice metadata for World Bank-financed projects; context for procurement packages and notice dates.</w:t>
            </w:r>
          </w:p>
        </w:tc>
        <w:tc>
          <w:tcPr>
            <w:tcW w:type="dxa" w:w="3787"/>
            <w:vAlign w:val="center"/>
            <w:tcMar>
              <w:top w:w="90" w:type="dxa"/>
              <w:start w:w="100" w:type="dxa"/>
              <w:bottom w:w="90" w:type="dxa"/>
              <w:end w:w="100" w:type="dxa"/>
            </w:tcMar>
          </w:tcPr>
          <w:p>
            <w:pPr>
              <w:spacing w:after="0" w:before="0" w:line="250" w:lineRule="auto"/>
            </w:pPr>
            <w:r/>
            <w:r>
              <w:rPr>
                <w:rFonts w:ascii="Arial" w:hAnsi="Arial"/>
                <w:b w:val="0"/>
                <w:color w:val="263746"/>
                <w:sz w:val="15"/>
              </w:rPr>
              <w:t>Notice metadata does not necessarily include project progress, final cost or actual delivery dates. Public dataset is licensed CC BY 4.0 as described in its catalog entry.</w:t>
            </w:r>
          </w:p>
        </w:tc>
      </w:tr>
      <w:tr>
        <w:trPr>
          <w:cantSplit/>
        </w:trPr>
        <w:tc>
          <w:tcPr>
            <w:tcW w:type="dxa" w:w="2232"/>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Open Government Data (OGD) Platform India [4]</w:t>
            </w:r>
          </w:p>
        </w:tc>
        <w:tc>
          <w:tcPr>
            <w:tcW w:type="dxa" w:w="3485"/>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Search for project-wise infrastructure, project cost/expenditure, sanctioned/completed project or sector datasets.</w:t>
            </w:r>
          </w:p>
        </w:tc>
        <w:tc>
          <w:tcPr>
            <w:tcW w:type="dxa" w:w="3787"/>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Availability and field structure vary by publishing department and resource. Inspect each resource’s metadata, dates, unit, download/API availability and terms before use.</w:t>
            </w:r>
          </w:p>
        </w:tc>
      </w:tr>
      <w:tr>
        <w:trPr>
          <w:cantSplit/>
        </w:trPr>
        <w:tc>
          <w:tcPr>
            <w:tcW w:type="dxa" w:w="2232"/>
            <w:vAlign w:val="center"/>
            <w:tcMar>
              <w:top w:w="90" w:type="dxa"/>
              <w:start w:w="100" w:type="dxa"/>
              <w:bottom w:w="90" w:type="dxa"/>
              <w:end w:w="100" w:type="dxa"/>
            </w:tcMar>
          </w:tcPr>
          <w:p>
            <w:pPr>
              <w:spacing w:after="0" w:before="0" w:line="250" w:lineRule="auto"/>
            </w:pPr>
            <w:r/>
            <w:r>
              <w:rPr>
                <w:rFonts w:ascii="Arial" w:hAnsi="Arial"/>
                <w:b w:val="0"/>
                <w:color w:val="263746"/>
                <w:sz w:val="15"/>
              </w:rPr>
              <w:t>Authorized project-control records</w:t>
            </w:r>
          </w:p>
        </w:tc>
        <w:tc>
          <w:tcPr>
            <w:tcW w:type="dxa" w:w="3485"/>
            <w:vAlign w:val="center"/>
            <w:tcMar>
              <w:top w:w="90" w:type="dxa"/>
              <w:start w:w="100" w:type="dxa"/>
              <w:bottom w:w="90" w:type="dxa"/>
              <w:end w:w="100" w:type="dxa"/>
            </w:tcMar>
          </w:tcPr>
          <w:p>
            <w:pPr>
              <w:spacing w:after="0" w:before="0" w:line="250" w:lineRule="auto"/>
            </w:pPr>
            <w:r/>
            <w:r>
              <w:rPr>
                <w:rFonts w:ascii="Arial" w:hAnsi="Arial"/>
                <w:b w:val="0"/>
                <w:color w:val="263746"/>
                <w:sz w:val="15"/>
              </w:rPr>
              <w:t>Baseline schedule, cost snapshots, change orders, BOQ, purchase-order/delivery log, progress reports, labor/equipment logs and safety summaries.</w:t>
            </w:r>
          </w:p>
        </w:tc>
        <w:tc>
          <w:tcPr>
            <w:tcW w:type="dxa" w:w="3787"/>
            <w:vAlign w:val="center"/>
            <w:tcMar>
              <w:top w:w="90" w:type="dxa"/>
              <w:start w:w="100" w:type="dxa"/>
              <w:bottom w:w="90" w:type="dxa"/>
              <w:end w:w="100" w:type="dxa"/>
            </w:tcMar>
          </w:tcPr>
          <w:p>
            <w:pPr>
              <w:spacing w:after="0" w:before="0" w:line="250" w:lineRule="auto"/>
            </w:pPr>
            <w:r/>
            <w:r>
              <w:rPr>
                <w:rFonts w:ascii="Arial" w:hAnsi="Arial"/>
                <w:b w:val="0"/>
                <w:color w:val="263746"/>
                <w:sz w:val="15"/>
              </w:rPr>
              <w:t>Use only with owner permission and access controls. These are often the only source for detailed operational variables.</w:t>
            </w:r>
          </w:p>
        </w:tc>
      </w:tr>
      <w:tr>
        <w:trPr>
          <w:cantSplit/>
        </w:trPr>
        <w:tc>
          <w:tcPr>
            <w:tcW w:type="dxa" w:w="2232"/>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Synthetic educational dataset (included)</w:t>
            </w:r>
          </w:p>
        </w:tc>
        <w:tc>
          <w:tcPr>
            <w:tcW w:type="dxa" w:w="3485"/>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Prototype the profiling, cleaning and documentation workflow without exposing confidential data.</w:t>
            </w:r>
          </w:p>
        </w:tc>
        <w:tc>
          <w:tcPr>
            <w:tcW w:type="dxa" w:w="3787"/>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Entirely artificial; useful for code testing only. It cannot validate construction-industry assumptions or support real-world performance claims.</w:t>
            </w:r>
          </w:p>
        </w:tc>
      </w:tr>
    </w:tbl>
    <w:p>
      <w:pPr>
        <w:spacing w:after="20"/>
      </w:pPr>
    </w:p>
    <w:p>
      <w:pPr>
        <w:pStyle w:val="Heading2"/>
        <w:keepNext/>
      </w:pPr>
      <w:r>
        <w:t>3.1 Proposed source selection sequence</w:t>
      </w:r>
    </w:p>
    <w:p>
      <w:pPr>
        <w:pStyle w:val="ListBullet"/>
        <w:spacing w:after="60" w:line="259" w:lineRule="auto"/>
        <w:ind w:left="403" w:hanging="230"/>
      </w:pPr>
      <w:r>
        <w:t>Start with MoSPI and OGD catalog search to understand which public project-level fields are available and what their reporting grain is.</w:t>
      </w:r>
    </w:p>
    <w:p>
      <w:pPr>
        <w:pStyle w:val="ListBullet"/>
        <w:spacing w:after="60" w:line="259" w:lineRule="auto"/>
        <w:ind w:left="403" w:hanging="230"/>
      </w:pPr>
      <w:r>
        <w:t>Use CPWD DSR only for rate-reference questions and record the exact version, location applicability and download date.</w:t>
      </w:r>
    </w:p>
    <w:p>
      <w:pPr>
        <w:pStyle w:val="ListBullet"/>
        <w:spacing w:after="60" w:line="259" w:lineRule="auto"/>
        <w:ind w:left="403" w:hanging="230"/>
      </w:pPr>
      <w:r>
        <w:t>Use World Bank procurement notices only when tender-package context is relevant; do not infer actual progress or final cost from a notice alone.</w:t>
      </w:r>
    </w:p>
    <w:p>
      <w:pPr>
        <w:pStyle w:val="ListBullet"/>
        <w:spacing w:after="60" w:line="259" w:lineRule="auto"/>
        <w:ind w:left="403" w:hanging="230"/>
      </w:pPr>
      <w:r>
        <w:t>For labor, equipment, safety, change-order and detailed progress variables, request an approved, anonymized extract from the project owner or explicitly use synthetic data.</w:t>
      </w:r>
    </w:p>
    <w:p>
      <w:pPr>
        <w:pStyle w:val="ListBullet"/>
        <w:spacing w:after="60" w:line="259" w:lineRule="auto"/>
        <w:ind w:left="403" w:hanging="230"/>
      </w:pPr>
      <w:r>
        <w:t>For every selected source, save a source register with URL, provider, publication/update date, access date, license/permission, transformation history and known limitations.</w:t>
      </w:r>
    </w:p>
    <w:p>
      <w:pPr>
        <w:pStyle w:val="Heading1"/>
        <w:keepNext/>
      </w:pPr>
      <w:r>
        <w:t>4. Data Acquisition Plan</w:t>
      </w:r>
    </w:p>
    <w:p>
      <w:pPr>
        <w:pStyle w:val="Heading2"/>
        <w:keepNext/>
      </w:pPr>
      <w:r>
        <w:t>4.1 Collection protocol</w:t>
      </w:r>
    </w:p>
    <w:p>
      <w:pPr>
        <w:pStyle w:val="ListBullet"/>
        <w:spacing w:after="60" w:line="259" w:lineRule="auto"/>
        <w:ind w:left="403" w:hanging="230"/>
      </w:pPr>
      <w:r>
        <w:rPr>
          <w:b/>
        </w:rPr>
        <w:t xml:space="preserve">Define the unit and snapshot: </w:t>
      </w:r>
      <w:r>
        <w:t>project-level snapshot as of a specified date; preserve historic snapshots rather than overwriting prior values.</w:t>
      </w:r>
    </w:p>
    <w:p>
      <w:pPr>
        <w:pStyle w:val="ListBullet"/>
        <w:spacing w:after="60" w:line="259" w:lineRule="auto"/>
        <w:ind w:left="403" w:hanging="230"/>
      </w:pPr>
      <w:r>
        <w:rPr>
          <w:b/>
        </w:rPr>
        <w:t xml:space="preserve">Create a source register: </w:t>
      </w:r>
      <w:r>
        <w:t>owner/provider, dataset name, URL/path, date accessed, period covered, location, project types, units, license/permission, known gaps and quality notes.</w:t>
      </w:r>
    </w:p>
    <w:p>
      <w:pPr>
        <w:pStyle w:val="ListBullet"/>
        <w:spacing w:after="60" w:line="259" w:lineRule="auto"/>
        <w:ind w:left="403" w:hanging="230"/>
      </w:pPr>
      <w:r>
        <w:rPr>
          <w:b/>
        </w:rPr>
        <w:t xml:space="preserve">Inspect metadata before download: </w:t>
      </w:r>
      <w:r>
        <w:t>read the data dictionary, definitions, schema, reporting frequency and any revision notes.</w:t>
      </w:r>
    </w:p>
    <w:p>
      <w:pPr>
        <w:pStyle w:val="ListBullet"/>
        <w:spacing w:after="60" w:line="259" w:lineRule="auto"/>
        <w:ind w:left="403" w:hanging="230"/>
      </w:pPr>
      <w:r>
        <w:rPr>
          <w:b/>
        </w:rPr>
        <w:t xml:space="preserve">Capture raw input immutably: </w:t>
      </w:r>
      <w:r>
        <w:t>place original downloads in data/raw with date/version in the filename; do not edit raw files in place.</w:t>
      </w:r>
    </w:p>
    <w:p>
      <w:pPr>
        <w:pStyle w:val="ListBullet"/>
        <w:spacing w:after="60" w:line="259" w:lineRule="auto"/>
        <w:ind w:left="403" w:hanging="230"/>
      </w:pPr>
      <w:r>
        <w:rPr>
          <w:b/>
        </w:rPr>
        <w:t xml:space="preserve">Validate the extraction: </w:t>
      </w:r>
      <w:r>
        <w:t>record row/column count, file size, checksum where available, extraction date and any filters used.</w:t>
      </w:r>
    </w:p>
    <w:p>
      <w:pPr>
        <w:pStyle w:val="ListBullet"/>
        <w:spacing w:after="60" w:line="259" w:lineRule="auto"/>
        <w:ind w:left="403" w:hanging="230"/>
      </w:pPr>
      <w:r>
        <w:rPr>
          <w:b/>
        </w:rPr>
        <w:t xml:space="preserve">Profile before transformation: </w:t>
      </w:r>
      <w:r>
        <w:t>calculate missingness, type mismatches, duplicate identifiers, distinct categories, numeric ranges and date validity.</w:t>
      </w:r>
    </w:p>
    <w:p>
      <w:pPr>
        <w:pStyle w:val="ListBullet"/>
        <w:spacing w:after="60" w:line="259" w:lineRule="auto"/>
        <w:ind w:left="403" w:hanging="230"/>
      </w:pPr>
      <w:r>
        <w:rPr>
          <w:b/>
        </w:rPr>
        <w:t xml:space="preserve">Stage with lineage: </w:t>
      </w:r>
      <w:r>
        <w:t>write standardized fields and audit results to data/processed; preserve invalid or ambiguous records in a review file.</w:t>
      </w:r>
    </w:p>
    <w:p>
      <w:pPr>
        <w:pStyle w:val="ListBullet"/>
        <w:spacing w:after="60" w:line="259" w:lineRule="auto"/>
        <w:ind w:left="403" w:hanging="230"/>
      </w:pPr>
      <w:r>
        <w:rPr>
          <w:b/>
        </w:rPr>
        <w:t xml:space="preserve">Obtain owner sign-off: </w:t>
      </w:r>
      <w:r>
        <w:t>data owner confirms definitions, exceptions and baseline version before project performance indicators are calculated.</w:t>
      </w:r>
    </w:p>
    <w:p>
      <w:pPr>
        <w:pStyle w:val="Heading2"/>
        <w:keepNext/>
      </w:pPr>
      <w:r>
        <w:t>4.2 Proposed workflow</w:t>
      </w:r>
    </w:p>
    <w:p>
      <w:pPr>
        <w:jc w:val="center"/>
      </w:pPr>
      <w:r>
        <w:drawing>
          <wp:inline xmlns:a="http://schemas.openxmlformats.org/drawingml/2006/main" xmlns:pic="http://schemas.openxmlformats.org/drawingml/2006/picture">
            <wp:extent cx="6080760" cy="1388329"/>
            <wp:docPr id="1" name="Picture 1"/>
            <wp:cNvGraphicFramePr>
              <a:graphicFrameLocks noChangeAspect="1"/>
            </wp:cNvGraphicFramePr>
            <a:graphic>
              <a:graphicData uri="http://schemas.openxmlformats.org/drawingml/2006/picture">
                <pic:pic>
                  <pic:nvPicPr>
                    <pic:cNvPr id="0" name="data_acquisition_workflow.png"/>
                    <pic:cNvPicPr/>
                  </pic:nvPicPr>
                  <pic:blipFill>
                    <a:blip r:embed="rId11"/>
                    <a:stretch>
                      <a:fillRect/>
                    </a:stretch>
                  </pic:blipFill>
                  <pic:spPr>
                    <a:xfrm>
                      <a:off x="0" y="0"/>
                      <a:ext cx="6080760" cy="1388329"/>
                    </a:xfrm>
                    <a:prstGeom prst="rect"/>
                  </pic:spPr>
                </pic:pic>
              </a:graphicData>
            </a:graphic>
          </wp:inline>
        </w:drawing>
      </w:r>
    </w:p>
    <w:p>
      <w:pPr>
        <w:spacing w:after="120"/>
        <w:jc w:val="center"/>
      </w:pPr>
      <w:r>
        <w:rPr>
          <w:i/>
          <w:color w:val="5B6B79"/>
          <w:sz w:val="16"/>
        </w:rPr>
        <w:t>Figure 1. Proposed data acquisition and preparation workflow.</w:t>
      </w:r>
    </w:p>
    <w:p>
      <w:pPr>
        <w:pStyle w:val="Heading2"/>
        <w:keepNext/>
      </w:pPr>
      <w:r>
        <w:t>4.3 Extraction and storage convention</w:t>
      </w:r>
    </w:p>
    <w:tbl>
      <w:tblPr>
        <w:tblStyle w:val="TableGrid"/>
        <w:tblW w:type="auto" w:w="0"/>
        <w:jc w:val="center"/>
        <w:tblLayout w:type="fixed"/>
        <w:tblLook w:firstColumn="1" w:firstRow="1" w:lastColumn="0" w:lastRow="0" w:noHBand="0" w:noVBand="1" w:val="04A0"/>
      </w:tblPr>
      <w:tblGrid>
        <w:gridCol w:w="3250"/>
        <w:gridCol w:w="3250"/>
        <w:gridCol w:w="3250"/>
      </w:tblGrid>
      <w:tr>
        <w:trPr>
          <w:tblHeader w:val="true"/>
          <w:cantSplit/>
        </w:trPr>
        <w:tc>
          <w:tcPr>
            <w:tcW w:type="dxa" w:w="2736"/>
            <w:vAlign w:val="center"/>
            <w:tcMar>
              <w:top w:w="90" w:type="dxa"/>
              <w:start w:w="100" w:type="dxa"/>
              <w:bottom w:w="90" w:type="dxa"/>
              <w:end w:w="100" w:type="dxa"/>
            </w:tcMar>
            <w:shd w:fill="18324A"/>
          </w:tcPr>
          <w:p>
            <w:pPr>
              <w:spacing w:after="0" w:before="0" w:line="250" w:lineRule="auto"/>
            </w:pPr>
            <w:r/>
            <w:r>
              <w:rPr>
                <w:rFonts w:ascii="Arial" w:hAnsi="Arial"/>
                <w:b/>
                <w:color w:val="FFFFFF"/>
                <w:sz w:val="16"/>
              </w:rPr>
              <w:t>Folder / artifact</w:t>
            </w:r>
          </w:p>
        </w:tc>
        <w:tc>
          <w:tcPr>
            <w:tcW w:type="dxa" w:w="3672"/>
            <w:vAlign w:val="center"/>
            <w:tcMar>
              <w:top w:w="90" w:type="dxa"/>
              <w:start w:w="100" w:type="dxa"/>
              <w:bottom w:w="90" w:type="dxa"/>
              <w:end w:w="100" w:type="dxa"/>
            </w:tcMar>
            <w:shd w:fill="18324A"/>
          </w:tcPr>
          <w:p>
            <w:pPr>
              <w:spacing w:after="0" w:before="0" w:line="250" w:lineRule="auto"/>
            </w:pPr>
            <w:r/>
            <w:r>
              <w:rPr>
                <w:rFonts w:ascii="Arial" w:hAnsi="Arial"/>
                <w:b/>
                <w:color w:val="FFFFFF"/>
                <w:sz w:val="16"/>
              </w:rPr>
              <w:t>Purpose</w:t>
            </w:r>
          </w:p>
        </w:tc>
        <w:tc>
          <w:tcPr>
            <w:tcW w:type="dxa" w:w="3096"/>
            <w:vAlign w:val="center"/>
            <w:tcMar>
              <w:top w:w="90" w:type="dxa"/>
              <w:start w:w="100" w:type="dxa"/>
              <w:bottom w:w="90" w:type="dxa"/>
              <w:end w:w="100" w:type="dxa"/>
            </w:tcMar>
            <w:shd w:fill="18324A"/>
          </w:tcPr>
          <w:p>
            <w:pPr>
              <w:spacing w:after="0" w:before="0" w:line="250" w:lineRule="auto"/>
            </w:pPr>
            <w:r/>
            <w:r>
              <w:rPr>
                <w:rFonts w:ascii="Arial" w:hAnsi="Arial"/>
                <w:b/>
                <w:color w:val="FFFFFF"/>
                <w:sz w:val="16"/>
              </w:rPr>
              <w:t>Control</w:t>
            </w:r>
          </w:p>
        </w:tc>
      </w:tr>
      <w:tr>
        <w:trPr>
          <w:cantSplit/>
        </w:trPr>
        <w:tc>
          <w:tcPr>
            <w:tcW w:type="dxa" w:w="2736"/>
            <w:vAlign w:val="center"/>
            <w:tcMar>
              <w:top w:w="90" w:type="dxa"/>
              <w:start w:w="100" w:type="dxa"/>
              <w:bottom w:w="90" w:type="dxa"/>
              <w:end w:w="100" w:type="dxa"/>
            </w:tcMar>
          </w:tcPr>
          <w:p>
            <w:pPr>
              <w:spacing w:after="0" w:before="0" w:line="250" w:lineRule="auto"/>
            </w:pPr>
            <w:r/>
            <w:r>
              <w:rPr>
                <w:rFonts w:ascii="Arial" w:hAnsi="Arial"/>
                <w:b w:val="0"/>
                <w:color w:val="263746"/>
                <w:sz w:val="16"/>
              </w:rPr>
              <w:t>data/raw/</w:t>
            </w:r>
          </w:p>
        </w:tc>
        <w:tc>
          <w:tcPr>
            <w:tcW w:type="dxa" w:w="3672"/>
            <w:vAlign w:val="center"/>
            <w:tcMar>
              <w:top w:w="90" w:type="dxa"/>
              <w:start w:w="100" w:type="dxa"/>
              <w:bottom w:w="90" w:type="dxa"/>
              <w:end w:w="100" w:type="dxa"/>
            </w:tcMar>
          </w:tcPr>
          <w:p>
            <w:pPr>
              <w:spacing w:after="0" w:before="0" w:line="250" w:lineRule="auto"/>
            </w:pPr>
            <w:r/>
            <w:r>
              <w:rPr>
                <w:rFonts w:ascii="Arial" w:hAnsi="Arial"/>
                <w:b w:val="0"/>
                <w:color w:val="263746"/>
                <w:sz w:val="16"/>
              </w:rPr>
              <w:t>Original source files or the labelled synthetic raw fixture.</w:t>
            </w:r>
          </w:p>
        </w:tc>
        <w:tc>
          <w:tcPr>
            <w:tcW w:type="dxa" w:w="3096"/>
            <w:vAlign w:val="center"/>
            <w:tcMar>
              <w:top w:w="90" w:type="dxa"/>
              <w:start w:w="100" w:type="dxa"/>
              <w:bottom w:w="90" w:type="dxa"/>
              <w:end w:w="100" w:type="dxa"/>
            </w:tcMar>
          </w:tcPr>
          <w:p>
            <w:pPr>
              <w:spacing w:after="0" w:before="0" w:line="250" w:lineRule="auto"/>
            </w:pPr>
            <w:r/>
            <w:r>
              <w:rPr>
                <w:rFonts w:ascii="Arial" w:hAnsi="Arial"/>
                <w:b w:val="0"/>
                <w:color w:val="263746"/>
                <w:sz w:val="16"/>
              </w:rPr>
              <w:t>Read-only source snapshot; never overwrite during cleaning.</w:t>
            </w:r>
          </w:p>
        </w:tc>
      </w:tr>
      <w:tr>
        <w:trPr>
          <w:cantSplit/>
        </w:trPr>
        <w:tc>
          <w:tcPr>
            <w:tcW w:type="dxa" w:w="2736"/>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6"/>
              </w:rPr>
              <w:t>data/processed/standardized_staging.csv</w:t>
            </w:r>
          </w:p>
        </w:tc>
        <w:tc>
          <w:tcPr>
            <w:tcW w:type="dxa" w:w="3672"/>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6"/>
              </w:rPr>
              <w:t>Normalized headers, cleaned text/numeric representation and validation flags.</w:t>
            </w:r>
          </w:p>
        </w:tc>
        <w:tc>
          <w:tcPr>
            <w:tcW w:type="dxa" w:w="3096"/>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6"/>
              </w:rPr>
              <w:t>Not yet approved as model-ready; keep manual-review status.</w:t>
            </w:r>
          </w:p>
        </w:tc>
      </w:tr>
      <w:tr>
        <w:trPr>
          <w:cantSplit/>
        </w:trPr>
        <w:tc>
          <w:tcPr>
            <w:tcW w:type="dxa" w:w="2736"/>
            <w:vAlign w:val="center"/>
            <w:tcMar>
              <w:top w:w="90" w:type="dxa"/>
              <w:start w:w="100" w:type="dxa"/>
              <w:bottom w:w="90" w:type="dxa"/>
              <w:end w:w="100" w:type="dxa"/>
            </w:tcMar>
          </w:tcPr>
          <w:p>
            <w:pPr>
              <w:spacing w:after="0" w:before="0" w:line="250" w:lineRule="auto"/>
            </w:pPr>
            <w:r/>
            <w:r>
              <w:rPr>
                <w:rFonts w:ascii="Arial" w:hAnsi="Arial"/>
                <w:b w:val="0"/>
                <w:color w:val="263746"/>
                <w:sz w:val="16"/>
              </w:rPr>
              <w:t>data/processed/data_quality_profile.csv</w:t>
            </w:r>
          </w:p>
        </w:tc>
        <w:tc>
          <w:tcPr>
            <w:tcW w:type="dxa" w:w="3672"/>
            <w:vAlign w:val="center"/>
            <w:tcMar>
              <w:top w:w="90" w:type="dxa"/>
              <w:start w:w="100" w:type="dxa"/>
              <w:bottom w:w="90" w:type="dxa"/>
              <w:end w:w="100" w:type="dxa"/>
            </w:tcMar>
          </w:tcPr>
          <w:p>
            <w:pPr>
              <w:spacing w:after="0" w:before="0" w:line="250" w:lineRule="auto"/>
            </w:pPr>
            <w:r/>
            <w:r>
              <w:rPr>
                <w:rFonts w:ascii="Arial" w:hAnsi="Arial"/>
                <w:b w:val="0"/>
                <w:color w:val="263746"/>
                <w:sz w:val="16"/>
              </w:rPr>
              <w:t>Column-level data types, missingness and distinct-value counts.</w:t>
            </w:r>
          </w:p>
        </w:tc>
        <w:tc>
          <w:tcPr>
            <w:tcW w:type="dxa" w:w="3096"/>
            <w:vAlign w:val="center"/>
            <w:tcMar>
              <w:top w:w="90" w:type="dxa"/>
              <w:start w:w="100" w:type="dxa"/>
              <w:bottom w:w="90" w:type="dxa"/>
              <w:end w:w="100" w:type="dxa"/>
            </w:tcMar>
          </w:tcPr>
          <w:p>
            <w:pPr>
              <w:spacing w:after="0" w:before="0" w:line="250" w:lineRule="auto"/>
            </w:pPr>
            <w:r/>
            <w:r>
              <w:rPr>
                <w:rFonts w:ascii="Arial" w:hAnsi="Arial"/>
                <w:b w:val="0"/>
                <w:color w:val="263746"/>
                <w:sz w:val="16"/>
              </w:rPr>
              <w:t>Regenerate from raw input with the profiling script.</w:t>
            </w:r>
          </w:p>
        </w:tc>
      </w:tr>
      <w:tr>
        <w:trPr>
          <w:cantSplit/>
        </w:trPr>
        <w:tc>
          <w:tcPr>
            <w:tcW w:type="dxa" w:w="2736"/>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6"/>
              </w:rPr>
              <w:t>data/processed/records_for_manual_review.csv</w:t>
            </w:r>
          </w:p>
        </w:tc>
        <w:tc>
          <w:tcPr>
            <w:tcW w:type="dxa" w:w="3672"/>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6"/>
              </w:rPr>
              <w:t>Rows with duplicate identifiers, invalid ranges, bad dates or invalid required fields.</w:t>
            </w:r>
          </w:p>
        </w:tc>
        <w:tc>
          <w:tcPr>
            <w:tcW w:type="dxa" w:w="3096"/>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6"/>
              </w:rPr>
              <w:t>Resolve through documented decision; do not silently drop.</w:t>
            </w:r>
          </w:p>
        </w:tc>
      </w:tr>
      <w:tr>
        <w:trPr>
          <w:cantSplit/>
        </w:trPr>
        <w:tc>
          <w:tcPr>
            <w:tcW w:type="dxa" w:w="2736"/>
            <w:vAlign w:val="center"/>
            <w:tcMar>
              <w:top w:w="90" w:type="dxa"/>
              <w:start w:w="100" w:type="dxa"/>
              <w:bottom w:w="90" w:type="dxa"/>
              <w:end w:w="100" w:type="dxa"/>
            </w:tcMar>
          </w:tcPr>
          <w:p>
            <w:pPr>
              <w:spacing w:after="0" w:before="0" w:line="250" w:lineRule="auto"/>
            </w:pPr>
            <w:r/>
            <w:r>
              <w:rPr>
                <w:rFonts w:ascii="Arial" w:hAnsi="Arial"/>
                <w:b w:val="0"/>
                <w:color w:val="263746"/>
                <w:sz w:val="16"/>
              </w:rPr>
              <w:t>source_register.csv / README.md</w:t>
            </w:r>
          </w:p>
        </w:tc>
        <w:tc>
          <w:tcPr>
            <w:tcW w:type="dxa" w:w="3672"/>
            <w:vAlign w:val="center"/>
            <w:tcMar>
              <w:top w:w="90" w:type="dxa"/>
              <w:start w:w="100" w:type="dxa"/>
              <w:bottom w:w="90" w:type="dxa"/>
              <w:end w:w="100" w:type="dxa"/>
            </w:tcMar>
          </w:tcPr>
          <w:p>
            <w:pPr>
              <w:spacing w:after="0" w:before="0" w:line="250" w:lineRule="auto"/>
            </w:pPr>
            <w:r/>
            <w:r>
              <w:rPr>
                <w:rFonts w:ascii="Arial" w:hAnsi="Arial"/>
                <w:b w:val="0"/>
                <w:color w:val="263746"/>
                <w:sz w:val="16"/>
              </w:rPr>
              <w:t>Source provenance, field definitions, setup and execution notes.</w:t>
            </w:r>
          </w:p>
        </w:tc>
        <w:tc>
          <w:tcPr>
            <w:tcW w:type="dxa" w:w="3096"/>
            <w:vAlign w:val="center"/>
            <w:tcMar>
              <w:top w:w="90" w:type="dxa"/>
              <w:start w:w="100" w:type="dxa"/>
              <w:bottom w:w="90" w:type="dxa"/>
              <w:end w:w="100" w:type="dxa"/>
            </w:tcMar>
          </w:tcPr>
          <w:p>
            <w:pPr>
              <w:spacing w:after="0" w:before="0" w:line="250" w:lineRule="auto"/>
            </w:pPr>
            <w:r/>
            <w:r>
              <w:rPr>
                <w:rFonts w:ascii="Arial" w:hAnsi="Arial"/>
                <w:b w:val="0"/>
                <w:color w:val="263746"/>
                <w:sz w:val="16"/>
              </w:rPr>
              <w:t>Update whenever source, schema or transformation rules change.</w:t>
            </w:r>
          </w:p>
        </w:tc>
      </w:tr>
    </w:tbl>
    <w:p>
      <w:pPr>
        <w:spacing w:after="20"/>
      </w:pPr>
    </w:p>
    <w:p>
      <w:r>
        <w:br w:type="page"/>
      </w:r>
    </w:p>
    <w:p>
      <w:pPr>
        <w:pStyle w:val="Heading1"/>
        <w:keepNext/>
      </w:pPr>
      <w:r>
        <w:t>5. Proposed Data Dictionary</w:t>
      </w:r>
    </w:p>
    <w:p>
      <w:pPr>
        <w:widowControl/>
      </w:pPr>
      <w:r>
        <w:t>This is a candidate schema, not a claim that every field exists in every public source. Preserve source field names in the raw layer and map them to these standardized names only after their meaning and units have been confirmed.</w:t>
      </w:r>
    </w:p>
    <w:tbl>
      <w:tblPr>
        <w:tblStyle w:val="TableGrid"/>
        <w:tblW w:type="auto" w:w="0"/>
        <w:jc w:val="center"/>
        <w:tblLayout w:type="fixed"/>
        <w:tblLook w:firstColumn="1" w:firstRow="1" w:lastColumn="0" w:lastRow="0" w:noHBand="0" w:noVBand="1" w:val="04A0"/>
      </w:tblPr>
      <w:tblGrid>
        <w:gridCol w:w="3250"/>
        <w:gridCol w:w="3250"/>
        <w:gridCol w:w="3250"/>
      </w:tblGrid>
      <w:tr>
        <w:trPr>
          <w:tblHeader w:val="true"/>
          <w:cantSplit/>
        </w:trPr>
        <w:tc>
          <w:tcPr>
            <w:tcW w:type="dxa" w:w="2347"/>
            <w:vAlign w:val="center"/>
            <w:tcMar>
              <w:top w:w="90" w:type="dxa"/>
              <w:start w:w="100" w:type="dxa"/>
              <w:bottom w:w="90" w:type="dxa"/>
              <w:end w:w="100" w:type="dxa"/>
            </w:tcMar>
            <w:shd w:fill="18324A"/>
          </w:tcPr>
          <w:p>
            <w:pPr>
              <w:spacing w:after="0" w:before="0" w:line="250" w:lineRule="auto"/>
            </w:pPr>
            <w:r/>
            <w:r>
              <w:rPr>
                <w:rFonts w:ascii="Arial" w:hAnsi="Arial"/>
                <w:b/>
                <w:color w:val="FFFFFF"/>
                <w:sz w:val="15"/>
              </w:rPr>
              <w:t>Field</w:t>
            </w:r>
          </w:p>
        </w:tc>
        <w:tc>
          <w:tcPr>
            <w:tcW w:type="dxa" w:w="1987"/>
            <w:vAlign w:val="center"/>
            <w:tcMar>
              <w:top w:w="90" w:type="dxa"/>
              <w:start w:w="100" w:type="dxa"/>
              <w:bottom w:w="90" w:type="dxa"/>
              <w:end w:w="100" w:type="dxa"/>
            </w:tcMar>
            <w:shd w:fill="18324A"/>
          </w:tcPr>
          <w:p>
            <w:pPr>
              <w:spacing w:after="0" w:before="0" w:line="250" w:lineRule="auto"/>
            </w:pPr>
            <w:r/>
            <w:r>
              <w:rPr>
                <w:rFonts w:ascii="Arial" w:hAnsi="Arial"/>
                <w:b/>
                <w:color w:val="FFFFFF"/>
                <w:sz w:val="15"/>
              </w:rPr>
              <w:t>Type / unit</w:t>
            </w:r>
          </w:p>
        </w:tc>
        <w:tc>
          <w:tcPr>
            <w:tcW w:type="dxa" w:w="5170"/>
            <w:vAlign w:val="center"/>
            <w:tcMar>
              <w:top w:w="90" w:type="dxa"/>
              <w:start w:w="100" w:type="dxa"/>
              <w:bottom w:w="90" w:type="dxa"/>
              <w:end w:w="100" w:type="dxa"/>
            </w:tcMar>
            <w:shd w:fill="18324A"/>
          </w:tcPr>
          <w:p>
            <w:pPr>
              <w:spacing w:after="0" w:before="0" w:line="250" w:lineRule="auto"/>
            </w:pPr>
            <w:r/>
            <w:r>
              <w:rPr>
                <w:rFonts w:ascii="Arial" w:hAnsi="Arial"/>
                <w:b/>
                <w:color w:val="FFFFFF"/>
                <w:sz w:val="15"/>
              </w:rPr>
              <w:t>Definition and quality requirement</w:t>
            </w:r>
          </w:p>
        </w:tc>
      </w:tr>
      <w:tr>
        <w:trPr>
          <w:cantSplit/>
        </w:trPr>
        <w:tc>
          <w:tcPr>
            <w:tcW w:type="dxa" w:w="2347"/>
            <w:vAlign w:val="center"/>
            <w:tcMar>
              <w:top w:w="90" w:type="dxa"/>
              <w:start w:w="100" w:type="dxa"/>
              <w:bottom w:w="90" w:type="dxa"/>
              <w:end w:w="100" w:type="dxa"/>
            </w:tcMar>
          </w:tcPr>
          <w:p>
            <w:pPr>
              <w:spacing w:after="0" w:before="0" w:line="250" w:lineRule="auto"/>
            </w:pPr>
            <w:r/>
            <w:r>
              <w:rPr>
                <w:rFonts w:ascii="Arial" w:hAnsi="Arial"/>
                <w:b w:val="0"/>
                <w:color w:val="263746"/>
                <w:sz w:val="15"/>
              </w:rPr>
              <w:t>project_id</w:t>
            </w:r>
          </w:p>
        </w:tc>
        <w:tc>
          <w:tcPr>
            <w:tcW w:type="dxa" w:w="1987"/>
            <w:vAlign w:val="center"/>
            <w:tcMar>
              <w:top w:w="90" w:type="dxa"/>
              <w:start w:w="100" w:type="dxa"/>
              <w:bottom w:w="90" w:type="dxa"/>
              <w:end w:w="100" w:type="dxa"/>
            </w:tcMar>
          </w:tcPr>
          <w:p>
            <w:pPr>
              <w:spacing w:after="0" w:before="0" w:line="250" w:lineRule="auto"/>
            </w:pPr>
            <w:r/>
            <w:r>
              <w:rPr>
                <w:rFonts w:ascii="Arial" w:hAnsi="Arial"/>
                <w:b w:val="0"/>
                <w:color w:val="263746"/>
                <w:sz w:val="15"/>
              </w:rPr>
              <w:t>Text, key</w:t>
            </w:r>
          </w:p>
        </w:tc>
        <w:tc>
          <w:tcPr>
            <w:tcW w:type="dxa" w:w="5170"/>
            <w:vAlign w:val="center"/>
            <w:tcMar>
              <w:top w:w="90" w:type="dxa"/>
              <w:start w:w="100" w:type="dxa"/>
              <w:bottom w:w="90" w:type="dxa"/>
              <w:end w:w="100" w:type="dxa"/>
            </w:tcMar>
          </w:tcPr>
          <w:p>
            <w:pPr>
              <w:spacing w:after="0" w:before="0" w:line="250" w:lineRule="auto"/>
            </w:pPr>
            <w:r/>
            <w:r>
              <w:rPr>
                <w:rFonts w:ascii="Arial" w:hAnsi="Arial"/>
                <w:b w:val="0"/>
                <w:color w:val="263746"/>
                <w:sz w:val="15"/>
              </w:rPr>
              <w:t>Stable, unique ID for one project entity; duplicates require investigation.</w:t>
            </w:r>
          </w:p>
        </w:tc>
      </w:tr>
      <w:tr>
        <w:trPr>
          <w:cantSplit/>
        </w:trPr>
        <w:tc>
          <w:tcPr>
            <w:tcW w:type="dxa" w:w="2347"/>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project_name</w:t>
            </w:r>
          </w:p>
        </w:tc>
        <w:tc>
          <w:tcPr>
            <w:tcW w:type="dxa" w:w="1987"/>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Text</w:t>
            </w:r>
          </w:p>
        </w:tc>
        <w:tc>
          <w:tcPr>
            <w:tcW w:type="dxa" w:w="5170"/>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Project label; redact or pseudonymize where contract/confidentiality requires.</w:t>
            </w:r>
          </w:p>
        </w:tc>
      </w:tr>
      <w:tr>
        <w:trPr>
          <w:cantSplit/>
        </w:trPr>
        <w:tc>
          <w:tcPr>
            <w:tcW w:type="dxa" w:w="2347"/>
            <w:vAlign w:val="center"/>
            <w:tcMar>
              <w:top w:w="90" w:type="dxa"/>
              <w:start w:w="100" w:type="dxa"/>
              <w:bottom w:w="90" w:type="dxa"/>
              <w:end w:w="100" w:type="dxa"/>
            </w:tcMar>
          </w:tcPr>
          <w:p>
            <w:pPr>
              <w:spacing w:after="0" w:before="0" w:line="250" w:lineRule="auto"/>
            </w:pPr>
            <w:r/>
            <w:r>
              <w:rPr>
                <w:rFonts w:ascii="Arial" w:hAnsi="Arial"/>
                <w:b w:val="0"/>
                <w:color w:val="263746"/>
                <w:sz w:val="15"/>
              </w:rPr>
              <w:t>project_type</w:t>
            </w:r>
          </w:p>
        </w:tc>
        <w:tc>
          <w:tcPr>
            <w:tcW w:type="dxa" w:w="1987"/>
            <w:vAlign w:val="center"/>
            <w:tcMar>
              <w:top w:w="90" w:type="dxa"/>
              <w:start w:w="100" w:type="dxa"/>
              <w:bottom w:w="90" w:type="dxa"/>
              <w:end w:w="100" w:type="dxa"/>
            </w:tcMar>
          </w:tcPr>
          <w:p>
            <w:pPr>
              <w:spacing w:after="0" w:before="0" w:line="250" w:lineRule="auto"/>
            </w:pPr>
            <w:r/>
            <w:r>
              <w:rPr>
                <w:rFonts w:ascii="Arial" w:hAnsi="Arial"/>
                <w:b w:val="0"/>
                <w:color w:val="263746"/>
                <w:sz w:val="15"/>
              </w:rPr>
              <w:t>Category</w:t>
            </w:r>
          </w:p>
        </w:tc>
        <w:tc>
          <w:tcPr>
            <w:tcW w:type="dxa" w:w="5170"/>
            <w:vAlign w:val="center"/>
            <w:tcMar>
              <w:top w:w="90" w:type="dxa"/>
              <w:start w:w="100" w:type="dxa"/>
              <w:bottom w:w="90" w:type="dxa"/>
              <w:end w:w="100" w:type="dxa"/>
            </w:tcMar>
          </w:tcPr>
          <w:p>
            <w:pPr>
              <w:spacing w:after="0" w:before="0" w:line="250" w:lineRule="auto"/>
            </w:pPr>
            <w:r/>
            <w:r>
              <w:rPr>
                <w:rFonts w:ascii="Arial" w:hAnsi="Arial"/>
                <w:b w:val="0"/>
                <w:color w:val="263746"/>
                <w:sz w:val="15"/>
              </w:rPr>
              <w:t>Building, road, school, hospital, water infrastructure, etc.; controlled list.</w:t>
            </w:r>
          </w:p>
        </w:tc>
      </w:tr>
      <w:tr>
        <w:trPr>
          <w:cantSplit/>
        </w:trPr>
        <w:tc>
          <w:tcPr>
            <w:tcW w:type="dxa" w:w="2347"/>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state</w:t>
            </w:r>
          </w:p>
        </w:tc>
        <w:tc>
          <w:tcPr>
            <w:tcW w:type="dxa" w:w="1987"/>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Category</w:t>
            </w:r>
          </w:p>
        </w:tc>
        <w:tc>
          <w:tcPr>
            <w:tcW w:type="dxa" w:w="5170"/>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Administrative region; standardized spelling and allowed values.</w:t>
            </w:r>
          </w:p>
        </w:tc>
      </w:tr>
      <w:tr>
        <w:trPr>
          <w:cantSplit/>
        </w:trPr>
        <w:tc>
          <w:tcPr>
            <w:tcW w:type="dxa" w:w="2347"/>
            <w:vAlign w:val="center"/>
            <w:tcMar>
              <w:top w:w="90" w:type="dxa"/>
              <w:start w:w="100" w:type="dxa"/>
              <w:bottom w:w="90" w:type="dxa"/>
              <w:end w:w="100" w:type="dxa"/>
            </w:tcMar>
          </w:tcPr>
          <w:p>
            <w:pPr>
              <w:spacing w:after="0" w:before="0" w:line="250" w:lineRule="auto"/>
            </w:pPr>
            <w:r/>
            <w:r>
              <w:rPr>
                <w:rFonts w:ascii="Arial" w:hAnsi="Arial"/>
                <w:b w:val="0"/>
                <w:color w:val="263746"/>
                <w:sz w:val="15"/>
              </w:rPr>
              <w:t>city</w:t>
            </w:r>
          </w:p>
        </w:tc>
        <w:tc>
          <w:tcPr>
            <w:tcW w:type="dxa" w:w="1987"/>
            <w:vAlign w:val="center"/>
            <w:tcMar>
              <w:top w:w="90" w:type="dxa"/>
              <w:start w:w="100" w:type="dxa"/>
              <w:bottom w:w="90" w:type="dxa"/>
              <w:end w:w="100" w:type="dxa"/>
            </w:tcMar>
          </w:tcPr>
          <w:p>
            <w:pPr>
              <w:spacing w:after="0" w:before="0" w:line="250" w:lineRule="auto"/>
            </w:pPr>
            <w:r/>
            <w:r>
              <w:rPr>
                <w:rFonts w:ascii="Arial" w:hAnsi="Arial"/>
                <w:b w:val="0"/>
                <w:color w:val="263746"/>
                <w:sz w:val="15"/>
              </w:rPr>
              <w:t>Category</w:t>
            </w:r>
          </w:p>
        </w:tc>
        <w:tc>
          <w:tcPr>
            <w:tcW w:type="dxa" w:w="5170"/>
            <w:vAlign w:val="center"/>
            <w:tcMar>
              <w:top w:w="90" w:type="dxa"/>
              <w:start w:w="100" w:type="dxa"/>
              <w:bottom w:w="90" w:type="dxa"/>
              <w:end w:w="100" w:type="dxa"/>
            </w:tcMar>
          </w:tcPr>
          <w:p>
            <w:pPr>
              <w:spacing w:after="0" w:before="0" w:line="250" w:lineRule="auto"/>
            </w:pPr>
            <w:r/>
            <w:r>
              <w:rPr>
                <w:rFonts w:ascii="Arial" w:hAnsi="Arial"/>
                <w:b w:val="0"/>
                <w:color w:val="263746"/>
                <w:sz w:val="15"/>
              </w:rPr>
              <w:t>City/site location; source specificity may vary.</w:t>
            </w:r>
          </w:p>
        </w:tc>
      </w:tr>
      <w:tr>
        <w:trPr>
          <w:cantSplit/>
        </w:trPr>
        <w:tc>
          <w:tcPr>
            <w:tcW w:type="dxa" w:w="2347"/>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planned_start_date</w:t>
            </w:r>
          </w:p>
        </w:tc>
        <w:tc>
          <w:tcPr>
            <w:tcW w:type="dxa" w:w="1987"/>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Date</w:t>
            </w:r>
          </w:p>
        </w:tc>
        <w:tc>
          <w:tcPr>
            <w:tcW w:type="dxa" w:w="5170"/>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Approved baseline start; keep revision history.</w:t>
            </w:r>
          </w:p>
        </w:tc>
      </w:tr>
      <w:tr>
        <w:trPr>
          <w:cantSplit/>
        </w:trPr>
        <w:tc>
          <w:tcPr>
            <w:tcW w:type="dxa" w:w="2347"/>
            <w:vAlign w:val="center"/>
            <w:tcMar>
              <w:top w:w="90" w:type="dxa"/>
              <w:start w:w="100" w:type="dxa"/>
              <w:bottom w:w="90" w:type="dxa"/>
              <w:end w:w="100" w:type="dxa"/>
            </w:tcMar>
          </w:tcPr>
          <w:p>
            <w:pPr>
              <w:spacing w:after="0" w:before="0" w:line="250" w:lineRule="auto"/>
            </w:pPr>
            <w:r/>
            <w:r>
              <w:rPr>
                <w:rFonts w:ascii="Arial" w:hAnsi="Arial"/>
                <w:b w:val="0"/>
                <w:color w:val="263746"/>
                <w:sz w:val="15"/>
              </w:rPr>
              <w:t>planned_end_date</w:t>
            </w:r>
          </w:p>
        </w:tc>
        <w:tc>
          <w:tcPr>
            <w:tcW w:type="dxa" w:w="1987"/>
            <w:vAlign w:val="center"/>
            <w:tcMar>
              <w:top w:w="90" w:type="dxa"/>
              <w:start w:w="100" w:type="dxa"/>
              <w:bottom w:w="90" w:type="dxa"/>
              <w:end w:w="100" w:type="dxa"/>
            </w:tcMar>
          </w:tcPr>
          <w:p>
            <w:pPr>
              <w:spacing w:after="0" w:before="0" w:line="250" w:lineRule="auto"/>
            </w:pPr>
            <w:r/>
            <w:r>
              <w:rPr>
                <w:rFonts w:ascii="Arial" w:hAnsi="Arial"/>
                <w:b w:val="0"/>
                <w:color w:val="263746"/>
                <w:sz w:val="15"/>
              </w:rPr>
              <w:t>Date</w:t>
            </w:r>
          </w:p>
        </w:tc>
        <w:tc>
          <w:tcPr>
            <w:tcW w:type="dxa" w:w="5170"/>
            <w:vAlign w:val="center"/>
            <w:tcMar>
              <w:top w:w="90" w:type="dxa"/>
              <w:start w:w="100" w:type="dxa"/>
              <w:bottom w:w="90" w:type="dxa"/>
              <w:end w:w="100" w:type="dxa"/>
            </w:tcMar>
          </w:tcPr>
          <w:p>
            <w:pPr>
              <w:spacing w:after="0" w:before="0" w:line="250" w:lineRule="auto"/>
            </w:pPr>
            <w:r/>
            <w:r>
              <w:rPr>
                <w:rFonts w:ascii="Arial" w:hAnsi="Arial"/>
                <w:b w:val="0"/>
                <w:color w:val="263746"/>
                <w:sz w:val="15"/>
              </w:rPr>
              <w:t>Approved baseline completion date; must not precede planned start.</w:t>
            </w:r>
          </w:p>
        </w:tc>
      </w:tr>
      <w:tr>
        <w:trPr>
          <w:cantSplit/>
        </w:trPr>
        <w:tc>
          <w:tcPr>
            <w:tcW w:type="dxa" w:w="2347"/>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actual_start_date</w:t>
            </w:r>
          </w:p>
        </w:tc>
        <w:tc>
          <w:tcPr>
            <w:tcW w:type="dxa" w:w="1987"/>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Date</w:t>
            </w:r>
          </w:p>
        </w:tc>
        <w:tc>
          <w:tcPr>
            <w:tcW w:type="dxa" w:w="5170"/>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Actual start milestone; may be blank before work starts.</w:t>
            </w:r>
          </w:p>
        </w:tc>
      </w:tr>
      <w:tr>
        <w:trPr>
          <w:cantSplit/>
        </w:trPr>
        <w:tc>
          <w:tcPr>
            <w:tcW w:type="dxa" w:w="2347"/>
            <w:vAlign w:val="center"/>
            <w:tcMar>
              <w:top w:w="90" w:type="dxa"/>
              <w:start w:w="100" w:type="dxa"/>
              <w:bottom w:w="90" w:type="dxa"/>
              <w:end w:w="100" w:type="dxa"/>
            </w:tcMar>
          </w:tcPr>
          <w:p>
            <w:pPr>
              <w:spacing w:after="0" w:before="0" w:line="250" w:lineRule="auto"/>
            </w:pPr>
            <w:r/>
            <w:r>
              <w:rPr>
                <w:rFonts w:ascii="Arial" w:hAnsi="Arial"/>
                <w:b w:val="0"/>
                <w:color w:val="263746"/>
                <w:sz w:val="15"/>
              </w:rPr>
              <w:t>forecast_completion_date</w:t>
            </w:r>
          </w:p>
        </w:tc>
        <w:tc>
          <w:tcPr>
            <w:tcW w:type="dxa" w:w="1987"/>
            <w:vAlign w:val="center"/>
            <w:tcMar>
              <w:top w:w="90" w:type="dxa"/>
              <w:start w:w="100" w:type="dxa"/>
              <w:bottom w:w="90" w:type="dxa"/>
              <w:end w:w="100" w:type="dxa"/>
            </w:tcMar>
          </w:tcPr>
          <w:p>
            <w:pPr>
              <w:spacing w:after="0" w:before="0" w:line="250" w:lineRule="auto"/>
            </w:pPr>
            <w:r/>
            <w:r>
              <w:rPr>
                <w:rFonts w:ascii="Arial" w:hAnsi="Arial"/>
                <w:b w:val="0"/>
                <w:color w:val="263746"/>
                <w:sz w:val="15"/>
              </w:rPr>
              <w:t>Date</w:t>
            </w:r>
          </w:p>
        </w:tc>
        <w:tc>
          <w:tcPr>
            <w:tcW w:type="dxa" w:w="5170"/>
            <w:vAlign w:val="center"/>
            <w:tcMar>
              <w:top w:w="90" w:type="dxa"/>
              <w:start w:w="100" w:type="dxa"/>
              <w:bottom w:w="90" w:type="dxa"/>
              <w:end w:w="100" w:type="dxa"/>
            </w:tcMar>
          </w:tcPr>
          <w:p>
            <w:pPr>
              <w:spacing w:after="0" w:before="0" w:line="250" w:lineRule="auto"/>
            </w:pPr>
            <w:r/>
            <w:r>
              <w:rPr>
                <w:rFonts w:ascii="Arial" w:hAnsi="Arial"/>
                <w:b w:val="0"/>
                <w:color w:val="263746"/>
                <w:sz w:val="15"/>
              </w:rPr>
              <w:t>Latest forecast available at the snapshot date, not necessarily actual completion.</w:t>
            </w:r>
          </w:p>
        </w:tc>
      </w:tr>
      <w:tr>
        <w:trPr>
          <w:cantSplit/>
        </w:trPr>
        <w:tc>
          <w:tcPr>
            <w:tcW w:type="dxa" w:w="2347"/>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baseline_budget_inr_lakh</w:t>
            </w:r>
          </w:p>
        </w:tc>
        <w:tc>
          <w:tcPr>
            <w:tcW w:type="dxa" w:w="1987"/>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Numeric (INR lakh)</w:t>
            </w:r>
          </w:p>
        </w:tc>
        <w:tc>
          <w:tcPr>
            <w:tcW w:type="dxa" w:w="5170"/>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Approved estimate/baseline; store currency, version and effective date.</w:t>
            </w:r>
          </w:p>
        </w:tc>
      </w:tr>
      <w:tr>
        <w:trPr>
          <w:cantSplit/>
        </w:trPr>
        <w:tc>
          <w:tcPr>
            <w:tcW w:type="dxa" w:w="2347"/>
            <w:vAlign w:val="center"/>
            <w:tcMar>
              <w:top w:w="90" w:type="dxa"/>
              <w:start w:w="100" w:type="dxa"/>
              <w:bottom w:w="90" w:type="dxa"/>
              <w:end w:w="100" w:type="dxa"/>
            </w:tcMar>
          </w:tcPr>
          <w:p>
            <w:pPr>
              <w:spacing w:after="0" w:before="0" w:line="250" w:lineRule="auto"/>
            </w:pPr>
            <w:r/>
            <w:r>
              <w:rPr>
                <w:rFonts w:ascii="Arial" w:hAnsi="Arial"/>
                <w:b w:val="0"/>
                <w:color w:val="263746"/>
                <w:sz w:val="15"/>
              </w:rPr>
              <w:t>actual_cost_to_date_inr_lakh</w:t>
            </w:r>
          </w:p>
        </w:tc>
        <w:tc>
          <w:tcPr>
            <w:tcW w:type="dxa" w:w="1987"/>
            <w:vAlign w:val="center"/>
            <w:tcMar>
              <w:top w:w="90" w:type="dxa"/>
              <w:start w:w="100" w:type="dxa"/>
              <w:bottom w:w="90" w:type="dxa"/>
              <w:end w:w="100" w:type="dxa"/>
            </w:tcMar>
          </w:tcPr>
          <w:p>
            <w:pPr>
              <w:spacing w:after="0" w:before="0" w:line="250" w:lineRule="auto"/>
            </w:pPr>
            <w:r/>
            <w:r>
              <w:rPr>
                <w:rFonts w:ascii="Arial" w:hAnsi="Arial"/>
                <w:b w:val="0"/>
                <w:color w:val="263746"/>
                <w:sz w:val="15"/>
              </w:rPr>
              <w:t>Numeric (INR lakh)</w:t>
            </w:r>
          </w:p>
        </w:tc>
        <w:tc>
          <w:tcPr>
            <w:tcW w:type="dxa" w:w="5170"/>
            <w:vAlign w:val="center"/>
            <w:tcMar>
              <w:top w:w="90" w:type="dxa"/>
              <w:start w:w="100" w:type="dxa"/>
              <w:bottom w:w="90" w:type="dxa"/>
              <w:end w:w="100" w:type="dxa"/>
            </w:tcMar>
          </w:tcPr>
          <w:p>
            <w:pPr>
              <w:spacing w:after="0" w:before="0" w:line="250" w:lineRule="auto"/>
            </w:pPr>
            <w:r/>
            <w:r>
              <w:rPr>
                <w:rFonts w:ascii="Arial" w:hAnsi="Arial"/>
                <w:b w:val="0"/>
                <w:color w:val="263746"/>
                <w:sz w:val="15"/>
              </w:rPr>
              <w:t>Cost incurred by snapshot date; not interchangeable with forecast-at-completion.</w:t>
            </w:r>
          </w:p>
        </w:tc>
      </w:tr>
      <w:tr>
        <w:trPr>
          <w:cantSplit/>
        </w:trPr>
        <w:tc>
          <w:tcPr>
            <w:tcW w:type="dxa" w:w="2347"/>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planned_duration_days</w:t>
            </w:r>
          </w:p>
        </w:tc>
        <w:tc>
          <w:tcPr>
            <w:tcW w:type="dxa" w:w="1987"/>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Integer (days)</w:t>
            </w:r>
          </w:p>
        </w:tc>
        <w:tc>
          <w:tcPr>
            <w:tcW w:type="dxa" w:w="5170"/>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Duration calculated or supplied under an agreed calendar convention.</w:t>
            </w:r>
          </w:p>
        </w:tc>
      </w:tr>
      <w:tr>
        <w:trPr>
          <w:cantSplit/>
        </w:trPr>
        <w:tc>
          <w:tcPr>
            <w:tcW w:type="dxa" w:w="2347"/>
            <w:vAlign w:val="center"/>
            <w:tcMar>
              <w:top w:w="90" w:type="dxa"/>
              <w:start w:w="100" w:type="dxa"/>
              <w:bottom w:w="90" w:type="dxa"/>
              <w:end w:w="100" w:type="dxa"/>
            </w:tcMar>
          </w:tcPr>
          <w:p>
            <w:pPr>
              <w:spacing w:after="0" w:before="0" w:line="250" w:lineRule="auto"/>
            </w:pPr>
            <w:r/>
            <w:r>
              <w:rPr>
                <w:rFonts w:ascii="Arial" w:hAnsi="Arial"/>
                <w:b w:val="0"/>
                <w:color w:val="263746"/>
                <w:sz w:val="15"/>
              </w:rPr>
              <w:t>elapsed_duration_days</w:t>
            </w:r>
          </w:p>
        </w:tc>
        <w:tc>
          <w:tcPr>
            <w:tcW w:type="dxa" w:w="1987"/>
            <w:vAlign w:val="center"/>
            <w:tcMar>
              <w:top w:w="90" w:type="dxa"/>
              <w:start w:w="100" w:type="dxa"/>
              <w:bottom w:w="90" w:type="dxa"/>
              <w:end w:w="100" w:type="dxa"/>
            </w:tcMar>
          </w:tcPr>
          <w:p>
            <w:pPr>
              <w:spacing w:after="0" w:before="0" w:line="250" w:lineRule="auto"/>
            </w:pPr>
            <w:r/>
            <w:r>
              <w:rPr>
                <w:rFonts w:ascii="Arial" w:hAnsi="Arial"/>
                <w:b w:val="0"/>
                <w:color w:val="263746"/>
                <w:sz w:val="15"/>
              </w:rPr>
              <w:t>Integer (days)</w:t>
            </w:r>
          </w:p>
        </w:tc>
        <w:tc>
          <w:tcPr>
            <w:tcW w:type="dxa" w:w="5170"/>
            <w:vAlign w:val="center"/>
            <w:tcMar>
              <w:top w:w="90" w:type="dxa"/>
              <w:start w:w="100" w:type="dxa"/>
              <w:bottom w:w="90" w:type="dxa"/>
              <w:end w:w="100" w:type="dxa"/>
            </w:tcMar>
          </w:tcPr>
          <w:p>
            <w:pPr>
              <w:spacing w:after="0" w:before="0" w:line="250" w:lineRule="auto"/>
            </w:pPr>
            <w:r/>
            <w:r>
              <w:rPr>
                <w:rFonts w:ascii="Arial" w:hAnsi="Arial"/>
                <w:b w:val="0"/>
                <w:color w:val="263746"/>
                <w:sz w:val="15"/>
              </w:rPr>
              <w:t>Elapsed days from agreed start to snapshot; clarify working vs calendar days.</w:t>
            </w:r>
          </w:p>
        </w:tc>
      </w:tr>
    </w:tbl>
    <w:p>
      <w:pPr>
        <w:spacing w:after="20"/>
      </w:pPr>
    </w:p>
    <w:p>
      <w:r>
        <w:br w:type="page"/>
      </w:r>
    </w:p>
    <w:p>
      <w:pPr>
        <w:pStyle w:val="Heading1"/>
        <w:keepNext/>
      </w:pPr>
      <w:r>
        <w:t>5. Proposed Data Dictionary (continued)</w:t>
      </w:r>
    </w:p>
    <w:tbl>
      <w:tblPr>
        <w:tblStyle w:val="TableGrid"/>
        <w:tblW w:type="auto" w:w="0"/>
        <w:jc w:val="center"/>
        <w:tblLayout w:type="fixed"/>
        <w:tblLook w:firstColumn="1" w:firstRow="1" w:lastColumn="0" w:lastRow="0" w:noHBand="0" w:noVBand="1" w:val="04A0"/>
      </w:tblPr>
      <w:tblGrid>
        <w:gridCol w:w="3250"/>
        <w:gridCol w:w="3250"/>
        <w:gridCol w:w="3250"/>
      </w:tblGrid>
      <w:tr>
        <w:trPr>
          <w:tblHeader w:val="true"/>
          <w:cantSplit/>
        </w:trPr>
        <w:tc>
          <w:tcPr>
            <w:tcW w:type="dxa" w:w="2347"/>
            <w:vAlign w:val="center"/>
            <w:tcMar>
              <w:top w:w="90" w:type="dxa"/>
              <w:start w:w="100" w:type="dxa"/>
              <w:bottom w:w="90" w:type="dxa"/>
              <w:end w:w="100" w:type="dxa"/>
            </w:tcMar>
            <w:shd w:fill="18324A"/>
          </w:tcPr>
          <w:p>
            <w:pPr>
              <w:spacing w:after="0" w:before="0" w:line="250" w:lineRule="auto"/>
            </w:pPr>
            <w:r/>
            <w:r>
              <w:rPr>
                <w:rFonts w:ascii="Arial" w:hAnsi="Arial"/>
                <w:b/>
                <w:color w:val="FFFFFF"/>
                <w:sz w:val="15"/>
              </w:rPr>
              <w:t>Field</w:t>
            </w:r>
          </w:p>
        </w:tc>
        <w:tc>
          <w:tcPr>
            <w:tcW w:type="dxa" w:w="1987"/>
            <w:vAlign w:val="center"/>
            <w:tcMar>
              <w:top w:w="90" w:type="dxa"/>
              <w:start w:w="100" w:type="dxa"/>
              <w:bottom w:w="90" w:type="dxa"/>
              <w:end w:w="100" w:type="dxa"/>
            </w:tcMar>
            <w:shd w:fill="18324A"/>
          </w:tcPr>
          <w:p>
            <w:pPr>
              <w:spacing w:after="0" w:before="0" w:line="250" w:lineRule="auto"/>
            </w:pPr>
            <w:r/>
            <w:r>
              <w:rPr>
                <w:rFonts w:ascii="Arial" w:hAnsi="Arial"/>
                <w:b/>
                <w:color w:val="FFFFFF"/>
                <w:sz w:val="15"/>
              </w:rPr>
              <w:t>Type / unit</w:t>
            </w:r>
          </w:p>
        </w:tc>
        <w:tc>
          <w:tcPr>
            <w:tcW w:type="dxa" w:w="5170"/>
            <w:vAlign w:val="center"/>
            <w:tcMar>
              <w:top w:w="90" w:type="dxa"/>
              <w:start w:w="100" w:type="dxa"/>
              <w:bottom w:w="90" w:type="dxa"/>
              <w:end w:w="100" w:type="dxa"/>
            </w:tcMar>
            <w:shd w:fill="18324A"/>
          </w:tcPr>
          <w:p>
            <w:pPr>
              <w:spacing w:after="0" w:before="0" w:line="250" w:lineRule="auto"/>
            </w:pPr>
            <w:r/>
            <w:r>
              <w:rPr>
                <w:rFonts w:ascii="Arial" w:hAnsi="Arial"/>
                <w:b/>
                <w:color w:val="FFFFFF"/>
                <w:sz w:val="15"/>
              </w:rPr>
              <w:t>Definition and quality requirement</w:t>
            </w:r>
          </w:p>
        </w:tc>
      </w:tr>
      <w:tr>
        <w:trPr>
          <w:cantSplit/>
        </w:trPr>
        <w:tc>
          <w:tcPr>
            <w:tcW w:type="dxa" w:w="2347"/>
            <w:vAlign w:val="center"/>
            <w:tcMar>
              <w:top w:w="90" w:type="dxa"/>
              <w:start w:w="100" w:type="dxa"/>
              <w:bottom w:w="90" w:type="dxa"/>
              <w:end w:w="100" w:type="dxa"/>
            </w:tcMar>
          </w:tcPr>
          <w:p>
            <w:pPr>
              <w:spacing w:after="0" w:before="0" w:line="250" w:lineRule="auto"/>
            </w:pPr>
            <w:r/>
            <w:r>
              <w:rPr>
                <w:rFonts w:ascii="Arial" w:hAnsi="Arial"/>
                <w:b w:val="0"/>
                <w:color w:val="263746"/>
                <w:sz w:val="15"/>
              </w:rPr>
              <w:t>physical_completion_pct</w:t>
            </w:r>
          </w:p>
        </w:tc>
        <w:tc>
          <w:tcPr>
            <w:tcW w:type="dxa" w:w="1987"/>
            <w:vAlign w:val="center"/>
            <w:tcMar>
              <w:top w:w="90" w:type="dxa"/>
              <w:start w:w="100" w:type="dxa"/>
              <w:bottom w:w="90" w:type="dxa"/>
              <w:end w:w="100" w:type="dxa"/>
            </w:tcMar>
          </w:tcPr>
          <w:p>
            <w:pPr>
              <w:spacing w:after="0" w:before="0" w:line="250" w:lineRule="auto"/>
            </w:pPr>
            <w:r/>
            <w:r>
              <w:rPr>
                <w:rFonts w:ascii="Arial" w:hAnsi="Arial"/>
                <w:b w:val="0"/>
                <w:color w:val="263746"/>
                <w:sz w:val="15"/>
              </w:rPr>
              <w:t>Numeric (0–100)</w:t>
            </w:r>
          </w:p>
        </w:tc>
        <w:tc>
          <w:tcPr>
            <w:tcW w:type="dxa" w:w="5170"/>
            <w:vAlign w:val="center"/>
            <w:tcMar>
              <w:top w:w="90" w:type="dxa"/>
              <w:start w:w="100" w:type="dxa"/>
              <w:bottom w:w="90" w:type="dxa"/>
              <w:end w:w="100" w:type="dxa"/>
            </w:tcMar>
          </w:tcPr>
          <w:p>
            <w:pPr>
              <w:spacing w:after="0" w:before="0" w:line="250" w:lineRule="auto"/>
            </w:pPr>
            <w:r/>
            <w:r>
              <w:rPr>
                <w:rFonts w:ascii="Arial" w:hAnsi="Arial"/>
                <w:b w:val="0"/>
                <w:color w:val="263746"/>
                <w:sz w:val="15"/>
              </w:rPr>
              <w:t>Reported physical progress at snapshot; method and source must be documented.</w:t>
            </w:r>
          </w:p>
        </w:tc>
      </w:tr>
      <w:tr>
        <w:trPr>
          <w:cantSplit/>
        </w:trPr>
        <w:tc>
          <w:tcPr>
            <w:tcW w:type="dxa" w:w="2347"/>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contractor_experience_years</w:t>
            </w:r>
          </w:p>
        </w:tc>
        <w:tc>
          <w:tcPr>
            <w:tcW w:type="dxa" w:w="1987"/>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Numeric (years)</w:t>
            </w:r>
          </w:p>
        </w:tc>
        <w:tc>
          <w:tcPr>
            <w:tcW w:type="dxa" w:w="5170"/>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Experience measure with a defined reference period and verification source.</w:t>
            </w:r>
          </w:p>
        </w:tc>
      </w:tr>
      <w:tr>
        <w:trPr>
          <w:cantSplit/>
        </w:trPr>
        <w:tc>
          <w:tcPr>
            <w:tcW w:type="dxa" w:w="2347"/>
            <w:vAlign w:val="center"/>
            <w:tcMar>
              <w:top w:w="90" w:type="dxa"/>
              <w:start w:w="100" w:type="dxa"/>
              <w:bottom w:w="90" w:type="dxa"/>
              <w:end w:w="100" w:type="dxa"/>
            </w:tcMar>
          </w:tcPr>
          <w:p>
            <w:pPr>
              <w:spacing w:after="0" w:before="0" w:line="250" w:lineRule="auto"/>
            </w:pPr>
            <w:r/>
            <w:r>
              <w:rPr>
                <w:rFonts w:ascii="Arial" w:hAnsi="Arial"/>
                <w:b w:val="0"/>
                <w:color w:val="263746"/>
                <w:sz w:val="15"/>
              </w:rPr>
              <w:t>labor_count</w:t>
            </w:r>
          </w:p>
        </w:tc>
        <w:tc>
          <w:tcPr>
            <w:tcW w:type="dxa" w:w="1987"/>
            <w:vAlign w:val="center"/>
            <w:tcMar>
              <w:top w:w="90" w:type="dxa"/>
              <w:start w:w="100" w:type="dxa"/>
              <w:bottom w:w="90" w:type="dxa"/>
              <w:end w:w="100" w:type="dxa"/>
            </w:tcMar>
          </w:tcPr>
          <w:p>
            <w:pPr>
              <w:spacing w:after="0" w:before="0" w:line="250" w:lineRule="auto"/>
            </w:pPr>
            <w:r/>
            <w:r>
              <w:rPr>
                <w:rFonts w:ascii="Arial" w:hAnsi="Arial"/>
                <w:b w:val="0"/>
                <w:color w:val="263746"/>
                <w:sz w:val="15"/>
              </w:rPr>
              <w:t>Integer (people)</w:t>
            </w:r>
          </w:p>
        </w:tc>
        <w:tc>
          <w:tcPr>
            <w:tcW w:type="dxa" w:w="5170"/>
            <w:vAlign w:val="center"/>
            <w:tcMar>
              <w:top w:w="90" w:type="dxa"/>
              <w:start w:w="100" w:type="dxa"/>
              <w:bottom w:w="90" w:type="dxa"/>
              <w:end w:w="100" w:type="dxa"/>
            </w:tcMar>
          </w:tcPr>
          <w:p>
            <w:pPr>
              <w:spacing w:after="0" w:before="0" w:line="250" w:lineRule="auto"/>
            </w:pPr>
            <w:r/>
            <w:r>
              <w:rPr>
                <w:rFonts w:ascii="Arial" w:hAnsi="Arial"/>
                <w:b w:val="0"/>
                <w:color w:val="263746"/>
                <w:sz w:val="15"/>
              </w:rPr>
              <w:t>Labor/crew count for specified date or reporting period; not a generic cumulative count.</w:t>
            </w:r>
          </w:p>
        </w:tc>
      </w:tr>
      <w:tr>
        <w:trPr>
          <w:cantSplit/>
        </w:trPr>
        <w:tc>
          <w:tcPr>
            <w:tcW w:type="dxa" w:w="2347"/>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equipment_hours_to_date</w:t>
            </w:r>
          </w:p>
        </w:tc>
        <w:tc>
          <w:tcPr>
            <w:tcW w:type="dxa" w:w="1987"/>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Numeric (hours)</w:t>
            </w:r>
          </w:p>
        </w:tc>
        <w:tc>
          <w:tcPr>
            <w:tcW w:type="dxa" w:w="5170"/>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Equipment-hours accumulated to snapshot; define included equipment and downtime.</w:t>
            </w:r>
          </w:p>
        </w:tc>
      </w:tr>
      <w:tr>
        <w:trPr>
          <w:cantSplit/>
        </w:trPr>
        <w:tc>
          <w:tcPr>
            <w:tcW w:type="dxa" w:w="2347"/>
            <w:vAlign w:val="center"/>
            <w:tcMar>
              <w:top w:w="90" w:type="dxa"/>
              <w:start w:w="100" w:type="dxa"/>
              <w:bottom w:w="90" w:type="dxa"/>
              <w:end w:w="100" w:type="dxa"/>
            </w:tcMar>
          </w:tcPr>
          <w:p>
            <w:pPr>
              <w:spacing w:after="0" w:before="0" w:line="250" w:lineRule="auto"/>
            </w:pPr>
            <w:r/>
            <w:r>
              <w:rPr>
                <w:rFonts w:ascii="Arial" w:hAnsi="Arial"/>
                <w:b w:val="0"/>
                <w:color w:val="263746"/>
                <w:sz w:val="15"/>
              </w:rPr>
              <w:t>material_cost_index</w:t>
            </w:r>
          </w:p>
        </w:tc>
        <w:tc>
          <w:tcPr>
            <w:tcW w:type="dxa" w:w="1987"/>
            <w:vAlign w:val="center"/>
            <w:tcMar>
              <w:top w:w="90" w:type="dxa"/>
              <w:start w:w="100" w:type="dxa"/>
              <w:bottom w:w="90" w:type="dxa"/>
              <w:end w:w="100" w:type="dxa"/>
            </w:tcMar>
          </w:tcPr>
          <w:p>
            <w:pPr>
              <w:spacing w:after="0" w:before="0" w:line="250" w:lineRule="auto"/>
            </w:pPr>
            <w:r/>
            <w:r>
              <w:rPr>
                <w:rFonts w:ascii="Arial" w:hAnsi="Arial"/>
                <w:b w:val="0"/>
                <w:color w:val="263746"/>
                <w:sz w:val="15"/>
              </w:rPr>
              <w:t>Numeric (index)</w:t>
            </w:r>
          </w:p>
        </w:tc>
        <w:tc>
          <w:tcPr>
            <w:tcW w:type="dxa" w:w="5170"/>
            <w:vAlign w:val="center"/>
            <w:tcMar>
              <w:top w:w="90" w:type="dxa"/>
              <w:start w:w="100" w:type="dxa"/>
              <w:bottom w:w="90" w:type="dxa"/>
              <w:end w:w="100" w:type="dxa"/>
            </w:tcMar>
          </w:tcPr>
          <w:p>
            <w:pPr>
              <w:spacing w:after="0" w:before="0" w:line="250" w:lineRule="auto"/>
            </w:pPr>
            <w:r/>
            <w:r>
              <w:rPr>
                <w:rFonts w:ascii="Arial" w:hAnsi="Arial"/>
                <w:b w:val="0"/>
                <w:color w:val="263746"/>
                <w:sz w:val="15"/>
              </w:rPr>
              <w:t>Index value, base period and commodity coverage must be recorded.</w:t>
            </w:r>
          </w:p>
        </w:tc>
      </w:tr>
      <w:tr>
        <w:trPr>
          <w:cantSplit/>
        </w:trPr>
        <w:tc>
          <w:tcPr>
            <w:tcW w:type="dxa" w:w="2347"/>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procurement_delay_days</w:t>
            </w:r>
          </w:p>
        </w:tc>
        <w:tc>
          <w:tcPr>
            <w:tcW w:type="dxa" w:w="1987"/>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Integer (days)</w:t>
            </w:r>
          </w:p>
        </w:tc>
        <w:tc>
          <w:tcPr>
            <w:tcW w:type="dxa" w:w="5170"/>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Difference between planned and actual procurement milestone under an agreed definition.</w:t>
            </w:r>
          </w:p>
        </w:tc>
      </w:tr>
      <w:tr>
        <w:trPr>
          <w:cantSplit/>
        </w:trPr>
        <w:tc>
          <w:tcPr>
            <w:tcW w:type="dxa" w:w="2347"/>
            <w:vAlign w:val="center"/>
            <w:tcMar>
              <w:top w:w="90" w:type="dxa"/>
              <w:start w:w="100" w:type="dxa"/>
              <w:bottom w:w="90" w:type="dxa"/>
              <w:end w:w="100" w:type="dxa"/>
            </w:tcMar>
          </w:tcPr>
          <w:p>
            <w:pPr>
              <w:spacing w:after="0" w:before="0" w:line="250" w:lineRule="auto"/>
            </w:pPr>
            <w:r/>
            <w:r>
              <w:rPr>
                <w:rFonts w:ascii="Arial" w:hAnsi="Arial"/>
                <w:b w:val="0"/>
                <w:color w:val="263746"/>
                <w:sz w:val="15"/>
              </w:rPr>
              <w:t>weather_delay_days</w:t>
            </w:r>
          </w:p>
        </w:tc>
        <w:tc>
          <w:tcPr>
            <w:tcW w:type="dxa" w:w="1987"/>
            <w:vAlign w:val="center"/>
            <w:tcMar>
              <w:top w:w="90" w:type="dxa"/>
              <w:start w:w="100" w:type="dxa"/>
              <w:bottom w:w="90" w:type="dxa"/>
              <w:end w:w="100" w:type="dxa"/>
            </w:tcMar>
          </w:tcPr>
          <w:p>
            <w:pPr>
              <w:spacing w:after="0" w:before="0" w:line="250" w:lineRule="auto"/>
            </w:pPr>
            <w:r/>
            <w:r>
              <w:rPr>
                <w:rFonts w:ascii="Arial" w:hAnsi="Arial"/>
                <w:b w:val="0"/>
                <w:color w:val="263746"/>
                <w:sz w:val="15"/>
              </w:rPr>
              <w:t>Integer (days)</w:t>
            </w:r>
          </w:p>
        </w:tc>
        <w:tc>
          <w:tcPr>
            <w:tcW w:type="dxa" w:w="5170"/>
            <w:vAlign w:val="center"/>
            <w:tcMar>
              <w:top w:w="90" w:type="dxa"/>
              <w:start w:w="100" w:type="dxa"/>
              <w:bottom w:w="90" w:type="dxa"/>
              <w:end w:w="100" w:type="dxa"/>
            </w:tcMar>
          </w:tcPr>
          <w:p>
            <w:pPr>
              <w:spacing w:after="0" w:before="0" w:line="250" w:lineRule="auto"/>
            </w:pPr>
            <w:r/>
            <w:r>
              <w:rPr>
                <w:rFonts w:ascii="Arial" w:hAnsi="Arial"/>
                <w:b w:val="0"/>
                <w:color w:val="263746"/>
                <w:sz w:val="15"/>
              </w:rPr>
              <w:t>Attributable weather delay; require evidence and avoid double-counting days.</w:t>
            </w:r>
          </w:p>
        </w:tc>
      </w:tr>
      <w:tr>
        <w:trPr>
          <w:cantSplit/>
        </w:trPr>
        <w:tc>
          <w:tcPr>
            <w:tcW w:type="dxa" w:w="2347"/>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safety_incidents</w:t>
            </w:r>
          </w:p>
        </w:tc>
        <w:tc>
          <w:tcPr>
            <w:tcW w:type="dxa" w:w="1987"/>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Integer (count)</w:t>
            </w:r>
          </w:p>
        </w:tc>
        <w:tc>
          <w:tcPr>
            <w:tcW w:type="dxa" w:w="5170"/>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Incident count for a defined period and classification; handle sensitively.</w:t>
            </w:r>
          </w:p>
        </w:tc>
      </w:tr>
      <w:tr>
        <w:trPr>
          <w:cantSplit/>
        </w:trPr>
        <w:tc>
          <w:tcPr>
            <w:tcW w:type="dxa" w:w="2347"/>
            <w:vAlign w:val="center"/>
            <w:tcMar>
              <w:top w:w="90" w:type="dxa"/>
              <w:start w:w="100" w:type="dxa"/>
              <w:bottom w:w="90" w:type="dxa"/>
              <w:end w:w="100" w:type="dxa"/>
            </w:tcMar>
          </w:tcPr>
          <w:p>
            <w:pPr>
              <w:spacing w:after="0" w:before="0" w:line="250" w:lineRule="auto"/>
            </w:pPr>
            <w:r/>
            <w:r>
              <w:rPr>
                <w:rFonts w:ascii="Arial" w:hAnsi="Arial"/>
                <w:b w:val="0"/>
                <w:color w:val="263746"/>
                <w:sz w:val="15"/>
              </w:rPr>
              <w:t>project_status</w:t>
            </w:r>
          </w:p>
        </w:tc>
        <w:tc>
          <w:tcPr>
            <w:tcW w:type="dxa" w:w="1987"/>
            <w:vAlign w:val="center"/>
            <w:tcMar>
              <w:top w:w="90" w:type="dxa"/>
              <w:start w:w="100" w:type="dxa"/>
              <w:bottom w:w="90" w:type="dxa"/>
              <w:end w:w="100" w:type="dxa"/>
            </w:tcMar>
          </w:tcPr>
          <w:p>
            <w:pPr>
              <w:spacing w:after="0" w:before="0" w:line="250" w:lineRule="auto"/>
            </w:pPr>
            <w:r/>
            <w:r>
              <w:rPr>
                <w:rFonts w:ascii="Arial" w:hAnsi="Arial"/>
                <w:b w:val="0"/>
                <w:color w:val="263746"/>
                <w:sz w:val="15"/>
              </w:rPr>
              <w:t>Category</w:t>
            </w:r>
          </w:p>
        </w:tc>
        <w:tc>
          <w:tcPr>
            <w:tcW w:type="dxa" w:w="5170"/>
            <w:vAlign w:val="center"/>
            <w:tcMar>
              <w:top w:w="90" w:type="dxa"/>
              <w:start w:w="100" w:type="dxa"/>
              <w:bottom w:w="90" w:type="dxa"/>
              <w:end w:w="100" w:type="dxa"/>
            </w:tcMar>
          </w:tcPr>
          <w:p>
            <w:pPr>
              <w:spacing w:after="0" w:before="0" w:line="250" w:lineRule="auto"/>
            </w:pPr>
            <w:r/>
            <w:r>
              <w:rPr>
                <w:rFonts w:ascii="Arial" w:hAnsi="Arial"/>
                <w:b w:val="0"/>
                <w:color w:val="263746"/>
                <w:sz w:val="15"/>
              </w:rPr>
              <w:t>Controlled values such as Planning, In Progress, On Hold, Completed.</w:t>
            </w:r>
          </w:p>
        </w:tc>
      </w:tr>
      <w:tr>
        <w:trPr>
          <w:cantSplit/>
        </w:trPr>
        <w:tc>
          <w:tcPr>
            <w:tcW w:type="dxa" w:w="2347"/>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last_updated</w:t>
            </w:r>
          </w:p>
        </w:tc>
        <w:tc>
          <w:tcPr>
            <w:tcW w:type="dxa" w:w="1987"/>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Date/time</w:t>
            </w:r>
          </w:p>
        </w:tc>
        <w:tc>
          <w:tcPr>
            <w:tcW w:type="dxa" w:w="5170"/>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Date/time when snapshot or source record was last updated.</w:t>
            </w:r>
          </w:p>
        </w:tc>
      </w:tr>
      <w:tr>
        <w:trPr>
          <w:cantSplit/>
        </w:trPr>
        <w:tc>
          <w:tcPr>
            <w:tcW w:type="dxa" w:w="2347"/>
            <w:vAlign w:val="center"/>
            <w:tcMar>
              <w:top w:w="90" w:type="dxa"/>
              <w:start w:w="100" w:type="dxa"/>
              <w:bottom w:w="90" w:type="dxa"/>
              <w:end w:w="100" w:type="dxa"/>
            </w:tcMar>
          </w:tcPr>
          <w:p>
            <w:pPr>
              <w:spacing w:after="0" w:before="0" w:line="250" w:lineRule="auto"/>
            </w:pPr>
            <w:r/>
            <w:r>
              <w:rPr>
                <w:rFonts w:ascii="Arial" w:hAnsi="Arial"/>
                <w:b w:val="0"/>
                <w:color w:val="263746"/>
                <w:sz w:val="15"/>
              </w:rPr>
              <w:t>source_id</w:t>
            </w:r>
          </w:p>
        </w:tc>
        <w:tc>
          <w:tcPr>
            <w:tcW w:type="dxa" w:w="1987"/>
            <w:vAlign w:val="center"/>
            <w:tcMar>
              <w:top w:w="90" w:type="dxa"/>
              <w:start w:w="100" w:type="dxa"/>
              <w:bottom w:w="90" w:type="dxa"/>
              <w:end w:w="100" w:type="dxa"/>
            </w:tcMar>
          </w:tcPr>
          <w:p>
            <w:pPr>
              <w:spacing w:after="0" w:before="0" w:line="250" w:lineRule="auto"/>
            </w:pPr>
            <w:r/>
            <w:r>
              <w:rPr>
                <w:rFonts w:ascii="Arial" w:hAnsi="Arial"/>
                <w:b w:val="0"/>
                <w:color w:val="263746"/>
                <w:sz w:val="15"/>
              </w:rPr>
              <w:t>Text, metadata</w:t>
            </w:r>
          </w:p>
        </w:tc>
        <w:tc>
          <w:tcPr>
            <w:tcW w:type="dxa" w:w="5170"/>
            <w:vAlign w:val="center"/>
            <w:tcMar>
              <w:top w:w="90" w:type="dxa"/>
              <w:start w:w="100" w:type="dxa"/>
              <w:bottom w:w="90" w:type="dxa"/>
              <w:end w:w="100" w:type="dxa"/>
            </w:tcMar>
          </w:tcPr>
          <w:p>
            <w:pPr>
              <w:spacing w:after="0" w:before="0" w:line="250" w:lineRule="auto"/>
            </w:pPr>
            <w:r/>
            <w:r>
              <w:rPr>
                <w:rFonts w:ascii="Arial" w:hAnsi="Arial"/>
                <w:b w:val="0"/>
                <w:color w:val="263746"/>
                <w:sz w:val="15"/>
              </w:rPr>
              <w:t>Identifier linking the row to the source register and extraction.</w:t>
            </w:r>
          </w:p>
        </w:tc>
      </w:tr>
      <w:tr>
        <w:trPr>
          <w:cantSplit/>
        </w:trPr>
        <w:tc>
          <w:tcPr>
            <w:tcW w:type="dxa" w:w="2347"/>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snapshot_date</w:t>
            </w:r>
          </w:p>
        </w:tc>
        <w:tc>
          <w:tcPr>
            <w:tcW w:type="dxa" w:w="1987"/>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Date, metadata</w:t>
            </w:r>
          </w:p>
        </w:tc>
        <w:tc>
          <w:tcPr>
            <w:tcW w:type="dxa" w:w="5170"/>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Date the record represents; essential for time comparison and leakage control.</w:t>
            </w:r>
          </w:p>
        </w:tc>
      </w:tr>
    </w:tbl>
    <w:p>
      <w:pPr>
        <w:spacing w:after="20"/>
      </w:pPr>
    </w:p>
    <w:p>
      <w:pPr>
        <w:pStyle w:val="Heading2"/>
        <w:keepNext/>
      </w:pPr>
      <w:r>
        <w:t>5.1 Grain and relationships</w:t>
      </w:r>
    </w:p>
    <w:p>
      <w:pPr>
        <w:widowControl/>
      </w:pPr>
      <w:r>
        <w:t>For an initial snapshot dataset, one record should represent one project at one snapshot date. If monthly updates are collected, `project_id` alone will not be unique; the key should be (`project_id`, `snapshot_date`). Keep separate event-level tables for procurement milestones, change orders and incidents when the one-row-per-snapshot design would lose detail. Do not merge tables until the join keys and one-to-many relationships have been validated.</w:t>
      </w:r>
    </w:p>
    <w:p>
      <w:pPr>
        <w:pStyle w:val="Heading2"/>
        <w:keepNext/>
      </w:pPr>
      <w:r>
        <w:t>5.2 Definitions that require stakeholder agreement</w:t>
      </w:r>
    </w:p>
    <w:p>
      <w:pPr>
        <w:pStyle w:val="ListBullet"/>
        <w:spacing w:after="60" w:line="259" w:lineRule="auto"/>
        <w:ind w:left="403" w:hanging="230"/>
      </w:pPr>
      <w:r>
        <w:t>Baseline budget: original approved budget or latest approved re-baseline? Store both baseline version and current approved budget if both are relevant.</w:t>
      </w:r>
    </w:p>
    <w:p>
      <w:pPr>
        <w:pStyle w:val="ListBullet"/>
        <w:spacing w:after="60" w:line="259" w:lineRule="auto"/>
        <w:ind w:left="403" w:hanging="230"/>
      </w:pPr>
      <w:r>
        <w:t>Actual cost to date: cash paid, accrued cost, committed cost or ledger actual? These measures must not be mixed.</w:t>
      </w:r>
    </w:p>
    <w:p>
      <w:pPr>
        <w:pStyle w:val="ListBullet"/>
        <w:spacing w:after="60" w:line="259" w:lineRule="auto"/>
        <w:ind w:left="403" w:hanging="230"/>
      </w:pPr>
      <w:r>
        <w:t>Progress percentage: measured by quantities completed, weighted BOQ items, earned value or manager estimate?</w:t>
      </w:r>
    </w:p>
    <w:p>
      <w:pPr>
        <w:pStyle w:val="ListBullet"/>
        <w:spacing w:after="60" w:line="259" w:lineRule="auto"/>
        <w:ind w:left="403" w:hanging="230"/>
      </w:pPr>
      <w:r>
        <w:t>Delay: calendar days or working days; absolute schedule slippage or critical-path impact?</w:t>
      </w:r>
    </w:p>
    <w:p>
      <w:pPr>
        <w:pStyle w:val="ListBullet"/>
        <w:spacing w:after="60" w:line="259" w:lineRule="auto"/>
        <w:ind w:left="403" w:hanging="230"/>
      </w:pPr>
      <w:r>
        <w:t>Materials index: which materials, which geography, which base month and which price source?</w:t>
      </w:r>
    </w:p>
    <w:p>
      <w:pPr>
        <w:pStyle w:val="ListBullet"/>
        <w:spacing w:after="60" w:line="259" w:lineRule="auto"/>
        <w:ind w:left="403" w:hanging="230"/>
      </w:pPr>
      <w:r>
        <w:t>Safety incident: reportable incident definition, observation period and data access permissions?</w:t>
      </w:r>
    </w:p>
    <w:p>
      <w:pPr>
        <w:pStyle w:val="Heading1"/>
        <w:keepNext/>
      </w:pPr>
      <w:r>
        <w:t>6. Data Cleaning and Preparation Framework</w:t>
      </w:r>
    </w:p>
    <w:p>
      <w:pPr>
        <w:widowControl/>
      </w:pPr>
      <w:r>
        <w:t>The preparation workflow should be rule-based and reproducible. Each rule should have a reason, implementation, before/after measure and exception route. The profiling stage is a screening step; it does not automatically declare a row correct.</w:t>
      </w:r>
    </w:p>
    <w:tbl>
      <w:tblPr>
        <w:tblStyle w:val="TableGrid"/>
        <w:tblW w:type="auto" w:w="0"/>
        <w:jc w:val="center"/>
        <w:tblLayout w:type="fixed"/>
        <w:tblLook w:firstColumn="1" w:firstRow="1" w:lastColumn="0" w:lastRow="0" w:noHBand="0" w:noVBand="1" w:val="04A0"/>
      </w:tblPr>
      <w:tblGrid>
        <w:gridCol w:w="3250"/>
        <w:gridCol w:w="3250"/>
        <w:gridCol w:w="3250"/>
      </w:tblGrid>
      <w:tr>
        <w:trPr>
          <w:tblHeader w:val="true"/>
          <w:cantSplit/>
        </w:trPr>
        <w:tc>
          <w:tcPr>
            <w:tcW w:type="dxa" w:w="1872"/>
            <w:vAlign w:val="center"/>
            <w:tcMar>
              <w:top w:w="90" w:type="dxa"/>
              <w:start w:w="100" w:type="dxa"/>
              <w:bottom w:w="90" w:type="dxa"/>
              <w:end w:w="100" w:type="dxa"/>
            </w:tcMar>
            <w:shd w:fill="18324A"/>
          </w:tcPr>
          <w:p>
            <w:pPr>
              <w:spacing w:after="0" w:before="0" w:line="250" w:lineRule="auto"/>
            </w:pPr>
            <w:r/>
            <w:r>
              <w:rPr>
                <w:rFonts w:ascii="Arial" w:hAnsi="Arial"/>
                <w:b/>
                <w:color w:val="FFFFFF"/>
                <w:sz w:val="15"/>
              </w:rPr>
              <w:t>Issue</w:t>
            </w:r>
          </w:p>
        </w:tc>
        <w:tc>
          <w:tcPr>
            <w:tcW w:type="dxa" w:w="3341"/>
            <w:vAlign w:val="center"/>
            <w:tcMar>
              <w:top w:w="90" w:type="dxa"/>
              <w:start w:w="100" w:type="dxa"/>
              <w:bottom w:w="90" w:type="dxa"/>
              <w:end w:w="100" w:type="dxa"/>
            </w:tcMar>
            <w:shd w:fill="18324A"/>
          </w:tcPr>
          <w:p>
            <w:pPr>
              <w:spacing w:after="0" w:before="0" w:line="250" w:lineRule="auto"/>
            </w:pPr>
            <w:r/>
            <w:r>
              <w:rPr>
                <w:rFonts w:ascii="Arial" w:hAnsi="Arial"/>
                <w:b/>
                <w:color w:val="FFFFFF"/>
                <w:sz w:val="15"/>
              </w:rPr>
              <w:t>Detection rule</w:t>
            </w:r>
          </w:p>
        </w:tc>
        <w:tc>
          <w:tcPr>
            <w:tcW w:type="dxa" w:w="4291"/>
            <w:vAlign w:val="center"/>
            <w:tcMar>
              <w:top w:w="90" w:type="dxa"/>
              <w:start w:w="100" w:type="dxa"/>
              <w:bottom w:w="90" w:type="dxa"/>
              <w:end w:w="100" w:type="dxa"/>
            </w:tcMar>
            <w:shd w:fill="18324A"/>
          </w:tcPr>
          <w:p>
            <w:pPr>
              <w:spacing w:after="0" w:before="0" w:line="250" w:lineRule="auto"/>
            </w:pPr>
            <w:r/>
            <w:r>
              <w:rPr>
                <w:rFonts w:ascii="Arial" w:hAnsi="Arial"/>
                <w:b/>
                <w:color w:val="FFFFFF"/>
                <w:sz w:val="15"/>
              </w:rPr>
              <w:t>Treatment / decision</w:t>
            </w:r>
          </w:p>
        </w:tc>
      </w:tr>
      <w:tr>
        <w:trPr>
          <w:cantSplit/>
        </w:trPr>
        <w:tc>
          <w:tcPr>
            <w:tcW w:type="dxa" w:w="1872"/>
            <w:vAlign w:val="center"/>
            <w:tcMar>
              <w:top w:w="90" w:type="dxa"/>
              <w:start w:w="100" w:type="dxa"/>
              <w:bottom w:w="90" w:type="dxa"/>
              <w:end w:w="100" w:type="dxa"/>
            </w:tcMar>
          </w:tcPr>
          <w:p>
            <w:pPr>
              <w:spacing w:after="0" w:before="0" w:line="250" w:lineRule="auto"/>
            </w:pPr>
            <w:r/>
            <w:r>
              <w:rPr>
                <w:rFonts w:ascii="Arial" w:hAnsi="Arial"/>
                <w:b w:val="0"/>
                <w:color w:val="263746"/>
                <w:sz w:val="15"/>
              </w:rPr>
              <w:t>Missing values</w:t>
            </w:r>
          </w:p>
        </w:tc>
        <w:tc>
          <w:tcPr>
            <w:tcW w:type="dxa" w:w="3341"/>
            <w:vAlign w:val="center"/>
            <w:tcMar>
              <w:top w:w="90" w:type="dxa"/>
              <w:start w:w="100" w:type="dxa"/>
              <w:bottom w:w="90" w:type="dxa"/>
              <w:end w:w="100" w:type="dxa"/>
            </w:tcMar>
          </w:tcPr>
          <w:p>
            <w:pPr>
              <w:spacing w:after="0" w:before="0" w:line="250" w:lineRule="auto"/>
            </w:pPr>
            <w:r/>
            <w:r>
              <w:rPr>
                <w:rFonts w:ascii="Arial" w:hAnsi="Arial"/>
                <w:b w:val="0"/>
                <w:color w:val="263746"/>
                <w:sz w:val="15"/>
              </w:rPr>
              <w:t>Column and row missingness counts; distinguish blank strings from true nulls.</w:t>
            </w:r>
          </w:p>
        </w:tc>
        <w:tc>
          <w:tcPr>
            <w:tcW w:type="dxa" w:w="4291"/>
            <w:vAlign w:val="center"/>
            <w:tcMar>
              <w:top w:w="90" w:type="dxa"/>
              <w:start w:w="100" w:type="dxa"/>
              <w:bottom w:w="90" w:type="dxa"/>
              <w:end w:w="100" w:type="dxa"/>
            </w:tcMar>
          </w:tcPr>
          <w:p>
            <w:pPr>
              <w:spacing w:after="0" w:before="0" w:line="250" w:lineRule="auto"/>
            </w:pPr>
            <w:r/>
            <w:r>
              <w:rPr>
                <w:rFonts w:ascii="Arial" w:hAnsi="Arial"/>
                <w:b w:val="0"/>
                <w:color w:val="263746"/>
                <w:sz w:val="15"/>
              </w:rPr>
              <w:t>Assess why missing. Keep critical outcomes missing until verified; consider imputation only for suitable predictors, with a missingness flag and written rationale.</w:t>
            </w:r>
          </w:p>
        </w:tc>
      </w:tr>
      <w:tr>
        <w:trPr>
          <w:cantSplit/>
        </w:trPr>
        <w:tc>
          <w:tcPr>
            <w:tcW w:type="dxa" w:w="1872"/>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Duplicate records</w:t>
            </w:r>
          </w:p>
        </w:tc>
        <w:tc>
          <w:tcPr>
            <w:tcW w:type="dxa" w:w="3341"/>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Exact-row duplicates and duplicate project IDs or project-snapshot keys.</w:t>
            </w:r>
          </w:p>
        </w:tc>
        <w:tc>
          <w:tcPr>
            <w:tcW w:type="dxa" w:w="4291"/>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Check source IDs, timestamps and snapshot grain. Remove only confirmed accidental exact duplicates; retain legitimate repeated snapshots/events.</w:t>
            </w:r>
          </w:p>
        </w:tc>
      </w:tr>
      <w:tr>
        <w:trPr>
          <w:cantSplit/>
        </w:trPr>
        <w:tc>
          <w:tcPr>
            <w:tcW w:type="dxa" w:w="1872"/>
            <w:vAlign w:val="center"/>
            <w:tcMar>
              <w:top w:w="90" w:type="dxa"/>
              <w:start w:w="100" w:type="dxa"/>
              <w:bottom w:w="90" w:type="dxa"/>
              <w:end w:w="100" w:type="dxa"/>
            </w:tcMar>
          </w:tcPr>
          <w:p>
            <w:pPr>
              <w:spacing w:after="0" w:before="0" w:line="250" w:lineRule="auto"/>
            </w:pPr>
            <w:r/>
            <w:r>
              <w:rPr>
                <w:rFonts w:ascii="Arial" w:hAnsi="Arial"/>
                <w:b w:val="0"/>
                <w:color w:val="263746"/>
                <w:sz w:val="15"/>
              </w:rPr>
              <w:t>Mixed numeric formats</w:t>
            </w:r>
          </w:p>
        </w:tc>
        <w:tc>
          <w:tcPr>
            <w:tcW w:type="dxa" w:w="3341"/>
            <w:vAlign w:val="center"/>
            <w:tcMar>
              <w:top w:w="90" w:type="dxa"/>
              <w:start w:w="100" w:type="dxa"/>
              <w:bottom w:w="90" w:type="dxa"/>
              <w:end w:w="100" w:type="dxa"/>
            </w:tcMar>
          </w:tcPr>
          <w:p>
            <w:pPr>
              <w:spacing w:after="0" w:before="0" w:line="250" w:lineRule="auto"/>
            </w:pPr>
            <w:r/>
            <w:r>
              <w:rPr>
                <w:rFonts w:ascii="Arial" w:hAnsi="Arial"/>
                <w:b w:val="0"/>
                <w:color w:val="263746"/>
                <w:sz w:val="15"/>
              </w:rPr>
              <w:t>Values contain ₹, commas, whitespace or words such as “not recorded”.</w:t>
            </w:r>
          </w:p>
        </w:tc>
        <w:tc>
          <w:tcPr>
            <w:tcW w:type="dxa" w:w="4291"/>
            <w:vAlign w:val="center"/>
            <w:tcMar>
              <w:top w:w="90" w:type="dxa"/>
              <w:start w:w="100" w:type="dxa"/>
              <w:bottom w:w="90" w:type="dxa"/>
              <w:end w:w="100" w:type="dxa"/>
            </w:tcMar>
          </w:tcPr>
          <w:p>
            <w:pPr>
              <w:spacing w:after="0" w:before="0" w:line="250" w:lineRule="auto"/>
            </w:pPr>
            <w:r/>
            <w:r>
              <w:rPr>
                <w:rFonts w:ascii="Arial" w:hAnsi="Arial"/>
                <w:b w:val="0"/>
                <w:color w:val="263746"/>
                <w:sz w:val="15"/>
              </w:rPr>
              <w:t>Preserve raw value, strip known formatting, coerce to numeric, flag failed conversions for review.</w:t>
            </w:r>
          </w:p>
        </w:tc>
      </w:tr>
      <w:tr>
        <w:trPr>
          <w:cantSplit/>
        </w:trPr>
        <w:tc>
          <w:tcPr>
            <w:tcW w:type="dxa" w:w="1872"/>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Invalid ranges</w:t>
            </w:r>
          </w:p>
        </w:tc>
        <w:tc>
          <w:tcPr>
            <w:tcW w:type="dxa" w:w="3341"/>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Progress outside 0–100; negative cost/hours/duration; impossible headcount.</w:t>
            </w:r>
          </w:p>
        </w:tc>
        <w:tc>
          <w:tcPr>
            <w:tcW w:type="dxa" w:w="4291"/>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Flag against business rules; correct only from an authoritative source. Do not winsorize or delete automatically.</w:t>
            </w:r>
          </w:p>
        </w:tc>
      </w:tr>
      <w:tr>
        <w:trPr>
          <w:cantSplit/>
        </w:trPr>
        <w:tc>
          <w:tcPr>
            <w:tcW w:type="dxa" w:w="1872"/>
            <w:vAlign w:val="center"/>
            <w:tcMar>
              <w:top w:w="90" w:type="dxa"/>
              <w:start w:w="100" w:type="dxa"/>
              <w:bottom w:w="90" w:type="dxa"/>
              <w:end w:w="100" w:type="dxa"/>
            </w:tcMar>
          </w:tcPr>
          <w:p>
            <w:pPr>
              <w:spacing w:after="0" w:before="0" w:line="250" w:lineRule="auto"/>
            </w:pPr>
            <w:r/>
            <w:r>
              <w:rPr>
                <w:rFonts w:ascii="Arial" w:hAnsi="Arial"/>
                <w:b w:val="0"/>
                <w:color w:val="263746"/>
                <w:sz w:val="15"/>
              </w:rPr>
              <w:t>Date errors</w:t>
            </w:r>
          </w:p>
        </w:tc>
        <w:tc>
          <w:tcPr>
            <w:tcW w:type="dxa" w:w="3341"/>
            <w:vAlign w:val="center"/>
            <w:tcMar>
              <w:top w:w="90" w:type="dxa"/>
              <w:start w:w="100" w:type="dxa"/>
              <w:bottom w:w="90" w:type="dxa"/>
              <w:end w:w="100" w:type="dxa"/>
            </w:tcMar>
          </w:tcPr>
          <w:p>
            <w:pPr>
              <w:spacing w:after="0" w:before="0" w:line="250" w:lineRule="auto"/>
            </w:pPr>
            <w:r/>
            <w:r>
              <w:rPr>
                <w:rFonts w:ascii="Arial" w:hAnsi="Arial"/>
                <w:b w:val="0"/>
                <w:color w:val="263746"/>
                <w:sz w:val="15"/>
              </w:rPr>
              <w:t>Unparseable date, end before start, future dates inconsistent with snapshot.</w:t>
            </w:r>
          </w:p>
        </w:tc>
        <w:tc>
          <w:tcPr>
            <w:tcW w:type="dxa" w:w="4291"/>
            <w:vAlign w:val="center"/>
            <w:tcMar>
              <w:top w:w="90" w:type="dxa"/>
              <w:start w:w="100" w:type="dxa"/>
              <w:bottom w:w="90" w:type="dxa"/>
              <w:end w:w="100" w:type="dxa"/>
            </w:tcMar>
          </w:tcPr>
          <w:p>
            <w:pPr>
              <w:spacing w:after="0" w:before="0" w:line="250" w:lineRule="auto"/>
            </w:pPr>
            <w:r/>
            <w:r>
              <w:rPr>
                <w:rFonts w:ascii="Arial" w:hAnsi="Arial"/>
                <w:b w:val="0"/>
                <w:color w:val="263746"/>
                <w:sz w:val="15"/>
              </w:rPr>
              <w:t>Parse to standard date type; inspect ambiguous day/month order; retain original string in source layer.</w:t>
            </w:r>
          </w:p>
        </w:tc>
      </w:tr>
      <w:tr>
        <w:trPr>
          <w:cantSplit/>
        </w:trPr>
        <w:tc>
          <w:tcPr>
            <w:tcW w:type="dxa" w:w="1872"/>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Inconsistent categories</w:t>
            </w:r>
          </w:p>
        </w:tc>
        <w:tc>
          <w:tcPr>
            <w:tcW w:type="dxa" w:w="3341"/>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Case, whitespace, synonyms or spelling variants.</w:t>
            </w:r>
          </w:p>
        </w:tc>
        <w:tc>
          <w:tcPr>
            <w:tcW w:type="dxa" w:w="4291"/>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Trim whitespace and map only approved synonyms to controlled labels; preserve original category in raw data.</w:t>
            </w:r>
          </w:p>
        </w:tc>
      </w:tr>
      <w:tr>
        <w:trPr>
          <w:cantSplit/>
        </w:trPr>
        <w:tc>
          <w:tcPr>
            <w:tcW w:type="dxa" w:w="1872"/>
            <w:vAlign w:val="center"/>
            <w:tcMar>
              <w:top w:w="90" w:type="dxa"/>
              <w:start w:w="100" w:type="dxa"/>
              <w:bottom w:w="90" w:type="dxa"/>
              <w:end w:w="100" w:type="dxa"/>
            </w:tcMar>
          </w:tcPr>
          <w:p>
            <w:pPr>
              <w:spacing w:after="0" w:before="0" w:line="250" w:lineRule="auto"/>
            </w:pPr>
            <w:r/>
            <w:r>
              <w:rPr>
                <w:rFonts w:ascii="Arial" w:hAnsi="Arial"/>
                <w:b w:val="0"/>
                <w:color w:val="263746"/>
                <w:sz w:val="15"/>
              </w:rPr>
              <w:t>Inconsistent units</w:t>
            </w:r>
          </w:p>
        </w:tc>
        <w:tc>
          <w:tcPr>
            <w:tcW w:type="dxa" w:w="3341"/>
            <w:vAlign w:val="center"/>
            <w:tcMar>
              <w:top w:w="90" w:type="dxa"/>
              <w:start w:w="100" w:type="dxa"/>
              <w:bottom w:w="90" w:type="dxa"/>
              <w:end w:w="100" w:type="dxa"/>
            </w:tcMar>
          </w:tcPr>
          <w:p>
            <w:pPr>
              <w:spacing w:after="0" w:before="0" w:line="250" w:lineRule="auto"/>
            </w:pPr>
            <w:r/>
            <w:r>
              <w:rPr>
                <w:rFonts w:ascii="Arial" w:hAnsi="Arial"/>
                <w:b w:val="0"/>
                <w:color w:val="263746"/>
                <w:sz w:val="15"/>
              </w:rPr>
              <w:t>INR vs lakh/crore; calendar vs working days; hours vs shifts.</w:t>
            </w:r>
          </w:p>
        </w:tc>
        <w:tc>
          <w:tcPr>
            <w:tcW w:type="dxa" w:w="4291"/>
            <w:vAlign w:val="center"/>
            <w:tcMar>
              <w:top w:w="90" w:type="dxa"/>
              <w:start w:w="100" w:type="dxa"/>
              <w:bottom w:w="90" w:type="dxa"/>
              <w:end w:w="100" w:type="dxa"/>
            </w:tcMar>
          </w:tcPr>
          <w:p>
            <w:pPr>
              <w:spacing w:after="0" w:before="0" w:line="250" w:lineRule="auto"/>
            </w:pPr>
            <w:r/>
            <w:r>
              <w:rPr>
                <w:rFonts w:ascii="Arial" w:hAnsi="Arial"/>
                <w:b w:val="0"/>
                <w:color w:val="263746"/>
                <w:sz w:val="15"/>
              </w:rPr>
              <w:t>Convert using a documented conversion table and store original unit/source note.</w:t>
            </w:r>
          </w:p>
        </w:tc>
      </w:tr>
      <w:tr>
        <w:trPr>
          <w:cantSplit/>
        </w:trPr>
        <w:tc>
          <w:tcPr>
            <w:tcW w:type="dxa" w:w="1872"/>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Outliers</w:t>
            </w:r>
          </w:p>
        </w:tc>
        <w:tc>
          <w:tcPr>
            <w:tcW w:type="dxa" w:w="3341"/>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IQR or robust z-score screens combined with domain thresholds.</w:t>
            </w:r>
          </w:p>
        </w:tc>
        <w:tc>
          <w:tcPr>
            <w:tcW w:type="dxa" w:w="4291"/>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Investigate extreme values against source; valid megaproject costs are not errors merely because they are large.</w:t>
            </w:r>
          </w:p>
        </w:tc>
      </w:tr>
      <w:tr>
        <w:trPr>
          <w:cantSplit/>
        </w:trPr>
        <w:tc>
          <w:tcPr>
            <w:tcW w:type="dxa" w:w="1872"/>
            <w:vAlign w:val="center"/>
            <w:tcMar>
              <w:top w:w="90" w:type="dxa"/>
              <w:start w:w="100" w:type="dxa"/>
              <w:bottom w:w="90" w:type="dxa"/>
              <w:end w:w="100" w:type="dxa"/>
            </w:tcMar>
          </w:tcPr>
          <w:p>
            <w:pPr>
              <w:spacing w:after="0" w:before="0" w:line="250" w:lineRule="auto"/>
            </w:pPr>
            <w:r/>
            <w:r>
              <w:rPr>
                <w:rFonts w:ascii="Arial" w:hAnsi="Arial"/>
                <w:b w:val="0"/>
                <w:color w:val="263746"/>
                <w:sz w:val="15"/>
              </w:rPr>
              <w:t>Leakage / time mismatch</w:t>
            </w:r>
          </w:p>
        </w:tc>
        <w:tc>
          <w:tcPr>
            <w:tcW w:type="dxa" w:w="3341"/>
            <w:vAlign w:val="center"/>
            <w:tcMar>
              <w:top w:w="90" w:type="dxa"/>
              <w:start w:w="100" w:type="dxa"/>
              <w:bottom w:w="90" w:type="dxa"/>
              <w:end w:w="100" w:type="dxa"/>
            </w:tcMar>
          </w:tcPr>
          <w:p>
            <w:pPr>
              <w:spacing w:after="0" w:before="0" w:line="250" w:lineRule="auto"/>
            </w:pPr>
            <w:r/>
            <w:r>
              <w:rPr>
                <w:rFonts w:ascii="Arial" w:hAnsi="Arial"/>
                <w:b w:val="0"/>
                <w:color w:val="263746"/>
                <w:sz w:val="15"/>
              </w:rPr>
              <w:t>Predictors recorded after forecast date; outcome used to derive an input.</w:t>
            </w:r>
          </w:p>
        </w:tc>
        <w:tc>
          <w:tcPr>
            <w:tcW w:type="dxa" w:w="4291"/>
            <w:vAlign w:val="center"/>
            <w:tcMar>
              <w:top w:w="90" w:type="dxa"/>
              <w:start w:w="100" w:type="dxa"/>
              <w:bottom w:w="90" w:type="dxa"/>
              <w:end w:w="100" w:type="dxa"/>
            </w:tcMar>
          </w:tcPr>
          <w:p>
            <w:pPr>
              <w:spacing w:after="0" w:before="0" w:line="250" w:lineRule="auto"/>
            </w:pPr>
            <w:r/>
            <w:r>
              <w:rPr>
                <w:rFonts w:ascii="Arial" w:hAnsi="Arial"/>
                <w:b w:val="0"/>
                <w:color w:val="263746"/>
                <w:sz w:val="15"/>
              </w:rPr>
              <w:t>Define the forecast snapshot date and exclude unavailable-at-that-time information from future models.</w:t>
            </w:r>
          </w:p>
        </w:tc>
      </w:tr>
      <w:tr>
        <w:trPr>
          <w:cantSplit/>
        </w:trPr>
        <w:tc>
          <w:tcPr>
            <w:tcW w:type="dxa" w:w="1872"/>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Version changes</w:t>
            </w:r>
          </w:p>
        </w:tc>
        <w:tc>
          <w:tcPr>
            <w:tcW w:type="dxa" w:w="3341"/>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Budget revisions, changed scope or updated planned end dates.</w:t>
            </w:r>
          </w:p>
        </w:tc>
        <w:tc>
          <w:tcPr>
            <w:tcW w:type="dxa" w:w="4291"/>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Maintain an approval/version log rather than overwriting the original baseline.</w:t>
            </w:r>
          </w:p>
        </w:tc>
      </w:tr>
    </w:tbl>
    <w:p>
      <w:pPr>
        <w:spacing w:after="20"/>
      </w:pPr>
    </w:p>
    <w:p>
      <w:pPr>
        <w:pStyle w:val="Heading2"/>
        <w:keepNext/>
      </w:pPr>
      <w:r>
        <w:t>6.1 Missing-data decision rules</w:t>
      </w:r>
    </w:p>
    <w:p>
      <w:pPr>
        <w:pStyle w:val="ListBullet"/>
        <w:spacing w:after="60" w:line="259" w:lineRule="auto"/>
        <w:ind w:left="403" w:hanging="230"/>
      </w:pPr>
      <w:r>
        <w:t>Required identifiers and target outcomes: resolve from source or exclude the affected record from the relevant analysis with a recorded reason; never invent an ID or outcome.</w:t>
      </w:r>
    </w:p>
    <w:p>
      <w:pPr>
        <w:pStyle w:val="ListBullet"/>
        <w:spacing w:after="60" w:line="259" w:lineRule="auto"/>
        <w:ind w:left="403" w:hanging="230"/>
      </w:pPr>
      <w:r>
        <w:t>Numeric predictor with moderate missingness: compare median imputation, group-based imputation and missing-value indicators only if the variable semantics justify them.</w:t>
      </w:r>
    </w:p>
    <w:p>
      <w:pPr>
        <w:pStyle w:val="ListBullet"/>
        <w:spacing w:after="60" w:line="259" w:lineRule="auto"/>
        <w:ind w:left="403" w:hanging="230"/>
      </w:pPr>
      <w:r>
        <w:t>Time-series fields: do not forward-fill project progress or cost without an approved rule and temporal justification.</w:t>
      </w:r>
    </w:p>
    <w:p>
      <w:pPr>
        <w:pStyle w:val="ListBullet"/>
        <w:spacing w:after="60" w:line="259" w:lineRule="auto"/>
        <w:ind w:left="403" w:hanging="230"/>
      </w:pPr>
      <w:r>
        <w:t>Categorical fields: use an explicit Unknown/Not reported category only when that meaning is correct; never interpret missing as zero.</w:t>
      </w:r>
    </w:p>
    <w:p>
      <w:pPr>
        <w:pStyle w:val="ListBullet"/>
        <w:spacing w:after="60" w:line="259" w:lineRule="auto"/>
        <w:ind w:left="403" w:hanging="230"/>
      </w:pPr>
      <w:r>
        <w:t>Report missingness before and after any treatment, and compare key distributions to check for material distortion.</w:t>
      </w:r>
    </w:p>
    <w:p>
      <w:pPr>
        <w:pStyle w:val="Heading2"/>
        <w:keepNext/>
      </w:pPr>
      <w:r>
        <w:t>6.2 Scaling and categorical encoding</w:t>
      </w:r>
    </w:p>
    <w:p>
      <w:pPr>
        <w:widowControl/>
      </w:pPr>
      <w:r>
        <w:t>One-hot encoding can represent nominal project types, states and status categories for estimators that require numeric inputs [6]. Scaling may be useful for some later models, but it is not required for simple data validation or every tree-based model. Fit encoders and scalers on training data only after the train/test split; otherwise information may leak from evaluation data into the model. Keep readable categorical fields in the canonical staged dataset.</w:t>
      </w:r>
    </w:p>
    <w:p>
      <w:r>
        <w:br w:type="page"/>
      </w:r>
    </w:p>
    <w:p>
      <w:pPr>
        <w:pStyle w:val="Heading1"/>
        <w:keepNext/>
      </w:pPr>
      <w:r>
        <w:t>7. Python Starter Workflow</w:t>
      </w:r>
    </w:p>
    <w:p>
      <w:pPr>
        <w:widowControl/>
      </w:pPr>
      <w:r>
        <w:t>The included `src/profile_raw_data.py` script profiles the small synthetic CSV and writes a column-level data quality profile, standardized staging file, manual-review extract and JSON summary. The snippet below illustrates the core sequence. It is a preliminary profiling example—not a fully approved ETL pipeline.</w:t>
      </w:r>
    </w:p>
    <w:p>
      <w:pPr>
        <w:spacing w:before="0" w:after="0" w:line="240" w:lineRule="auto"/>
        <w:ind w:left="216" w:right="173"/>
        <w:shd w:fill="F2F5F8"/>
      </w:pPr>
      <w:r>
        <w:rPr>
          <w:rFonts w:ascii="Consolas" w:hAnsi="Consolas"/>
          <w:color w:val="243746"/>
          <w:sz w:val="14"/>
        </w:rPr>
        <w:t>from pathlib import Path</w:t>
      </w:r>
    </w:p>
    <w:p>
      <w:pPr>
        <w:spacing w:before="0" w:after="0" w:line="240" w:lineRule="auto"/>
        <w:ind w:left="216" w:right="173"/>
        <w:shd w:fill="F2F5F8"/>
      </w:pPr>
      <w:r>
        <w:rPr>
          <w:rFonts w:ascii="Consolas" w:hAnsi="Consolas"/>
          <w:color w:val="243746"/>
          <w:sz w:val="14"/>
        </w:rPr>
        <w:t>import pandas as pd</w:t>
      </w:r>
    </w:p>
    <w:p>
      <w:pPr>
        <w:spacing w:before="0" w:after="0" w:line="240" w:lineRule="auto"/>
        <w:ind w:left="216" w:right="173"/>
        <w:shd w:fill="F2F5F8"/>
      </w:pPr>
      <w:r>
        <w:rPr>
          <w:rFonts w:ascii="Consolas" w:hAnsi="Consolas"/>
          <w:color w:val="243746"/>
          <w:sz w:val="14"/>
        </w:rPr>
        <w:t xml:space="preserve"> </w:t>
      </w:r>
    </w:p>
    <w:p>
      <w:pPr>
        <w:spacing w:before="0" w:after="0" w:line="240" w:lineRule="auto"/>
        <w:ind w:left="216" w:right="173"/>
        <w:shd w:fill="F2F5F8"/>
      </w:pPr>
      <w:r>
        <w:rPr>
          <w:rFonts w:ascii="Consolas" w:hAnsi="Consolas"/>
          <w:color w:val="243746"/>
          <w:sz w:val="14"/>
        </w:rPr>
        <w:t>raw_path = Path("data/raw/construction_projects_simulated_raw.csv")</w:t>
      </w:r>
    </w:p>
    <w:p>
      <w:pPr>
        <w:spacing w:before="0" w:after="0" w:line="240" w:lineRule="auto"/>
        <w:ind w:left="216" w:right="173"/>
        <w:shd w:fill="F2F5F8"/>
      </w:pPr>
      <w:r>
        <w:rPr>
          <w:rFonts w:ascii="Consolas" w:hAnsi="Consolas"/>
          <w:color w:val="243746"/>
          <w:sz w:val="14"/>
        </w:rPr>
        <w:t>df = pd.read_csv(raw_path, dtype="string")</w:t>
      </w:r>
    </w:p>
    <w:p>
      <w:pPr>
        <w:spacing w:before="0" w:after="0" w:line="240" w:lineRule="auto"/>
        <w:ind w:left="216" w:right="173"/>
        <w:shd w:fill="F2F5F8"/>
      </w:pPr>
      <w:r>
        <w:rPr>
          <w:rFonts w:ascii="Consolas" w:hAnsi="Consolas"/>
          <w:color w:val="243746"/>
          <w:sz w:val="14"/>
        </w:rPr>
        <w:t xml:space="preserve"> </w:t>
      </w:r>
    </w:p>
    <w:p>
      <w:pPr>
        <w:spacing w:before="0" w:after="0" w:line="240" w:lineRule="auto"/>
        <w:ind w:left="216" w:right="173"/>
        <w:shd w:fill="F2F5F8"/>
      </w:pPr>
      <w:r>
        <w:rPr>
          <w:rFonts w:ascii="Consolas" w:hAnsi="Consolas"/>
          <w:color w:val="243746"/>
          <w:sz w:val="14"/>
        </w:rPr>
        <w:t># 1) Profile nulls and blanks before changing data.</w:t>
      </w:r>
    </w:p>
    <w:p>
      <w:pPr>
        <w:spacing w:before="0" w:after="0" w:line="240" w:lineRule="auto"/>
        <w:ind w:left="216" w:right="173"/>
        <w:shd w:fill="F2F5F8"/>
      </w:pPr>
      <w:r>
        <w:rPr>
          <w:rFonts w:ascii="Consolas" w:hAnsi="Consolas"/>
          <w:color w:val="243746"/>
          <w:sz w:val="14"/>
        </w:rPr>
        <w:t>missing = (df.replace(r"^\s*$", pd.NA, regex=True)</w:t>
      </w:r>
    </w:p>
    <w:p>
      <w:pPr>
        <w:spacing w:before="0" w:after="0" w:line="240" w:lineRule="auto"/>
        <w:ind w:left="216" w:right="173"/>
        <w:shd w:fill="F2F5F8"/>
      </w:pPr>
      <w:r>
        <w:rPr>
          <w:rFonts w:ascii="Consolas" w:hAnsi="Consolas"/>
          <w:color w:val="243746"/>
          <w:sz w:val="14"/>
        </w:rPr>
        <w:t xml:space="preserve">             .isna().sum().sort_values(ascending=False))</w:t>
      </w:r>
    </w:p>
    <w:p>
      <w:pPr>
        <w:spacing w:before="0" w:after="0" w:line="240" w:lineRule="auto"/>
        <w:ind w:left="216" w:right="173"/>
        <w:shd w:fill="F2F5F8"/>
      </w:pPr>
      <w:r>
        <w:rPr>
          <w:rFonts w:ascii="Consolas" w:hAnsi="Consolas"/>
          <w:color w:val="243746"/>
          <w:sz w:val="14"/>
        </w:rPr>
        <w:t>print(missing[missing &gt; 0])</w:t>
      </w:r>
    </w:p>
    <w:p>
      <w:pPr>
        <w:spacing w:before="0" w:after="0" w:line="240" w:lineRule="auto"/>
        <w:ind w:left="216" w:right="173"/>
        <w:shd w:fill="F2F5F8"/>
      </w:pPr>
      <w:r>
        <w:rPr>
          <w:rFonts w:ascii="Consolas" w:hAnsi="Consolas"/>
          <w:color w:val="243746"/>
          <w:sz w:val="14"/>
        </w:rPr>
        <w:t xml:space="preserve"> </w:t>
      </w:r>
    </w:p>
    <w:p>
      <w:pPr>
        <w:spacing w:before="0" w:after="0" w:line="240" w:lineRule="auto"/>
        <w:ind w:left="216" w:right="173"/>
        <w:shd w:fill="F2F5F8"/>
      </w:pPr>
      <w:r>
        <w:rPr>
          <w:rFonts w:ascii="Consolas" w:hAnsi="Consolas"/>
          <w:color w:val="243746"/>
          <w:sz w:val="14"/>
        </w:rPr>
        <w:t># 2) Standardize a numeric field without hiding conversion failures.</w:t>
      </w:r>
    </w:p>
    <w:p>
      <w:pPr>
        <w:spacing w:before="0" w:after="0" w:line="240" w:lineRule="auto"/>
        <w:ind w:left="216" w:right="173"/>
        <w:shd w:fill="F2F5F8"/>
      </w:pPr>
      <w:r>
        <w:rPr>
          <w:rFonts w:ascii="Consolas" w:hAnsi="Consolas"/>
          <w:color w:val="243746"/>
          <w:sz w:val="14"/>
        </w:rPr>
        <w:t>raw_cost = df["baseline_budget_inr_lakh"].astype("string")</w:t>
      </w:r>
    </w:p>
    <w:p>
      <w:pPr>
        <w:spacing w:before="0" w:after="0" w:line="240" w:lineRule="auto"/>
        <w:ind w:left="216" w:right="173"/>
        <w:shd w:fill="F2F5F8"/>
      </w:pPr>
      <w:r>
        <w:rPr>
          <w:rFonts w:ascii="Consolas" w:hAnsi="Consolas"/>
          <w:color w:val="243746"/>
          <w:sz w:val="14"/>
        </w:rPr>
        <w:t>normalized = raw_cost.str.replace(r"[₹,\s]", "", regex=True)</w:t>
      </w:r>
    </w:p>
    <w:p>
      <w:pPr>
        <w:spacing w:before="0" w:after="0" w:line="240" w:lineRule="auto"/>
        <w:ind w:left="216" w:right="173"/>
        <w:shd w:fill="F2F5F8"/>
      </w:pPr>
      <w:r>
        <w:rPr>
          <w:rFonts w:ascii="Consolas" w:hAnsi="Consolas"/>
          <w:color w:val="243746"/>
          <w:sz w:val="14"/>
        </w:rPr>
        <w:t>df["baseline_budget_inr_lakh_num"] = pd.to_numeric(</w:t>
      </w:r>
    </w:p>
    <w:p>
      <w:pPr>
        <w:spacing w:before="0" w:after="0" w:line="240" w:lineRule="auto"/>
        <w:ind w:left="216" w:right="173"/>
        <w:shd w:fill="F2F5F8"/>
      </w:pPr>
      <w:r>
        <w:rPr>
          <w:rFonts w:ascii="Consolas" w:hAnsi="Consolas"/>
          <w:color w:val="243746"/>
          <w:sz w:val="14"/>
        </w:rPr>
        <w:t xml:space="preserve">    normalized, errors="coerce"</w:t>
      </w:r>
    </w:p>
    <w:p>
      <w:pPr>
        <w:spacing w:before="0" w:after="0" w:line="240" w:lineRule="auto"/>
        <w:ind w:left="216" w:right="173"/>
        <w:shd w:fill="F2F5F8"/>
      </w:pPr>
      <w:r>
        <w:rPr>
          <w:rFonts w:ascii="Consolas" w:hAnsi="Consolas"/>
          <w:color w:val="243746"/>
          <w:sz w:val="14"/>
        </w:rPr>
        <w:t>)</w:t>
      </w:r>
    </w:p>
    <w:p>
      <w:pPr>
        <w:spacing w:before="0" w:after="0" w:line="240" w:lineRule="auto"/>
        <w:ind w:left="216" w:right="173"/>
        <w:shd w:fill="F2F5F8"/>
      </w:pPr>
      <w:r>
        <w:rPr>
          <w:rFonts w:ascii="Consolas" w:hAnsi="Consolas"/>
          <w:color w:val="243746"/>
          <w:sz w:val="14"/>
        </w:rPr>
        <w:t xml:space="preserve"> </w:t>
      </w:r>
    </w:p>
    <w:p>
      <w:pPr>
        <w:spacing w:before="0" w:after="0" w:line="240" w:lineRule="auto"/>
        <w:ind w:left="216" w:right="173"/>
        <w:shd w:fill="F2F5F8"/>
      </w:pPr>
      <w:r>
        <w:rPr>
          <w:rFonts w:ascii="Consolas" w:hAnsi="Consolas"/>
          <w:color w:val="243746"/>
          <w:sz w:val="14"/>
        </w:rPr>
        <w:t># 3) Flag IDs and range errors for review; do not silently drop rows.</w:t>
      </w:r>
    </w:p>
    <w:p>
      <w:pPr>
        <w:spacing w:before="0" w:after="0" w:line="240" w:lineRule="auto"/>
        <w:ind w:left="216" w:right="173"/>
        <w:shd w:fill="F2F5F8"/>
      </w:pPr>
      <w:r>
        <w:rPr>
          <w:rFonts w:ascii="Consolas" w:hAnsi="Consolas"/>
          <w:color w:val="243746"/>
          <w:sz w:val="14"/>
        </w:rPr>
        <w:t>df["duplicate_id_flag"] = df["project_id"].duplicated(keep=False)</w:t>
      </w:r>
    </w:p>
    <w:p>
      <w:pPr>
        <w:spacing w:before="0" w:after="0" w:line="240" w:lineRule="auto"/>
        <w:ind w:left="216" w:right="173"/>
        <w:shd w:fill="F2F5F8"/>
      </w:pPr>
      <w:r>
        <w:rPr>
          <w:rFonts w:ascii="Consolas" w:hAnsi="Consolas"/>
          <w:color w:val="243746"/>
          <w:sz w:val="14"/>
        </w:rPr>
        <w:t>completion = pd.to_numeric(df["physical_completion_pct"], errors="coerce")</w:t>
      </w:r>
    </w:p>
    <w:p>
      <w:pPr>
        <w:spacing w:before="0" w:after="0" w:line="240" w:lineRule="auto"/>
        <w:ind w:left="216" w:right="173"/>
        <w:shd w:fill="F2F5F8"/>
      </w:pPr>
      <w:r>
        <w:rPr>
          <w:rFonts w:ascii="Consolas" w:hAnsi="Consolas"/>
          <w:color w:val="243746"/>
          <w:sz w:val="14"/>
        </w:rPr>
        <w:t>df["completion_range_flag"] = ~completion.between(0, 100)</w:t>
      </w:r>
    </w:p>
    <w:p>
      <w:pPr>
        <w:spacing w:before="0" w:after="0" w:line="240" w:lineRule="auto"/>
        <w:ind w:left="216" w:right="173"/>
        <w:shd w:fill="F2F5F8"/>
      </w:pPr>
      <w:r>
        <w:rPr>
          <w:rFonts w:ascii="Consolas" w:hAnsi="Consolas"/>
          <w:color w:val="243746"/>
          <w:sz w:val="14"/>
        </w:rPr>
        <w:t xml:space="preserve"> </w:t>
      </w:r>
    </w:p>
    <w:p>
      <w:pPr>
        <w:spacing w:before="0" w:after="0" w:line="240" w:lineRule="auto"/>
        <w:ind w:left="216" w:right="173"/>
        <w:shd w:fill="F2F5F8"/>
      </w:pPr>
      <w:r>
        <w:rPr>
          <w:rFonts w:ascii="Consolas" w:hAnsi="Consolas"/>
          <w:color w:val="243746"/>
          <w:sz w:val="14"/>
        </w:rPr>
        <w:t># 4) Export an audit profile and review list, keeping raw input unchanged.</w:t>
      </w:r>
    </w:p>
    <w:p>
      <w:pPr>
        <w:spacing w:before="0" w:after="0" w:line="240" w:lineRule="auto"/>
        <w:ind w:left="216" w:right="173"/>
        <w:shd w:fill="F2F5F8"/>
      </w:pPr>
      <w:r>
        <w:rPr>
          <w:rFonts w:ascii="Consolas" w:hAnsi="Consolas"/>
          <w:color w:val="243746"/>
          <w:sz w:val="14"/>
        </w:rPr>
        <w:t># Add source_id, snapshot_date and approved business-rule checks before use.</w:t>
      </w:r>
    </w:p>
    <w:p>
      <w:pPr>
        <w:pStyle w:val="Heading2"/>
        <w:keepNext/>
      </w:pPr>
      <w:r>
        <w:t>7.1 Included starter assets</w:t>
      </w:r>
    </w:p>
    <w:tbl>
      <w:tblPr>
        <w:tblStyle w:val="TableGrid"/>
        <w:tblW w:type="auto" w:w="0"/>
        <w:jc w:val="center"/>
        <w:tblLayout w:type="fixed"/>
        <w:tblLook w:firstColumn="1" w:firstRow="1" w:lastColumn="0" w:lastRow="0" w:noHBand="0" w:noVBand="1" w:val="04A0"/>
      </w:tblPr>
      <w:tblGrid>
        <w:gridCol w:w="3250"/>
        <w:gridCol w:w="3250"/>
        <w:gridCol w:w="3250"/>
      </w:tblGrid>
      <w:tr>
        <w:trPr>
          <w:tblHeader w:val="true"/>
          <w:cantSplit/>
        </w:trPr>
        <w:tc>
          <w:tcPr>
            <w:tcW w:type="dxa" w:w="3168"/>
            <w:vAlign w:val="center"/>
            <w:tcMar>
              <w:top w:w="90" w:type="dxa"/>
              <w:start w:w="100" w:type="dxa"/>
              <w:bottom w:w="90" w:type="dxa"/>
              <w:end w:w="100" w:type="dxa"/>
            </w:tcMar>
            <w:shd w:fill="18324A"/>
          </w:tcPr>
          <w:p>
            <w:pPr>
              <w:spacing w:after="0" w:before="0" w:line="250" w:lineRule="auto"/>
            </w:pPr>
            <w:r/>
            <w:r>
              <w:rPr>
                <w:rFonts w:ascii="Arial" w:hAnsi="Arial"/>
                <w:b/>
                <w:color w:val="FFFFFF"/>
                <w:sz w:val="15"/>
              </w:rPr>
              <w:t>Asset</w:t>
            </w:r>
          </w:p>
        </w:tc>
        <w:tc>
          <w:tcPr>
            <w:tcW w:type="dxa" w:w="3960"/>
            <w:vAlign w:val="center"/>
            <w:tcMar>
              <w:top w:w="90" w:type="dxa"/>
              <w:start w:w="100" w:type="dxa"/>
              <w:bottom w:w="90" w:type="dxa"/>
              <w:end w:w="100" w:type="dxa"/>
            </w:tcMar>
            <w:shd w:fill="18324A"/>
          </w:tcPr>
          <w:p>
            <w:pPr>
              <w:spacing w:after="0" w:before="0" w:line="250" w:lineRule="auto"/>
            </w:pPr>
            <w:r/>
            <w:r>
              <w:rPr>
                <w:rFonts w:ascii="Arial" w:hAnsi="Arial"/>
                <w:b/>
                <w:color w:val="FFFFFF"/>
                <w:sz w:val="15"/>
              </w:rPr>
              <w:t>Purpose</w:t>
            </w:r>
          </w:p>
        </w:tc>
        <w:tc>
          <w:tcPr>
            <w:tcW w:type="dxa" w:w="2376"/>
            <w:vAlign w:val="center"/>
            <w:tcMar>
              <w:top w:w="90" w:type="dxa"/>
              <w:start w:w="100" w:type="dxa"/>
              <w:bottom w:w="90" w:type="dxa"/>
              <w:end w:w="100" w:type="dxa"/>
            </w:tcMar>
            <w:shd w:fill="18324A"/>
          </w:tcPr>
          <w:p>
            <w:pPr>
              <w:spacing w:after="0" w:before="0" w:line="250" w:lineRule="auto"/>
            </w:pPr>
            <w:r/>
            <w:r>
              <w:rPr>
                <w:rFonts w:ascii="Arial" w:hAnsi="Arial"/>
                <w:b/>
                <w:color w:val="FFFFFF"/>
                <w:sz w:val="15"/>
              </w:rPr>
              <w:t>Status</w:t>
            </w:r>
          </w:p>
        </w:tc>
      </w:tr>
      <w:tr>
        <w:trPr>
          <w:cantSplit/>
        </w:trPr>
        <w:tc>
          <w:tcPr>
            <w:tcW w:type="dxa" w:w="3168"/>
            <w:vAlign w:val="center"/>
            <w:tcMar>
              <w:top w:w="90" w:type="dxa"/>
              <w:start w:w="100" w:type="dxa"/>
              <w:bottom w:w="90" w:type="dxa"/>
              <w:end w:w="100" w:type="dxa"/>
            </w:tcMar>
          </w:tcPr>
          <w:p>
            <w:pPr>
              <w:spacing w:after="0" w:before="0" w:line="250" w:lineRule="auto"/>
            </w:pPr>
            <w:r/>
            <w:r>
              <w:rPr>
                <w:rFonts w:ascii="Arial" w:hAnsi="Arial"/>
                <w:b w:val="0"/>
                <w:color w:val="263746"/>
                <w:sz w:val="15"/>
              </w:rPr>
              <w:t>data/raw/construction_projects_simulated_raw.csv</w:t>
            </w:r>
          </w:p>
        </w:tc>
        <w:tc>
          <w:tcPr>
            <w:tcW w:type="dxa" w:w="3960"/>
            <w:vAlign w:val="center"/>
            <w:tcMar>
              <w:top w:w="90" w:type="dxa"/>
              <w:start w:w="100" w:type="dxa"/>
              <w:bottom w:w="90" w:type="dxa"/>
              <w:end w:w="100" w:type="dxa"/>
            </w:tcMar>
          </w:tcPr>
          <w:p>
            <w:pPr>
              <w:spacing w:after="0" w:before="0" w:line="250" w:lineRule="auto"/>
            </w:pPr>
            <w:r/>
            <w:r>
              <w:rPr>
                <w:rFonts w:ascii="Arial" w:hAnsi="Arial"/>
                <w:b w:val="0"/>
                <w:color w:val="263746"/>
                <w:sz w:val="15"/>
              </w:rPr>
              <w:t>Small training fixture with intentionally embedded missing, mixed-format and invalid values.</w:t>
            </w:r>
          </w:p>
        </w:tc>
        <w:tc>
          <w:tcPr>
            <w:tcW w:type="dxa" w:w="2376"/>
            <w:vAlign w:val="center"/>
            <w:tcMar>
              <w:top w:w="90" w:type="dxa"/>
              <w:start w:w="100" w:type="dxa"/>
              <w:bottom w:w="90" w:type="dxa"/>
              <w:end w:w="100" w:type="dxa"/>
            </w:tcMar>
          </w:tcPr>
          <w:p>
            <w:pPr>
              <w:spacing w:after="0" w:before="0" w:line="250" w:lineRule="auto"/>
            </w:pPr>
            <w:r/>
            <w:r>
              <w:rPr>
                <w:rFonts w:ascii="Arial" w:hAnsi="Arial"/>
                <w:b w:val="0"/>
                <w:color w:val="263746"/>
                <w:sz w:val="15"/>
              </w:rPr>
              <w:t>Synthetic only; not real project data.</w:t>
            </w:r>
          </w:p>
        </w:tc>
      </w:tr>
      <w:tr>
        <w:trPr>
          <w:cantSplit/>
        </w:trPr>
        <w:tc>
          <w:tcPr>
            <w:tcW w:type="dxa" w:w="3168"/>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src/profile_raw_data.py</w:t>
            </w:r>
          </w:p>
        </w:tc>
        <w:tc>
          <w:tcPr>
            <w:tcW w:type="dxa" w:w="3960"/>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Runnable Python profiler and staging workflow.</w:t>
            </w:r>
          </w:p>
        </w:tc>
        <w:tc>
          <w:tcPr>
            <w:tcW w:type="dxa" w:w="2376"/>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Outputs audit/profile files under data/processed.</w:t>
            </w:r>
          </w:p>
        </w:tc>
      </w:tr>
      <w:tr>
        <w:trPr>
          <w:cantSplit/>
        </w:trPr>
        <w:tc>
          <w:tcPr>
            <w:tcW w:type="dxa" w:w="3168"/>
            <w:vAlign w:val="center"/>
            <w:tcMar>
              <w:top w:w="90" w:type="dxa"/>
              <w:start w:w="100" w:type="dxa"/>
              <w:bottom w:w="90" w:type="dxa"/>
              <w:end w:w="100" w:type="dxa"/>
            </w:tcMar>
          </w:tcPr>
          <w:p>
            <w:pPr>
              <w:spacing w:after="0" w:before="0" w:line="250" w:lineRule="auto"/>
            </w:pPr>
            <w:r/>
            <w:r>
              <w:rPr>
                <w:rFonts w:ascii="Arial" w:hAnsi="Arial"/>
                <w:b w:val="0"/>
                <w:color w:val="263746"/>
                <w:sz w:val="15"/>
              </w:rPr>
              <w:t>data/processed/data_quality_profile.csv</w:t>
            </w:r>
          </w:p>
        </w:tc>
        <w:tc>
          <w:tcPr>
            <w:tcW w:type="dxa" w:w="3960"/>
            <w:vAlign w:val="center"/>
            <w:tcMar>
              <w:top w:w="90" w:type="dxa"/>
              <w:start w:w="100" w:type="dxa"/>
              <w:bottom w:w="90" w:type="dxa"/>
              <w:end w:w="100" w:type="dxa"/>
            </w:tcMar>
          </w:tcPr>
          <w:p>
            <w:pPr>
              <w:spacing w:after="0" w:before="0" w:line="250" w:lineRule="auto"/>
            </w:pPr>
            <w:r/>
            <w:r>
              <w:rPr>
                <w:rFonts w:ascii="Arial" w:hAnsi="Arial"/>
                <w:b w:val="0"/>
                <w:color w:val="263746"/>
                <w:sz w:val="15"/>
              </w:rPr>
              <w:t>Column-level missingness and distinct-value profile.</w:t>
            </w:r>
          </w:p>
        </w:tc>
        <w:tc>
          <w:tcPr>
            <w:tcW w:type="dxa" w:w="2376"/>
            <w:vAlign w:val="center"/>
            <w:tcMar>
              <w:top w:w="90" w:type="dxa"/>
              <w:start w:w="100" w:type="dxa"/>
              <w:bottom w:w="90" w:type="dxa"/>
              <w:end w:w="100" w:type="dxa"/>
            </w:tcMar>
          </w:tcPr>
          <w:p>
            <w:pPr>
              <w:spacing w:after="0" w:before="0" w:line="250" w:lineRule="auto"/>
            </w:pPr>
            <w:r/>
            <w:r>
              <w:rPr>
                <w:rFonts w:ascii="Arial" w:hAnsi="Arial"/>
                <w:b w:val="0"/>
                <w:color w:val="263746"/>
                <w:sz w:val="15"/>
              </w:rPr>
              <w:t>Generated by running the script.</w:t>
            </w:r>
          </w:p>
        </w:tc>
      </w:tr>
      <w:tr>
        <w:trPr>
          <w:cantSplit/>
        </w:trPr>
        <w:tc>
          <w:tcPr>
            <w:tcW w:type="dxa" w:w="3168"/>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data/processed/standardized_staging.csv</w:t>
            </w:r>
          </w:p>
        </w:tc>
        <w:tc>
          <w:tcPr>
            <w:tcW w:type="dxa" w:w="3960"/>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Standardized representation with manual-review flags.</w:t>
            </w:r>
          </w:p>
        </w:tc>
        <w:tc>
          <w:tcPr>
            <w:tcW w:type="dxa" w:w="2376"/>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Not certified or model-ready.</w:t>
            </w:r>
          </w:p>
        </w:tc>
      </w:tr>
      <w:tr>
        <w:trPr>
          <w:cantSplit/>
        </w:trPr>
        <w:tc>
          <w:tcPr>
            <w:tcW w:type="dxa" w:w="3168"/>
            <w:vAlign w:val="center"/>
            <w:tcMar>
              <w:top w:w="90" w:type="dxa"/>
              <w:start w:w="100" w:type="dxa"/>
              <w:bottom w:w="90" w:type="dxa"/>
              <w:end w:w="100" w:type="dxa"/>
            </w:tcMar>
          </w:tcPr>
          <w:p>
            <w:pPr>
              <w:spacing w:after="0" w:before="0" w:line="250" w:lineRule="auto"/>
            </w:pPr>
            <w:r/>
            <w:r>
              <w:rPr>
                <w:rFonts w:ascii="Arial" w:hAnsi="Arial"/>
                <w:b w:val="0"/>
                <w:color w:val="263746"/>
                <w:sz w:val="15"/>
              </w:rPr>
              <w:t>data/processed/records_for_manual_review.csv</w:t>
            </w:r>
          </w:p>
        </w:tc>
        <w:tc>
          <w:tcPr>
            <w:tcW w:type="dxa" w:w="3960"/>
            <w:vAlign w:val="center"/>
            <w:tcMar>
              <w:top w:w="90" w:type="dxa"/>
              <w:start w:w="100" w:type="dxa"/>
              <w:bottom w:w="90" w:type="dxa"/>
              <w:end w:w="100" w:type="dxa"/>
            </w:tcMar>
          </w:tcPr>
          <w:p>
            <w:pPr>
              <w:spacing w:after="0" w:before="0" w:line="250" w:lineRule="auto"/>
            </w:pPr>
            <w:r/>
            <w:r>
              <w:rPr>
                <w:rFonts w:ascii="Arial" w:hAnsi="Arial"/>
                <w:b w:val="0"/>
                <w:color w:val="263746"/>
                <w:sz w:val="15"/>
              </w:rPr>
              <w:t>Records requiring human/source review.</w:t>
            </w:r>
          </w:p>
        </w:tc>
        <w:tc>
          <w:tcPr>
            <w:tcW w:type="dxa" w:w="2376"/>
            <w:vAlign w:val="center"/>
            <w:tcMar>
              <w:top w:w="90" w:type="dxa"/>
              <w:start w:w="100" w:type="dxa"/>
              <w:bottom w:w="90" w:type="dxa"/>
              <w:end w:w="100" w:type="dxa"/>
            </w:tcMar>
          </w:tcPr>
          <w:p>
            <w:pPr>
              <w:spacing w:after="0" w:before="0" w:line="250" w:lineRule="auto"/>
            </w:pPr>
            <w:r/>
            <w:r>
              <w:rPr>
                <w:rFonts w:ascii="Arial" w:hAnsi="Arial"/>
                <w:b w:val="0"/>
                <w:color w:val="263746"/>
                <w:sz w:val="15"/>
              </w:rPr>
              <w:t>Generated by the script.</w:t>
            </w:r>
          </w:p>
        </w:tc>
      </w:tr>
      <w:tr>
        <w:trPr>
          <w:cantSplit/>
        </w:trPr>
        <w:tc>
          <w:tcPr>
            <w:tcW w:type="dxa" w:w="3168"/>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data/processed/quality_summary.json</w:t>
            </w:r>
          </w:p>
        </w:tc>
        <w:tc>
          <w:tcPr>
            <w:tcW w:type="dxa" w:w="3960"/>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Machine-readable run summary.</w:t>
            </w:r>
          </w:p>
        </w:tc>
        <w:tc>
          <w:tcPr>
            <w:tcW w:type="dxa" w:w="2376"/>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States synthetic origin and review limitations.</w:t>
            </w:r>
          </w:p>
        </w:tc>
      </w:tr>
    </w:tbl>
    <w:p>
      <w:pPr>
        <w:spacing w:after="20"/>
      </w:pPr>
    </w:p>
    <w:p>
      <w:pPr>
        <w:pStyle w:val="Heading2"/>
        <w:keepNext/>
      </w:pPr>
      <w:r>
        <w:t>7.2 Suggested run command</w:t>
      </w:r>
    </w:p>
    <w:p>
      <w:pPr>
        <w:spacing w:before="0" w:after="0" w:line="240" w:lineRule="auto"/>
        <w:ind w:left="216" w:right="173"/>
        <w:shd w:fill="F2F5F8"/>
      </w:pPr>
      <w:r>
        <w:rPr>
          <w:rFonts w:ascii="Consolas" w:hAnsi="Consolas"/>
          <w:color w:val="243746"/>
          <w:sz w:val="14"/>
        </w:rPr>
        <w:t>python -m pip install -r requirements.txt</w:t>
      </w:r>
    </w:p>
    <w:p>
      <w:pPr>
        <w:spacing w:before="0" w:after="0" w:line="240" w:lineRule="auto"/>
        <w:ind w:left="216" w:right="173"/>
        <w:shd w:fill="F2F5F8"/>
      </w:pPr>
      <w:r>
        <w:rPr>
          <w:rFonts w:ascii="Consolas" w:hAnsi="Consolas"/>
          <w:color w:val="243746"/>
          <w:sz w:val="14"/>
        </w:rPr>
        <w:t>python src/profile_raw_data.py</w:t>
      </w:r>
    </w:p>
    <w:p>
      <w:pPr>
        <w:widowControl/>
      </w:pPr>
      <w:r>
        <w:t>Expected behavior: the script prints a JSON summary and writes audit artifacts. The row count and exception count relate only to the generated synthetic fixture. If real data is substituted later, review every business rule and source definition before using the outputs.</w:t>
      </w:r>
    </w:p>
    <w:p>
      <w:r>
        <w:br w:type="page"/>
      </w:r>
    </w:p>
    <w:p>
      <w:pPr>
        <w:pStyle w:val="Heading1"/>
        <w:keepNext/>
      </w:pPr>
      <w:r>
        <w:t>8. Governance, Security and Reproducibility</w:t>
      </w:r>
    </w:p>
    <w:tbl>
      <w:tblPr>
        <w:tblStyle w:val="TableGrid"/>
        <w:tblW w:type="auto" w:w="0"/>
        <w:jc w:val="center"/>
        <w:tblLayout w:type="fixed"/>
        <w:tblLook w:firstColumn="1" w:firstRow="1" w:lastColumn="0" w:lastRow="0" w:noHBand="0" w:noVBand="1" w:val="04A0"/>
      </w:tblPr>
      <w:tblGrid>
        <w:gridCol w:w="4874"/>
        <w:gridCol w:w="4874"/>
      </w:tblGrid>
      <w:tr>
        <w:trPr>
          <w:tblHeader w:val="true"/>
          <w:cantSplit/>
        </w:trPr>
        <w:tc>
          <w:tcPr>
            <w:tcW w:type="dxa" w:w="2232"/>
            <w:vAlign w:val="center"/>
            <w:tcMar>
              <w:top w:w="90" w:type="dxa"/>
              <w:start w:w="100" w:type="dxa"/>
              <w:bottom w:w="90" w:type="dxa"/>
              <w:end w:w="100" w:type="dxa"/>
            </w:tcMar>
            <w:shd w:fill="18324A"/>
          </w:tcPr>
          <w:p>
            <w:pPr>
              <w:spacing w:after="0" w:before="0" w:line="250" w:lineRule="auto"/>
            </w:pPr>
            <w:r/>
            <w:r>
              <w:rPr>
                <w:rFonts w:ascii="Arial" w:hAnsi="Arial"/>
                <w:b/>
                <w:color w:val="FFFFFF"/>
                <w:sz w:val="16"/>
              </w:rPr>
              <w:t>Control</w:t>
            </w:r>
          </w:p>
        </w:tc>
        <w:tc>
          <w:tcPr>
            <w:tcW w:type="dxa" w:w="7272"/>
            <w:vAlign w:val="center"/>
            <w:tcMar>
              <w:top w:w="90" w:type="dxa"/>
              <w:start w:w="100" w:type="dxa"/>
              <w:bottom w:w="90" w:type="dxa"/>
              <w:end w:w="100" w:type="dxa"/>
            </w:tcMar>
            <w:shd w:fill="18324A"/>
          </w:tcPr>
          <w:p>
            <w:pPr>
              <w:spacing w:after="0" w:before="0" w:line="250" w:lineRule="auto"/>
            </w:pPr>
            <w:r/>
            <w:r>
              <w:rPr>
                <w:rFonts w:ascii="Arial" w:hAnsi="Arial"/>
                <w:b/>
                <w:color w:val="FFFFFF"/>
                <w:sz w:val="16"/>
              </w:rPr>
              <w:t>Proposed practice</w:t>
            </w:r>
          </w:p>
        </w:tc>
      </w:tr>
      <w:tr>
        <w:trPr>
          <w:cantSplit/>
        </w:trPr>
        <w:tc>
          <w:tcPr>
            <w:tcW w:type="dxa" w:w="2232"/>
            <w:vAlign w:val="center"/>
            <w:tcMar>
              <w:top w:w="90" w:type="dxa"/>
              <w:start w:w="100" w:type="dxa"/>
              <w:bottom w:w="90" w:type="dxa"/>
              <w:end w:w="100" w:type="dxa"/>
            </w:tcMar>
          </w:tcPr>
          <w:p>
            <w:pPr>
              <w:spacing w:after="0" w:before="0" w:line="250" w:lineRule="auto"/>
            </w:pPr>
            <w:r/>
            <w:r>
              <w:rPr>
                <w:rFonts w:ascii="Arial" w:hAnsi="Arial"/>
                <w:b w:val="0"/>
                <w:color w:val="263746"/>
                <w:sz w:val="16"/>
              </w:rPr>
              <w:t>Access and permission</w:t>
            </w:r>
          </w:p>
        </w:tc>
        <w:tc>
          <w:tcPr>
            <w:tcW w:type="dxa" w:w="7272"/>
            <w:vAlign w:val="center"/>
            <w:tcMar>
              <w:top w:w="90" w:type="dxa"/>
              <w:start w:w="100" w:type="dxa"/>
              <w:bottom w:w="90" w:type="dxa"/>
              <w:end w:w="100" w:type="dxa"/>
            </w:tcMar>
          </w:tcPr>
          <w:p>
            <w:pPr>
              <w:spacing w:after="0" w:before="0" w:line="250" w:lineRule="auto"/>
            </w:pPr>
            <w:r/>
            <w:r>
              <w:rPr>
                <w:rFonts w:ascii="Arial" w:hAnsi="Arial"/>
                <w:b w:val="0"/>
                <w:color w:val="263746"/>
                <w:sz w:val="16"/>
              </w:rPr>
              <w:t>Use public data under its stated terms; obtain explicit owner permission for internal logs. Store no personal or sensitive information unless access and handling are authorized.</w:t>
            </w:r>
          </w:p>
        </w:tc>
      </w:tr>
      <w:tr>
        <w:trPr>
          <w:cantSplit/>
        </w:trPr>
        <w:tc>
          <w:tcPr>
            <w:tcW w:type="dxa" w:w="2232"/>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6"/>
              </w:rPr>
              <w:t>Confidentiality</w:t>
            </w:r>
          </w:p>
        </w:tc>
        <w:tc>
          <w:tcPr>
            <w:tcW w:type="dxa" w:w="7272"/>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6"/>
              </w:rPr>
              <w:t>Pseudonymize project and contractor names where disclosure is not needed. Do not publish proprietary contracts, personal details or restricted project records to a public repository.</w:t>
            </w:r>
          </w:p>
        </w:tc>
      </w:tr>
      <w:tr>
        <w:trPr>
          <w:cantSplit/>
        </w:trPr>
        <w:tc>
          <w:tcPr>
            <w:tcW w:type="dxa" w:w="2232"/>
            <w:vAlign w:val="center"/>
            <w:tcMar>
              <w:top w:w="90" w:type="dxa"/>
              <w:start w:w="100" w:type="dxa"/>
              <w:bottom w:w="90" w:type="dxa"/>
              <w:end w:w="100" w:type="dxa"/>
            </w:tcMar>
          </w:tcPr>
          <w:p>
            <w:pPr>
              <w:spacing w:after="0" w:before="0" w:line="250" w:lineRule="auto"/>
            </w:pPr>
            <w:r/>
            <w:r>
              <w:rPr>
                <w:rFonts w:ascii="Arial" w:hAnsi="Arial"/>
                <w:b w:val="0"/>
                <w:color w:val="263746"/>
                <w:sz w:val="16"/>
              </w:rPr>
              <w:t>Data lineage</w:t>
            </w:r>
          </w:p>
        </w:tc>
        <w:tc>
          <w:tcPr>
            <w:tcW w:type="dxa" w:w="7272"/>
            <w:vAlign w:val="center"/>
            <w:tcMar>
              <w:top w:w="90" w:type="dxa"/>
              <w:start w:w="100" w:type="dxa"/>
              <w:bottom w:w="90" w:type="dxa"/>
              <w:end w:w="100" w:type="dxa"/>
            </w:tcMar>
          </w:tcPr>
          <w:p>
            <w:pPr>
              <w:spacing w:after="0" w:before="0" w:line="250" w:lineRule="auto"/>
            </w:pPr>
            <w:r/>
            <w:r>
              <w:rPr>
                <w:rFonts w:ascii="Arial" w:hAnsi="Arial"/>
                <w:b w:val="0"/>
                <w:color w:val="263746"/>
                <w:sz w:val="16"/>
              </w:rPr>
              <w:t>Record provider, source URL/path, extraction date, reporting period, source version, license/permission and transformations.</w:t>
            </w:r>
          </w:p>
        </w:tc>
      </w:tr>
      <w:tr>
        <w:trPr>
          <w:cantSplit/>
        </w:trPr>
        <w:tc>
          <w:tcPr>
            <w:tcW w:type="dxa" w:w="2232"/>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6"/>
              </w:rPr>
              <w:t>Version control</w:t>
            </w:r>
          </w:p>
        </w:tc>
        <w:tc>
          <w:tcPr>
            <w:tcW w:type="dxa" w:w="7272"/>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6"/>
              </w:rPr>
              <w:t>Keep raw files immutable; version the schema, script, README and transformation rules. Use descriptive commits and record run date.</w:t>
            </w:r>
          </w:p>
        </w:tc>
      </w:tr>
      <w:tr>
        <w:trPr>
          <w:cantSplit/>
        </w:trPr>
        <w:tc>
          <w:tcPr>
            <w:tcW w:type="dxa" w:w="2232"/>
            <w:vAlign w:val="center"/>
            <w:tcMar>
              <w:top w:w="90" w:type="dxa"/>
              <w:start w:w="100" w:type="dxa"/>
              <w:bottom w:w="90" w:type="dxa"/>
              <w:end w:w="100" w:type="dxa"/>
            </w:tcMar>
          </w:tcPr>
          <w:p>
            <w:pPr>
              <w:spacing w:after="0" w:before="0" w:line="250" w:lineRule="auto"/>
            </w:pPr>
            <w:r/>
            <w:r>
              <w:rPr>
                <w:rFonts w:ascii="Arial" w:hAnsi="Arial"/>
                <w:b w:val="0"/>
                <w:color w:val="263746"/>
                <w:sz w:val="16"/>
              </w:rPr>
              <w:t>Reproducibility</w:t>
            </w:r>
          </w:p>
        </w:tc>
        <w:tc>
          <w:tcPr>
            <w:tcW w:type="dxa" w:w="7272"/>
            <w:vAlign w:val="center"/>
            <w:tcMar>
              <w:top w:w="90" w:type="dxa"/>
              <w:start w:w="100" w:type="dxa"/>
              <w:bottom w:w="90" w:type="dxa"/>
              <w:end w:w="100" w:type="dxa"/>
            </w:tcMar>
          </w:tcPr>
          <w:p>
            <w:pPr>
              <w:spacing w:after="0" w:before="0" w:line="250" w:lineRule="auto"/>
            </w:pPr>
            <w:r/>
            <w:r>
              <w:rPr>
                <w:rFonts w:ascii="Arial" w:hAnsi="Arial"/>
                <w:b w:val="0"/>
                <w:color w:val="263746"/>
                <w:sz w:val="16"/>
              </w:rPr>
              <w:t>Pin or document library versions, random seeds for any synthetic generator and command-line steps. Make outputs reproducible from raw files.</w:t>
            </w:r>
          </w:p>
        </w:tc>
      </w:tr>
      <w:tr>
        <w:trPr>
          <w:cantSplit/>
        </w:trPr>
        <w:tc>
          <w:tcPr>
            <w:tcW w:type="dxa" w:w="2232"/>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6"/>
              </w:rPr>
              <w:t>Quality sign-off</w:t>
            </w:r>
          </w:p>
        </w:tc>
        <w:tc>
          <w:tcPr>
            <w:tcW w:type="dxa" w:w="7272"/>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6"/>
              </w:rPr>
              <w:t>Data owner validates key definitions, exception treatment and baseline revision before downstream KPI reporting.</w:t>
            </w:r>
          </w:p>
        </w:tc>
      </w:tr>
      <w:tr>
        <w:trPr>
          <w:cantSplit/>
        </w:trPr>
        <w:tc>
          <w:tcPr>
            <w:tcW w:type="dxa" w:w="2232"/>
            <w:vAlign w:val="center"/>
            <w:tcMar>
              <w:top w:w="90" w:type="dxa"/>
              <w:start w:w="100" w:type="dxa"/>
              <w:bottom w:w="90" w:type="dxa"/>
              <w:end w:w="100" w:type="dxa"/>
            </w:tcMar>
          </w:tcPr>
          <w:p>
            <w:pPr>
              <w:spacing w:after="0" w:before="0" w:line="250" w:lineRule="auto"/>
            </w:pPr>
            <w:r/>
            <w:r>
              <w:rPr>
                <w:rFonts w:ascii="Arial" w:hAnsi="Arial"/>
                <w:b w:val="0"/>
                <w:color w:val="263746"/>
                <w:sz w:val="16"/>
              </w:rPr>
              <w:t>Retention and backup</w:t>
            </w:r>
          </w:p>
        </w:tc>
        <w:tc>
          <w:tcPr>
            <w:tcW w:type="dxa" w:w="7272"/>
            <w:vAlign w:val="center"/>
            <w:tcMar>
              <w:top w:w="90" w:type="dxa"/>
              <w:start w:w="100" w:type="dxa"/>
              <w:bottom w:w="90" w:type="dxa"/>
              <w:end w:w="100" w:type="dxa"/>
            </w:tcMar>
          </w:tcPr>
          <w:p>
            <w:pPr>
              <w:spacing w:after="0" w:before="0" w:line="250" w:lineRule="auto"/>
            </w:pPr>
            <w:r/>
            <w:r>
              <w:rPr>
                <w:rFonts w:ascii="Arial" w:hAnsi="Arial"/>
                <w:b w:val="0"/>
                <w:color w:val="263746"/>
                <w:sz w:val="16"/>
              </w:rPr>
              <w:t>Follow the data owner’s retention rules. Keep only the minimum project fields needed for the approved purpose.</w:t>
            </w:r>
          </w:p>
        </w:tc>
      </w:tr>
    </w:tbl>
    <w:p>
      <w:pPr>
        <w:spacing w:after="20"/>
      </w:pPr>
    </w:p>
    <w:p>
      <w:pPr>
        <w:pStyle w:val="Heading2"/>
        <w:keepNext/>
      </w:pPr>
      <w:r>
        <w:t>8.1 Public GitHub safety</w:t>
      </w:r>
    </w:p>
    <w:p>
      <w:pPr>
        <w:widowControl/>
      </w:pPr>
      <w:r>
        <w:t>The task portal describes the GitHub field as optional but also says that a GitHub URL is compulsory for technical/software-related work. To be safe, a repository should be supplied for this technical internship if the portal enforces that rule. Publish only the report, scripts and explicitly synthetic example data; do not upload confidential internal extracts, credentials, access tokens or restricted documents.</w:t>
      </w:r>
    </w:p>
    <w:p>
      <w:pPr>
        <w:pStyle w:val="Heading1"/>
        <w:keepNext/>
      </w:pPr>
      <w:r>
        <w:t>9. Work Plan, Milestones and Effort</w:t>
      </w:r>
    </w:p>
    <w:p>
      <w:pPr>
        <w:widowControl/>
      </w:pPr>
      <w:r>
        <w:t>The portal estimates 30–35 hours. The following illustrative plan totals 32 hours and provides clear checkpoints for a one-week strategy deliverable.</w:t>
      </w:r>
    </w:p>
    <w:tbl>
      <w:tblPr>
        <w:tblStyle w:val="TableGrid"/>
        <w:tblW w:type="auto" w:w="0"/>
        <w:jc w:val="center"/>
        <w:tblLayout w:type="fixed"/>
        <w:tblLook w:firstColumn="1" w:firstRow="1" w:lastColumn="0" w:lastRow="0" w:noHBand="0" w:noVBand="1" w:val="04A0"/>
      </w:tblPr>
      <w:tblGrid>
        <w:gridCol w:w="2437"/>
        <w:gridCol w:w="2437"/>
        <w:gridCol w:w="2437"/>
        <w:gridCol w:w="2437"/>
      </w:tblGrid>
      <w:tr>
        <w:trPr>
          <w:tblHeader w:val="true"/>
          <w:cantSplit/>
        </w:trPr>
        <w:tc>
          <w:tcPr>
            <w:tcW w:type="dxa" w:w="1800"/>
            <w:vAlign w:val="center"/>
            <w:tcMar>
              <w:top w:w="90" w:type="dxa"/>
              <w:start w:w="100" w:type="dxa"/>
              <w:bottom w:w="90" w:type="dxa"/>
              <w:end w:w="100" w:type="dxa"/>
            </w:tcMar>
            <w:shd w:fill="18324A"/>
          </w:tcPr>
          <w:p>
            <w:pPr>
              <w:spacing w:after="0" w:before="0" w:line="250" w:lineRule="auto"/>
            </w:pPr>
            <w:r/>
            <w:r>
              <w:rPr>
                <w:rFonts w:ascii="Arial" w:hAnsi="Arial"/>
                <w:b/>
                <w:color w:val="FFFFFF"/>
                <w:sz w:val="15"/>
              </w:rPr>
              <w:t>Work block</w:t>
            </w:r>
          </w:p>
        </w:tc>
        <w:tc>
          <w:tcPr>
            <w:tcW w:type="dxa" w:w="3888"/>
            <w:vAlign w:val="center"/>
            <w:tcMar>
              <w:top w:w="90" w:type="dxa"/>
              <w:start w:w="100" w:type="dxa"/>
              <w:bottom w:w="90" w:type="dxa"/>
              <w:end w:w="100" w:type="dxa"/>
            </w:tcMar>
            <w:shd w:fill="18324A"/>
          </w:tcPr>
          <w:p>
            <w:pPr>
              <w:spacing w:after="0" w:before="0" w:line="250" w:lineRule="auto"/>
            </w:pPr>
            <w:r/>
            <w:r>
              <w:rPr>
                <w:rFonts w:ascii="Arial" w:hAnsi="Arial"/>
                <w:b/>
                <w:color w:val="FFFFFF"/>
                <w:sz w:val="15"/>
              </w:rPr>
              <w:t>Activities</w:t>
            </w:r>
          </w:p>
        </w:tc>
        <w:tc>
          <w:tcPr>
            <w:tcW w:type="dxa" w:w="792"/>
            <w:vAlign w:val="center"/>
            <w:tcMar>
              <w:top w:w="90" w:type="dxa"/>
              <w:start w:w="100" w:type="dxa"/>
              <w:bottom w:w="90" w:type="dxa"/>
              <w:end w:w="100" w:type="dxa"/>
            </w:tcMar>
            <w:shd w:fill="18324A"/>
          </w:tcPr>
          <w:p>
            <w:pPr>
              <w:spacing w:after="0" w:before="0" w:line="250" w:lineRule="auto"/>
            </w:pPr>
            <w:r/>
            <w:r>
              <w:rPr>
                <w:rFonts w:ascii="Arial" w:hAnsi="Arial"/>
                <w:b/>
                <w:color w:val="FFFFFF"/>
                <w:sz w:val="15"/>
              </w:rPr>
              <w:t>Hours</w:t>
            </w:r>
          </w:p>
        </w:tc>
        <w:tc>
          <w:tcPr>
            <w:tcW w:type="dxa" w:w="3024"/>
            <w:vAlign w:val="center"/>
            <w:tcMar>
              <w:top w:w="90" w:type="dxa"/>
              <w:start w:w="100" w:type="dxa"/>
              <w:bottom w:w="90" w:type="dxa"/>
              <w:end w:w="100" w:type="dxa"/>
            </w:tcMar>
            <w:shd w:fill="18324A"/>
          </w:tcPr>
          <w:p>
            <w:pPr>
              <w:spacing w:after="0" w:before="0" w:line="250" w:lineRule="auto"/>
            </w:pPr>
            <w:r/>
            <w:r>
              <w:rPr>
                <w:rFonts w:ascii="Arial" w:hAnsi="Arial"/>
                <w:b/>
                <w:color w:val="FFFFFF"/>
                <w:sz w:val="15"/>
              </w:rPr>
              <w:t>Evidence / milestone</w:t>
            </w:r>
          </w:p>
        </w:tc>
      </w:tr>
      <w:tr>
        <w:trPr>
          <w:cantSplit/>
        </w:trPr>
        <w:tc>
          <w:tcPr>
            <w:tcW w:type="dxa" w:w="1800"/>
            <w:vAlign w:val="center"/>
            <w:tcMar>
              <w:top w:w="90" w:type="dxa"/>
              <w:start w:w="100" w:type="dxa"/>
              <w:bottom w:w="90" w:type="dxa"/>
              <w:end w:w="100" w:type="dxa"/>
            </w:tcMar>
          </w:tcPr>
          <w:p>
            <w:pPr>
              <w:spacing w:after="0" w:before="0" w:line="250" w:lineRule="auto"/>
            </w:pPr>
            <w:r/>
            <w:r>
              <w:rPr>
                <w:rFonts w:ascii="Arial" w:hAnsi="Arial"/>
                <w:b w:val="0"/>
                <w:color w:val="263746"/>
                <w:sz w:val="15"/>
              </w:rPr>
              <w:t>1. Define use case</w:t>
            </w:r>
          </w:p>
        </w:tc>
        <w:tc>
          <w:tcPr>
            <w:tcW w:type="dxa" w:w="3888"/>
            <w:vAlign w:val="center"/>
            <w:tcMar>
              <w:top w:w="90" w:type="dxa"/>
              <w:start w:w="100" w:type="dxa"/>
              <w:bottom w:w="90" w:type="dxa"/>
              <w:end w:w="100" w:type="dxa"/>
            </w:tcMar>
          </w:tcPr>
          <w:p>
            <w:pPr>
              <w:spacing w:after="0" w:before="0" w:line="250" w:lineRule="auto"/>
            </w:pPr>
            <w:r/>
            <w:r>
              <w:rPr>
                <w:rFonts w:ascii="Arial" w:hAnsi="Arial"/>
                <w:b w:val="0"/>
                <w:color w:val="263746"/>
                <w:sz w:val="15"/>
              </w:rPr>
              <w:t>Business questions, KPI definitions, unit of analysis and stakeholder needs.</w:t>
            </w:r>
          </w:p>
        </w:tc>
        <w:tc>
          <w:tcPr>
            <w:tcW w:type="dxa" w:w="792"/>
            <w:vAlign w:val="center"/>
            <w:tcMar>
              <w:top w:w="90" w:type="dxa"/>
              <w:start w:w="100" w:type="dxa"/>
              <w:bottom w:w="90" w:type="dxa"/>
              <w:end w:w="100" w:type="dxa"/>
            </w:tcMar>
          </w:tcPr>
          <w:p>
            <w:pPr>
              <w:spacing w:after="0" w:before="0" w:line="250" w:lineRule="auto"/>
            </w:pPr>
            <w:r/>
            <w:r>
              <w:rPr>
                <w:rFonts w:ascii="Arial" w:hAnsi="Arial"/>
                <w:b w:val="0"/>
                <w:color w:val="263746"/>
                <w:sz w:val="15"/>
              </w:rPr>
              <w:t>5</w:t>
            </w:r>
          </w:p>
        </w:tc>
        <w:tc>
          <w:tcPr>
            <w:tcW w:type="dxa" w:w="3024"/>
            <w:vAlign w:val="center"/>
            <w:tcMar>
              <w:top w:w="90" w:type="dxa"/>
              <w:start w:w="100" w:type="dxa"/>
              <w:bottom w:w="90" w:type="dxa"/>
              <w:end w:w="100" w:type="dxa"/>
            </w:tcMar>
          </w:tcPr>
          <w:p>
            <w:pPr>
              <w:spacing w:after="0" w:before="0" w:line="250" w:lineRule="auto"/>
            </w:pPr>
            <w:r/>
            <w:r>
              <w:rPr>
                <w:rFonts w:ascii="Arial" w:hAnsi="Arial"/>
                <w:b w:val="0"/>
                <w:color w:val="263746"/>
                <w:sz w:val="15"/>
              </w:rPr>
              <w:t>Approved problem statement and scope.</w:t>
            </w:r>
          </w:p>
        </w:tc>
      </w:tr>
      <w:tr>
        <w:trPr>
          <w:cantSplit/>
        </w:trPr>
        <w:tc>
          <w:tcPr>
            <w:tcW w:type="dxa" w:w="1800"/>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2. Source research</w:t>
            </w:r>
          </w:p>
        </w:tc>
        <w:tc>
          <w:tcPr>
            <w:tcW w:type="dxa" w:w="3888"/>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Review MoSPI, CPWD DSR, World Bank notices and OGD catalog; record limits and terms.</w:t>
            </w:r>
          </w:p>
        </w:tc>
        <w:tc>
          <w:tcPr>
            <w:tcW w:type="dxa" w:w="792"/>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7</w:t>
            </w:r>
          </w:p>
        </w:tc>
        <w:tc>
          <w:tcPr>
            <w:tcW w:type="dxa" w:w="3024"/>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Source register and source-fit assessment.</w:t>
            </w:r>
          </w:p>
        </w:tc>
      </w:tr>
      <w:tr>
        <w:trPr>
          <w:cantSplit/>
        </w:trPr>
        <w:tc>
          <w:tcPr>
            <w:tcW w:type="dxa" w:w="1800"/>
            <w:vAlign w:val="center"/>
            <w:tcMar>
              <w:top w:w="90" w:type="dxa"/>
              <w:start w:w="100" w:type="dxa"/>
              <w:bottom w:w="90" w:type="dxa"/>
              <w:end w:w="100" w:type="dxa"/>
            </w:tcMar>
          </w:tcPr>
          <w:p>
            <w:pPr>
              <w:spacing w:after="0" w:before="0" w:line="250" w:lineRule="auto"/>
            </w:pPr>
            <w:r/>
            <w:r>
              <w:rPr>
                <w:rFonts w:ascii="Arial" w:hAnsi="Arial"/>
                <w:b w:val="0"/>
                <w:color w:val="263746"/>
                <w:sz w:val="15"/>
              </w:rPr>
              <w:t>3. Data design</w:t>
            </w:r>
          </w:p>
        </w:tc>
        <w:tc>
          <w:tcPr>
            <w:tcW w:type="dxa" w:w="3888"/>
            <w:vAlign w:val="center"/>
            <w:tcMar>
              <w:top w:w="90" w:type="dxa"/>
              <w:start w:w="100" w:type="dxa"/>
              <w:bottom w:w="90" w:type="dxa"/>
              <w:end w:w="100" w:type="dxa"/>
            </w:tcMar>
          </w:tcPr>
          <w:p>
            <w:pPr>
              <w:spacing w:after="0" w:before="0" w:line="250" w:lineRule="auto"/>
            </w:pPr>
            <w:r/>
            <w:r>
              <w:rPr>
                <w:rFonts w:ascii="Arial" w:hAnsi="Arial"/>
                <w:b w:val="0"/>
                <w:color w:val="263746"/>
                <w:sz w:val="15"/>
              </w:rPr>
              <w:t>Set grain, schema, data dictionary, units, keys and metadata.</w:t>
            </w:r>
          </w:p>
        </w:tc>
        <w:tc>
          <w:tcPr>
            <w:tcW w:type="dxa" w:w="792"/>
            <w:vAlign w:val="center"/>
            <w:tcMar>
              <w:top w:w="90" w:type="dxa"/>
              <w:start w:w="100" w:type="dxa"/>
              <w:bottom w:w="90" w:type="dxa"/>
              <w:end w:w="100" w:type="dxa"/>
            </w:tcMar>
          </w:tcPr>
          <w:p>
            <w:pPr>
              <w:spacing w:after="0" w:before="0" w:line="250" w:lineRule="auto"/>
            </w:pPr>
            <w:r/>
            <w:r>
              <w:rPr>
                <w:rFonts w:ascii="Arial" w:hAnsi="Arial"/>
                <w:b w:val="0"/>
                <w:color w:val="263746"/>
                <w:sz w:val="15"/>
              </w:rPr>
              <w:t>7</w:t>
            </w:r>
          </w:p>
        </w:tc>
        <w:tc>
          <w:tcPr>
            <w:tcW w:type="dxa" w:w="3024"/>
            <w:vAlign w:val="center"/>
            <w:tcMar>
              <w:top w:w="90" w:type="dxa"/>
              <w:start w:w="100" w:type="dxa"/>
              <w:bottom w:w="90" w:type="dxa"/>
              <w:end w:w="100" w:type="dxa"/>
            </w:tcMar>
          </w:tcPr>
          <w:p>
            <w:pPr>
              <w:spacing w:after="0" w:before="0" w:line="250" w:lineRule="auto"/>
            </w:pPr>
            <w:r/>
            <w:r>
              <w:rPr>
                <w:rFonts w:ascii="Arial" w:hAnsi="Arial"/>
                <w:b w:val="0"/>
                <w:color w:val="263746"/>
                <w:sz w:val="15"/>
              </w:rPr>
              <w:t>Draft schema and data dictionary.</w:t>
            </w:r>
          </w:p>
        </w:tc>
      </w:tr>
      <w:tr>
        <w:trPr>
          <w:cantSplit/>
        </w:trPr>
        <w:tc>
          <w:tcPr>
            <w:tcW w:type="dxa" w:w="1800"/>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4. Quality framework</w:t>
            </w:r>
          </w:p>
        </w:tc>
        <w:tc>
          <w:tcPr>
            <w:tcW w:type="dxa" w:w="3888"/>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Write rules for missingness, duplicates, dates, ranges, categories, units and leakage; prototype profiling code.</w:t>
            </w:r>
          </w:p>
        </w:tc>
        <w:tc>
          <w:tcPr>
            <w:tcW w:type="dxa" w:w="792"/>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7</w:t>
            </w:r>
          </w:p>
        </w:tc>
        <w:tc>
          <w:tcPr>
            <w:tcW w:type="dxa" w:w="3024"/>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Quality-rule matrix and Python starter script.</w:t>
            </w:r>
          </w:p>
        </w:tc>
      </w:tr>
      <w:tr>
        <w:trPr>
          <w:cantSplit/>
        </w:trPr>
        <w:tc>
          <w:tcPr>
            <w:tcW w:type="dxa" w:w="1800"/>
            <w:vAlign w:val="center"/>
            <w:tcMar>
              <w:top w:w="90" w:type="dxa"/>
              <w:start w:w="100" w:type="dxa"/>
              <w:bottom w:w="90" w:type="dxa"/>
              <w:end w:w="100" w:type="dxa"/>
            </w:tcMar>
          </w:tcPr>
          <w:p>
            <w:pPr>
              <w:spacing w:after="0" w:before="0" w:line="250" w:lineRule="auto"/>
            </w:pPr>
            <w:r/>
            <w:r>
              <w:rPr>
                <w:rFonts w:ascii="Arial" w:hAnsi="Arial"/>
                <w:b w:val="0"/>
                <w:color w:val="263746"/>
                <w:sz w:val="15"/>
              </w:rPr>
              <w:t>5. Validation and writing</w:t>
            </w:r>
          </w:p>
        </w:tc>
        <w:tc>
          <w:tcPr>
            <w:tcW w:type="dxa" w:w="3888"/>
            <w:vAlign w:val="center"/>
            <w:tcMar>
              <w:top w:w="90" w:type="dxa"/>
              <w:start w:w="100" w:type="dxa"/>
              <w:bottom w:w="90" w:type="dxa"/>
              <w:end w:w="100" w:type="dxa"/>
            </w:tcMar>
          </w:tcPr>
          <w:p>
            <w:pPr>
              <w:spacing w:after="0" w:before="0" w:line="250" w:lineRule="auto"/>
            </w:pPr>
            <w:r/>
            <w:r>
              <w:rPr>
                <w:rFonts w:ascii="Arial" w:hAnsi="Arial"/>
                <w:b w:val="0"/>
                <w:color w:val="263746"/>
                <w:sz w:val="15"/>
              </w:rPr>
              <w:t>Generate synthetic fixture, run profiler, inspect audit outputs, document risks and finalize report.</w:t>
            </w:r>
          </w:p>
        </w:tc>
        <w:tc>
          <w:tcPr>
            <w:tcW w:type="dxa" w:w="792"/>
            <w:vAlign w:val="center"/>
            <w:tcMar>
              <w:top w:w="90" w:type="dxa"/>
              <w:start w:w="100" w:type="dxa"/>
              <w:bottom w:w="90" w:type="dxa"/>
              <w:end w:w="100" w:type="dxa"/>
            </w:tcMar>
          </w:tcPr>
          <w:p>
            <w:pPr>
              <w:spacing w:after="0" w:before="0" w:line="250" w:lineRule="auto"/>
            </w:pPr>
            <w:r/>
            <w:r>
              <w:rPr>
                <w:rFonts w:ascii="Arial" w:hAnsi="Arial"/>
                <w:b w:val="0"/>
                <w:color w:val="263746"/>
                <w:sz w:val="15"/>
              </w:rPr>
              <w:t>6</w:t>
            </w:r>
          </w:p>
        </w:tc>
        <w:tc>
          <w:tcPr>
            <w:tcW w:type="dxa" w:w="3024"/>
            <w:vAlign w:val="center"/>
            <w:tcMar>
              <w:top w:w="90" w:type="dxa"/>
              <w:start w:w="100" w:type="dxa"/>
              <w:bottom w:w="90" w:type="dxa"/>
              <w:end w:w="100" w:type="dxa"/>
            </w:tcMar>
          </w:tcPr>
          <w:p>
            <w:pPr>
              <w:spacing w:after="0" w:before="0" w:line="250" w:lineRule="auto"/>
            </w:pPr>
            <w:r/>
            <w:r>
              <w:rPr>
                <w:rFonts w:ascii="Arial" w:hAnsi="Arial"/>
                <w:b w:val="0"/>
                <w:color w:val="263746"/>
                <w:sz w:val="15"/>
              </w:rPr>
              <w:t>Validated report, README and reproducible package.</w:t>
            </w:r>
          </w:p>
        </w:tc>
      </w:tr>
      <w:tr>
        <w:trPr>
          <w:cantSplit/>
        </w:trPr>
        <w:tc>
          <w:tcPr>
            <w:tcW w:type="dxa" w:w="1800"/>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Total</w:t>
            </w:r>
          </w:p>
        </w:tc>
        <w:tc>
          <w:tcPr>
            <w:tcW w:type="dxa" w:w="3888"/>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r>
          </w:p>
        </w:tc>
        <w:tc>
          <w:tcPr>
            <w:tcW w:type="dxa" w:w="792"/>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32</w:t>
            </w:r>
          </w:p>
        </w:tc>
        <w:tc>
          <w:tcPr>
            <w:tcW w:type="dxa" w:w="3024"/>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Final Week 1 deliverables ready for review.</w:t>
            </w:r>
          </w:p>
        </w:tc>
      </w:tr>
    </w:tbl>
    <w:p>
      <w:pPr>
        <w:spacing w:after="20"/>
      </w:pPr>
    </w:p>
    <w:p>
      <w:r>
        <w:br w:type="page"/>
      </w:r>
    </w:p>
    <w:p>
      <w:pPr>
        <w:pStyle w:val="Heading1"/>
        <w:keepNext/>
      </w:pPr>
      <w:r>
        <w:t>10. Key Risks and Mitigations</w:t>
      </w:r>
    </w:p>
    <w:tbl>
      <w:tblPr>
        <w:tblStyle w:val="TableGrid"/>
        <w:tblW w:type="auto" w:w="0"/>
        <w:jc w:val="center"/>
        <w:tblLayout w:type="fixed"/>
        <w:tblLook w:firstColumn="1" w:firstRow="1" w:lastColumn="0" w:lastRow="0" w:noHBand="0" w:noVBand="1" w:val="04A0"/>
      </w:tblPr>
      <w:tblGrid>
        <w:gridCol w:w="3250"/>
        <w:gridCol w:w="3250"/>
        <w:gridCol w:w="3250"/>
      </w:tblGrid>
      <w:tr>
        <w:trPr>
          <w:tblHeader w:val="true"/>
          <w:cantSplit/>
        </w:trPr>
        <w:tc>
          <w:tcPr>
            <w:tcW w:type="dxa" w:w="2088"/>
            <w:vAlign w:val="center"/>
            <w:tcMar>
              <w:top w:w="90" w:type="dxa"/>
              <w:start w:w="100" w:type="dxa"/>
              <w:bottom w:w="90" w:type="dxa"/>
              <w:end w:w="100" w:type="dxa"/>
            </w:tcMar>
            <w:shd w:fill="18324A"/>
          </w:tcPr>
          <w:p>
            <w:pPr>
              <w:spacing w:after="0" w:before="0" w:line="250" w:lineRule="auto"/>
            </w:pPr>
            <w:r/>
            <w:r>
              <w:rPr>
                <w:rFonts w:ascii="Arial" w:hAnsi="Arial"/>
                <w:b/>
                <w:color w:val="FFFFFF"/>
                <w:sz w:val="15"/>
              </w:rPr>
              <w:t>Risk</w:t>
            </w:r>
          </w:p>
        </w:tc>
        <w:tc>
          <w:tcPr>
            <w:tcW w:type="dxa" w:w="3024"/>
            <w:vAlign w:val="center"/>
            <w:tcMar>
              <w:top w:w="90" w:type="dxa"/>
              <w:start w:w="100" w:type="dxa"/>
              <w:bottom w:w="90" w:type="dxa"/>
              <w:end w:w="100" w:type="dxa"/>
            </w:tcMar>
            <w:shd w:fill="18324A"/>
          </w:tcPr>
          <w:p>
            <w:pPr>
              <w:spacing w:after="0" w:before="0" w:line="250" w:lineRule="auto"/>
            </w:pPr>
            <w:r/>
            <w:r>
              <w:rPr>
                <w:rFonts w:ascii="Arial" w:hAnsi="Arial"/>
                <w:b/>
                <w:color w:val="FFFFFF"/>
                <w:sz w:val="15"/>
              </w:rPr>
              <w:t>Potential impact</w:t>
            </w:r>
          </w:p>
        </w:tc>
        <w:tc>
          <w:tcPr>
            <w:tcW w:type="dxa" w:w="4392"/>
            <w:vAlign w:val="center"/>
            <w:tcMar>
              <w:top w:w="90" w:type="dxa"/>
              <w:start w:w="100" w:type="dxa"/>
              <w:bottom w:w="90" w:type="dxa"/>
              <w:end w:w="100" w:type="dxa"/>
            </w:tcMar>
            <w:shd w:fill="18324A"/>
          </w:tcPr>
          <w:p>
            <w:pPr>
              <w:spacing w:after="0" w:before="0" w:line="250" w:lineRule="auto"/>
            </w:pPr>
            <w:r/>
            <w:r>
              <w:rPr>
                <w:rFonts w:ascii="Arial" w:hAnsi="Arial"/>
                <w:b/>
                <w:color w:val="FFFFFF"/>
                <w:sz w:val="15"/>
              </w:rPr>
              <w:t>Mitigation / owner</w:t>
            </w:r>
          </w:p>
        </w:tc>
      </w:tr>
      <w:tr>
        <w:trPr>
          <w:cantSplit/>
        </w:trPr>
        <w:tc>
          <w:tcPr>
            <w:tcW w:type="dxa" w:w="2088"/>
            <w:vAlign w:val="center"/>
            <w:tcMar>
              <w:top w:w="90" w:type="dxa"/>
              <w:start w:w="100" w:type="dxa"/>
              <w:bottom w:w="90" w:type="dxa"/>
              <w:end w:w="100" w:type="dxa"/>
            </w:tcMar>
          </w:tcPr>
          <w:p>
            <w:pPr>
              <w:spacing w:after="0" w:before="0" w:line="250" w:lineRule="auto"/>
            </w:pPr>
            <w:r/>
            <w:r>
              <w:rPr>
                <w:rFonts w:ascii="Arial" w:hAnsi="Arial"/>
                <w:b w:val="0"/>
                <w:color w:val="263746"/>
                <w:sz w:val="15"/>
              </w:rPr>
              <w:t>Public data too aggregated</w:t>
            </w:r>
          </w:p>
        </w:tc>
        <w:tc>
          <w:tcPr>
            <w:tcW w:type="dxa" w:w="3024"/>
            <w:vAlign w:val="center"/>
            <w:tcMar>
              <w:top w:w="90" w:type="dxa"/>
              <w:start w:w="100" w:type="dxa"/>
              <w:bottom w:w="90" w:type="dxa"/>
              <w:end w:w="100" w:type="dxa"/>
            </w:tcMar>
          </w:tcPr>
          <w:p>
            <w:pPr>
              <w:spacing w:after="0" w:before="0" w:line="250" w:lineRule="auto"/>
            </w:pPr>
            <w:r/>
            <w:r>
              <w:rPr>
                <w:rFonts w:ascii="Arial" w:hAnsi="Arial"/>
                <w:b w:val="0"/>
                <w:color w:val="263746"/>
                <w:sz w:val="15"/>
              </w:rPr>
              <w:t>Cannot model project-level delay or cost variance.</w:t>
            </w:r>
          </w:p>
        </w:tc>
        <w:tc>
          <w:tcPr>
            <w:tcW w:type="dxa" w:w="4392"/>
            <w:vAlign w:val="center"/>
            <w:tcMar>
              <w:top w:w="90" w:type="dxa"/>
              <w:start w:w="100" w:type="dxa"/>
              <w:bottom w:w="90" w:type="dxa"/>
              <w:end w:w="100" w:type="dxa"/>
            </w:tcMar>
          </w:tcPr>
          <w:p>
            <w:pPr>
              <w:spacing w:after="0" w:before="0" w:line="250" w:lineRule="auto"/>
            </w:pPr>
            <w:r/>
            <w:r>
              <w:rPr>
                <w:rFonts w:ascii="Arial" w:hAnsi="Arial"/>
                <w:b w:val="0"/>
                <w:color w:val="263746"/>
                <w:sz w:val="15"/>
              </w:rPr>
              <w:t>Confirm grain early; use public data only for context; request approved operational extract or label dataset synthetic. (Analyst/data owner)</w:t>
            </w:r>
          </w:p>
        </w:tc>
      </w:tr>
      <w:tr>
        <w:trPr>
          <w:cantSplit/>
        </w:trPr>
        <w:tc>
          <w:tcPr>
            <w:tcW w:type="dxa" w:w="2088"/>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Different baseline versions</w:t>
            </w:r>
          </w:p>
        </w:tc>
        <w:tc>
          <w:tcPr>
            <w:tcW w:type="dxa" w:w="3024"/>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False variance caused by comparing current actuals to an obsolete baseline.</w:t>
            </w:r>
          </w:p>
        </w:tc>
        <w:tc>
          <w:tcPr>
            <w:tcW w:type="dxa" w:w="4392"/>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Store approval/version dates and distinguish original vs revised baseline. (Project controls)</w:t>
            </w:r>
          </w:p>
        </w:tc>
      </w:tr>
      <w:tr>
        <w:trPr>
          <w:cantSplit/>
        </w:trPr>
        <w:tc>
          <w:tcPr>
            <w:tcW w:type="dxa" w:w="2088"/>
            <w:vAlign w:val="center"/>
            <w:tcMar>
              <w:top w:w="90" w:type="dxa"/>
              <w:start w:w="100" w:type="dxa"/>
              <w:bottom w:w="90" w:type="dxa"/>
              <w:end w:w="100" w:type="dxa"/>
            </w:tcMar>
          </w:tcPr>
          <w:p>
            <w:pPr>
              <w:spacing w:after="0" w:before="0" w:line="250" w:lineRule="auto"/>
            </w:pPr>
            <w:r/>
            <w:r>
              <w:rPr>
                <w:rFonts w:ascii="Arial" w:hAnsi="Arial"/>
                <w:b w:val="0"/>
                <w:color w:val="263746"/>
                <w:sz w:val="15"/>
              </w:rPr>
              <w:t>Inconsistent rates/units</w:t>
            </w:r>
          </w:p>
        </w:tc>
        <w:tc>
          <w:tcPr>
            <w:tcW w:type="dxa" w:w="3024"/>
            <w:vAlign w:val="center"/>
            <w:tcMar>
              <w:top w:w="90" w:type="dxa"/>
              <w:start w:w="100" w:type="dxa"/>
              <w:bottom w:w="90" w:type="dxa"/>
              <w:end w:w="100" w:type="dxa"/>
            </w:tcMar>
          </w:tcPr>
          <w:p>
            <w:pPr>
              <w:spacing w:after="0" w:before="0" w:line="250" w:lineRule="auto"/>
            </w:pPr>
            <w:r/>
            <w:r>
              <w:rPr>
                <w:rFonts w:ascii="Arial" w:hAnsi="Arial"/>
                <w:b w:val="0"/>
                <w:color w:val="263746"/>
                <w:sz w:val="15"/>
              </w:rPr>
              <w:t>Invalid cost comparisons between geographies or periods.</w:t>
            </w:r>
          </w:p>
        </w:tc>
        <w:tc>
          <w:tcPr>
            <w:tcW w:type="dxa" w:w="4392"/>
            <w:vAlign w:val="center"/>
            <w:tcMar>
              <w:top w:w="90" w:type="dxa"/>
              <w:start w:w="100" w:type="dxa"/>
              <w:bottom w:w="90" w:type="dxa"/>
              <w:end w:w="100" w:type="dxa"/>
            </w:tcMar>
          </w:tcPr>
          <w:p>
            <w:pPr>
              <w:spacing w:after="0" w:before="0" w:line="250" w:lineRule="auto"/>
            </w:pPr>
            <w:r/>
            <w:r>
              <w:rPr>
                <w:rFonts w:ascii="Arial" w:hAnsi="Arial"/>
                <w:b w:val="0"/>
                <w:color w:val="263746"/>
                <w:sz w:val="15"/>
              </w:rPr>
              <w:t>Capture source geography, effective date, currency/unit and conversion method; CPWD rates used only as contextual reference. (Quantity surveyor/analyst)</w:t>
            </w:r>
          </w:p>
        </w:tc>
      </w:tr>
      <w:tr>
        <w:trPr>
          <w:cantSplit/>
        </w:trPr>
        <w:tc>
          <w:tcPr>
            <w:tcW w:type="dxa" w:w="2088"/>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Missing operational variables</w:t>
            </w:r>
          </w:p>
        </w:tc>
        <w:tc>
          <w:tcPr>
            <w:tcW w:type="dxa" w:w="3024"/>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Cannot calculate reliable labor, equipment or procurement measures.</w:t>
            </w:r>
          </w:p>
        </w:tc>
        <w:tc>
          <w:tcPr>
            <w:tcW w:type="dxa" w:w="4392"/>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Document data gaps; do not infer unobserved measures without approved method. (Data owner)</w:t>
            </w:r>
          </w:p>
        </w:tc>
      </w:tr>
      <w:tr>
        <w:trPr>
          <w:cantSplit/>
        </w:trPr>
        <w:tc>
          <w:tcPr>
            <w:tcW w:type="dxa" w:w="2088"/>
            <w:vAlign w:val="center"/>
            <w:tcMar>
              <w:top w:w="90" w:type="dxa"/>
              <w:start w:w="100" w:type="dxa"/>
              <w:bottom w:w="90" w:type="dxa"/>
              <w:end w:w="100" w:type="dxa"/>
            </w:tcMar>
          </w:tcPr>
          <w:p>
            <w:pPr>
              <w:spacing w:after="0" w:before="0" w:line="250" w:lineRule="auto"/>
            </w:pPr>
            <w:r/>
            <w:r>
              <w:rPr>
                <w:rFonts w:ascii="Arial" w:hAnsi="Arial"/>
                <w:b w:val="0"/>
                <w:color w:val="263746"/>
                <w:sz w:val="15"/>
              </w:rPr>
              <w:t>Unusual values treated as errors</w:t>
            </w:r>
          </w:p>
        </w:tc>
        <w:tc>
          <w:tcPr>
            <w:tcW w:type="dxa" w:w="3024"/>
            <w:vAlign w:val="center"/>
            <w:tcMar>
              <w:top w:w="90" w:type="dxa"/>
              <w:start w:w="100" w:type="dxa"/>
              <w:bottom w:w="90" w:type="dxa"/>
              <w:end w:w="100" w:type="dxa"/>
            </w:tcMar>
          </w:tcPr>
          <w:p>
            <w:pPr>
              <w:spacing w:after="0" w:before="0" w:line="250" w:lineRule="auto"/>
            </w:pPr>
            <w:r/>
            <w:r>
              <w:rPr>
                <w:rFonts w:ascii="Arial" w:hAnsi="Arial"/>
                <w:b w:val="0"/>
                <w:color w:val="263746"/>
                <w:sz w:val="15"/>
              </w:rPr>
              <w:t>Legitimate large projects or change orders may be removed incorrectly.</w:t>
            </w:r>
          </w:p>
        </w:tc>
        <w:tc>
          <w:tcPr>
            <w:tcW w:type="dxa" w:w="4392"/>
            <w:vAlign w:val="center"/>
            <w:tcMar>
              <w:top w:w="90" w:type="dxa"/>
              <w:start w:w="100" w:type="dxa"/>
              <w:bottom w:w="90" w:type="dxa"/>
              <w:end w:w="100" w:type="dxa"/>
            </w:tcMar>
          </w:tcPr>
          <w:p>
            <w:pPr>
              <w:spacing w:after="0" w:before="0" w:line="250" w:lineRule="auto"/>
            </w:pPr>
            <w:r/>
            <w:r>
              <w:rPr>
                <w:rFonts w:ascii="Arial" w:hAnsi="Arial"/>
                <w:b w:val="0"/>
                <w:color w:val="263746"/>
                <w:sz w:val="15"/>
              </w:rPr>
              <w:t>Use domain limits and manual review; preserve source row and reason. (Analyst + domain expert)</w:t>
            </w:r>
          </w:p>
        </w:tc>
      </w:tr>
      <w:tr>
        <w:trPr>
          <w:cantSplit/>
        </w:trPr>
        <w:tc>
          <w:tcPr>
            <w:tcW w:type="dxa" w:w="2088"/>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Information leakage</w:t>
            </w:r>
          </w:p>
        </w:tc>
        <w:tc>
          <w:tcPr>
            <w:tcW w:type="dxa" w:w="3024"/>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Later-week models overstate future prediction performance.</w:t>
            </w:r>
          </w:p>
        </w:tc>
        <w:tc>
          <w:tcPr>
            <w:tcW w:type="dxa" w:w="4392"/>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5"/>
              </w:rPr>
              <w:t>Define the prediction date and prohibit features not available at that time. (Analyst/model reviewer)</w:t>
            </w:r>
          </w:p>
        </w:tc>
      </w:tr>
      <w:tr>
        <w:trPr>
          <w:cantSplit/>
        </w:trPr>
        <w:tc>
          <w:tcPr>
            <w:tcW w:type="dxa" w:w="2088"/>
            <w:vAlign w:val="center"/>
            <w:tcMar>
              <w:top w:w="90" w:type="dxa"/>
              <w:start w:w="100" w:type="dxa"/>
              <w:bottom w:w="90" w:type="dxa"/>
              <w:end w:w="100" w:type="dxa"/>
            </w:tcMar>
          </w:tcPr>
          <w:p>
            <w:pPr>
              <w:spacing w:after="0" w:before="0" w:line="250" w:lineRule="auto"/>
            </w:pPr>
            <w:r/>
            <w:r>
              <w:rPr>
                <w:rFonts w:ascii="Arial" w:hAnsi="Arial"/>
                <w:b w:val="0"/>
                <w:color w:val="263746"/>
                <w:sz w:val="15"/>
              </w:rPr>
              <w:t>Confidential data exposure</w:t>
            </w:r>
          </w:p>
        </w:tc>
        <w:tc>
          <w:tcPr>
            <w:tcW w:type="dxa" w:w="3024"/>
            <w:vAlign w:val="center"/>
            <w:tcMar>
              <w:top w:w="90" w:type="dxa"/>
              <w:start w:w="100" w:type="dxa"/>
              <w:bottom w:w="90" w:type="dxa"/>
              <w:end w:w="100" w:type="dxa"/>
            </w:tcMar>
          </w:tcPr>
          <w:p>
            <w:pPr>
              <w:spacing w:after="0" w:before="0" w:line="250" w:lineRule="auto"/>
            </w:pPr>
            <w:r/>
            <w:r>
              <w:rPr>
                <w:rFonts w:ascii="Arial" w:hAnsi="Arial"/>
                <w:b w:val="0"/>
                <w:color w:val="263746"/>
                <w:sz w:val="15"/>
              </w:rPr>
              <w:t>Contractual, personal or commercial information published unintentionally.</w:t>
            </w:r>
          </w:p>
        </w:tc>
        <w:tc>
          <w:tcPr>
            <w:tcW w:type="dxa" w:w="4392"/>
            <w:vAlign w:val="center"/>
            <w:tcMar>
              <w:top w:w="90" w:type="dxa"/>
              <w:start w:w="100" w:type="dxa"/>
              <w:bottom w:w="90" w:type="dxa"/>
              <w:end w:w="100" w:type="dxa"/>
            </w:tcMar>
          </w:tcPr>
          <w:p>
            <w:pPr>
              <w:spacing w:after="0" w:before="0" w:line="250" w:lineRule="auto"/>
            </w:pPr>
            <w:r/>
            <w:r>
              <w:rPr>
                <w:rFonts w:ascii="Arial" w:hAnsi="Arial"/>
                <w:b w:val="0"/>
                <w:color w:val="263746"/>
                <w:sz w:val="15"/>
              </w:rPr>
              <w:t>Use access approval, minimization, anonymization and synthetic public examples. (Data owner/repository owner)</w:t>
            </w:r>
          </w:p>
        </w:tc>
      </w:tr>
    </w:tbl>
    <w:p>
      <w:pPr>
        <w:spacing w:after="20"/>
      </w:pPr>
    </w:p>
    <w:p>
      <w:pPr>
        <w:pStyle w:val="Heading1"/>
        <w:keepNext/>
      </w:pPr>
      <w:r>
        <w:t>11. Preliminary Insights and Hypotheses for Later Tasks</w:t>
      </w:r>
    </w:p>
    <w:p>
      <w:pPr>
        <w:widowControl/>
      </w:pPr>
      <w:r>
        <w:t>Because no real project dataset was supplied, this section states testable hypotheses rather than observed findings. These are questions for Weeks 2–4, not conclusions about the construction industry.</w:t>
      </w:r>
    </w:p>
    <w:p>
      <w:pPr>
        <w:pStyle w:val="ListBullet"/>
        <w:spacing w:after="60" w:line="259" w:lineRule="auto"/>
        <w:ind w:left="403" w:hanging="230"/>
      </w:pPr>
      <w:r>
        <w:rPr>
          <w:b/>
        </w:rPr>
        <w:t xml:space="preserve">H1 — Procurement: </w:t>
      </w:r>
      <w:r>
        <w:t>projects with longer recorded procurement delays may also show greater schedule slippage, once project type and baseline duration are considered.</w:t>
      </w:r>
    </w:p>
    <w:p>
      <w:pPr>
        <w:pStyle w:val="ListBullet"/>
        <w:spacing w:after="60" w:line="259" w:lineRule="auto"/>
        <w:ind w:left="403" w:hanging="230"/>
      </w:pPr>
      <w:r>
        <w:rPr>
          <w:b/>
        </w:rPr>
        <w:t xml:space="preserve">H2 — Budget: </w:t>
      </w:r>
      <w:r>
        <w:t>cost variance may differ by project type, material-price context and scope-change frequency; baseline versions must be aligned first.</w:t>
      </w:r>
    </w:p>
    <w:p>
      <w:pPr>
        <w:pStyle w:val="ListBullet"/>
        <w:spacing w:after="60" w:line="259" w:lineRule="auto"/>
        <w:ind w:left="403" w:hanging="230"/>
      </w:pPr>
      <w:r>
        <w:rPr>
          <w:b/>
        </w:rPr>
        <w:t xml:space="preserve">H3 — Resources: </w:t>
      </w:r>
      <w:r>
        <w:t>labor and equipment utilization may help explain variation in progress rate, but reporting frequency and project phase can confound comparisons.</w:t>
      </w:r>
    </w:p>
    <w:p>
      <w:pPr>
        <w:pStyle w:val="ListBullet"/>
        <w:spacing w:after="60" w:line="259" w:lineRule="auto"/>
        <w:ind w:left="403" w:hanging="230"/>
      </w:pPr>
      <w:r>
        <w:rPr>
          <w:b/>
        </w:rPr>
        <w:t xml:space="preserve">H4 — Reporting quality: </w:t>
      </w:r>
      <w:r>
        <w:t>projects with stale progress snapshots may appear to have different risk levels simply because reporting dates differ.</w:t>
      </w:r>
    </w:p>
    <w:p>
      <w:pPr>
        <w:pStyle w:val="ListBullet"/>
        <w:spacing w:after="60" w:line="259" w:lineRule="auto"/>
        <w:ind w:left="403" w:hanging="230"/>
      </w:pPr>
      <w:r>
        <w:rPr>
          <w:b/>
        </w:rPr>
        <w:t xml:space="preserve">H5 — Source coverage: </w:t>
      </w:r>
      <w:r>
        <w:t>public sources may be suitable for macro-level cost/time context but insufficient for safety, labor and equipment-level analytics.</w:t>
      </w:r>
    </w:p>
    <w:p>
      <w:pPr>
        <w:widowControl/>
      </w:pPr>
      <w:r>
        <w:t>The next task should profile the chosen data and test data quality, distributions and relationships. Only after the data dictionary and baseline definitions are confirmed should any statistical model or predictive claim be developed.</w:t>
      </w:r>
    </w:p>
    <w:p>
      <w:pPr>
        <w:pStyle w:val="Heading1"/>
        <w:keepNext/>
      </w:pPr>
      <w:r>
        <w:t>12. Final Deliverables and Acceptance Checklist</w:t>
      </w:r>
    </w:p>
    <w:tbl>
      <w:tblPr>
        <w:tblStyle w:val="TableGrid"/>
        <w:tblW w:type="auto" w:w="0"/>
        <w:jc w:val="center"/>
        <w:tblLayout w:type="fixed"/>
        <w:tblLook w:firstColumn="1" w:firstRow="1" w:lastColumn="0" w:lastRow="0" w:noHBand="0" w:noVBand="1" w:val="04A0"/>
      </w:tblPr>
      <w:tblGrid>
        <w:gridCol w:w="4874"/>
        <w:gridCol w:w="4874"/>
      </w:tblGrid>
      <w:tr>
        <w:trPr>
          <w:tblHeader w:val="true"/>
          <w:cantSplit/>
        </w:trPr>
        <w:tc>
          <w:tcPr>
            <w:tcW w:type="dxa" w:w="2448"/>
            <w:vAlign w:val="center"/>
            <w:tcMar>
              <w:top w:w="90" w:type="dxa"/>
              <w:start w:w="100" w:type="dxa"/>
              <w:bottom w:w="90" w:type="dxa"/>
              <w:end w:w="100" w:type="dxa"/>
            </w:tcMar>
            <w:shd w:fill="18324A"/>
          </w:tcPr>
          <w:p>
            <w:pPr>
              <w:spacing w:after="0" w:before="0" w:line="250" w:lineRule="auto"/>
            </w:pPr>
            <w:r/>
            <w:r>
              <w:rPr>
                <w:rFonts w:ascii="Arial" w:hAnsi="Arial"/>
                <w:b/>
                <w:color w:val="FFFFFF"/>
                <w:sz w:val="16"/>
              </w:rPr>
              <w:t>Deliverable</w:t>
            </w:r>
          </w:p>
        </w:tc>
        <w:tc>
          <w:tcPr>
            <w:tcW w:type="dxa" w:w="7056"/>
            <w:vAlign w:val="center"/>
            <w:tcMar>
              <w:top w:w="90" w:type="dxa"/>
              <w:start w:w="100" w:type="dxa"/>
              <w:bottom w:w="90" w:type="dxa"/>
              <w:end w:w="100" w:type="dxa"/>
            </w:tcMar>
            <w:shd w:fill="18324A"/>
          </w:tcPr>
          <w:p>
            <w:pPr>
              <w:spacing w:after="0" w:before="0" w:line="250" w:lineRule="auto"/>
            </w:pPr>
            <w:r/>
            <w:r>
              <w:rPr>
                <w:rFonts w:ascii="Arial" w:hAnsi="Arial"/>
                <w:b/>
                <w:color w:val="FFFFFF"/>
                <w:sz w:val="16"/>
              </w:rPr>
              <w:t>Acceptance criteria</w:t>
            </w:r>
          </w:p>
        </w:tc>
      </w:tr>
      <w:tr>
        <w:trPr>
          <w:cantSplit/>
        </w:trPr>
        <w:tc>
          <w:tcPr>
            <w:tcW w:type="dxa" w:w="2448"/>
            <w:vAlign w:val="center"/>
            <w:tcMar>
              <w:top w:w="90" w:type="dxa"/>
              <w:start w:w="100" w:type="dxa"/>
              <w:bottom w:w="90" w:type="dxa"/>
              <w:end w:w="100" w:type="dxa"/>
            </w:tcMar>
          </w:tcPr>
          <w:p>
            <w:pPr>
              <w:spacing w:after="0" w:before="0" w:line="250" w:lineRule="auto"/>
            </w:pPr>
            <w:r/>
            <w:r>
              <w:rPr>
                <w:rFonts w:ascii="Arial" w:hAnsi="Arial"/>
                <w:b w:val="0"/>
                <w:color w:val="263746"/>
                <w:sz w:val="16"/>
              </w:rPr>
              <w:t>Strategy report (.docx)</w:t>
            </w:r>
          </w:p>
        </w:tc>
        <w:tc>
          <w:tcPr>
            <w:tcW w:type="dxa" w:w="7056"/>
            <w:vAlign w:val="center"/>
            <w:tcMar>
              <w:top w:w="90" w:type="dxa"/>
              <w:start w:w="100" w:type="dxa"/>
              <w:bottom w:w="90" w:type="dxa"/>
              <w:end w:w="100" w:type="dxa"/>
            </w:tcMar>
          </w:tcPr>
          <w:p>
            <w:pPr>
              <w:spacing w:after="0" w:before="0" w:line="250" w:lineRule="auto"/>
            </w:pPr>
            <w:r/>
            <w:r>
              <w:rPr>
                <w:rFonts w:ascii="Arial" w:hAnsi="Arial"/>
                <w:b w:val="0"/>
                <w:color w:val="263746"/>
                <w:sz w:val="16"/>
              </w:rPr>
              <w:t>Defines the scenario, objectives, source selection, preparation plan, risks, timeline and references.</w:t>
            </w:r>
          </w:p>
        </w:tc>
      </w:tr>
      <w:tr>
        <w:trPr>
          <w:cantSplit/>
        </w:trPr>
        <w:tc>
          <w:tcPr>
            <w:tcW w:type="dxa" w:w="2448"/>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6"/>
              </w:rPr>
              <w:t>Source register and data dictionary</w:t>
            </w:r>
          </w:p>
        </w:tc>
        <w:tc>
          <w:tcPr>
            <w:tcW w:type="dxa" w:w="7056"/>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6"/>
              </w:rPr>
              <w:t>Each variable has a definition, type/unit, source/owner, grain and known quality caveat.</w:t>
            </w:r>
          </w:p>
        </w:tc>
      </w:tr>
      <w:tr>
        <w:trPr>
          <w:cantSplit/>
        </w:trPr>
        <w:tc>
          <w:tcPr>
            <w:tcW w:type="dxa" w:w="2448"/>
            <w:vAlign w:val="center"/>
            <w:tcMar>
              <w:top w:w="90" w:type="dxa"/>
              <w:start w:w="100" w:type="dxa"/>
              <w:bottom w:w="90" w:type="dxa"/>
              <w:end w:w="100" w:type="dxa"/>
            </w:tcMar>
          </w:tcPr>
          <w:p>
            <w:pPr>
              <w:spacing w:after="0" w:before="0" w:line="250" w:lineRule="auto"/>
            </w:pPr>
            <w:r/>
            <w:r>
              <w:rPr>
                <w:rFonts w:ascii="Arial" w:hAnsi="Arial"/>
                <w:b w:val="0"/>
                <w:color w:val="263746"/>
                <w:sz w:val="16"/>
              </w:rPr>
              <w:t>Python profiling starter</w:t>
            </w:r>
          </w:p>
        </w:tc>
        <w:tc>
          <w:tcPr>
            <w:tcW w:type="dxa" w:w="7056"/>
            <w:vAlign w:val="center"/>
            <w:tcMar>
              <w:top w:w="90" w:type="dxa"/>
              <w:start w:w="100" w:type="dxa"/>
              <w:bottom w:w="90" w:type="dxa"/>
              <w:end w:w="100" w:type="dxa"/>
            </w:tcMar>
          </w:tcPr>
          <w:p>
            <w:pPr>
              <w:spacing w:after="0" w:before="0" w:line="250" w:lineRule="auto"/>
            </w:pPr>
            <w:r/>
            <w:r>
              <w:rPr>
                <w:rFonts w:ascii="Arial" w:hAnsi="Arial"/>
                <w:b w:val="0"/>
                <w:color w:val="263746"/>
                <w:sz w:val="16"/>
              </w:rPr>
              <w:t>Runs from repository root, preserves raw input and writes profile/staging/review outputs.</w:t>
            </w:r>
          </w:p>
        </w:tc>
      </w:tr>
      <w:tr>
        <w:trPr>
          <w:cantSplit/>
        </w:trPr>
        <w:tc>
          <w:tcPr>
            <w:tcW w:type="dxa" w:w="2448"/>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6"/>
              </w:rPr>
              <w:t>Synthetic sample data</w:t>
            </w:r>
          </w:p>
        </w:tc>
        <w:tc>
          <w:tcPr>
            <w:tcW w:type="dxa" w:w="7056"/>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6"/>
              </w:rPr>
              <w:t>Labeled as synthetic and contains examples to demonstrate quality checks, not real construction outcomes.</w:t>
            </w:r>
          </w:p>
        </w:tc>
      </w:tr>
      <w:tr>
        <w:trPr>
          <w:cantSplit/>
        </w:trPr>
        <w:tc>
          <w:tcPr>
            <w:tcW w:type="dxa" w:w="2448"/>
            <w:vAlign w:val="center"/>
            <w:tcMar>
              <w:top w:w="90" w:type="dxa"/>
              <w:start w:w="100" w:type="dxa"/>
              <w:bottom w:w="90" w:type="dxa"/>
              <w:end w:w="100" w:type="dxa"/>
            </w:tcMar>
          </w:tcPr>
          <w:p>
            <w:pPr>
              <w:spacing w:after="0" w:before="0" w:line="250" w:lineRule="auto"/>
            </w:pPr>
            <w:r/>
            <w:r>
              <w:rPr>
                <w:rFonts w:ascii="Arial" w:hAnsi="Arial"/>
                <w:b w:val="0"/>
                <w:color w:val="263746"/>
                <w:sz w:val="16"/>
              </w:rPr>
              <w:t>Reproducibility notes</w:t>
            </w:r>
          </w:p>
        </w:tc>
        <w:tc>
          <w:tcPr>
            <w:tcW w:type="dxa" w:w="7056"/>
            <w:vAlign w:val="center"/>
            <w:tcMar>
              <w:top w:w="90" w:type="dxa"/>
              <w:start w:w="100" w:type="dxa"/>
              <w:bottom w:w="90" w:type="dxa"/>
              <w:end w:w="100" w:type="dxa"/>
            </w:tcMar>
          </w:tcPr>
          <w:p>
            <w:pPr>
              <w:spacing w:after="0" w:before="0" w:line="250" w:lineRule="auto"/>
            </w:pPr>
            <w:r/>
            <w:r>
              <w:rPr>
                <w:rFonts w:ascii="Arial" w:hAnsi="Arial"/>
                <w:b w:val="0"/>
                <w:color w:val="263746"/>
                <w:sz w:val="16"/>
              </w:rPr>
              <w:t>README includes dependencies, run commands, folders, synthetic-data warning and known limitations.</w:t>
            </w:r>
          </w:p>
        </w:tc>
      </w:tr>
      <w:tr>
        <w:trPr>
          <w:cantSplit/>
        </w:trPr>
        <w:tc>
          <w:tcPr>
            <w:tcW w:type="dxa" w:w="2448"/>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6"/>
              </w:rPr>
              <w:t>Submission description</w:t>
            </w:r>
          </w:p>
        </w:tc>
        <w:tc>
          <w:tcPr>
            <w:tcW w:type="dxa" w:w="7056"/>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6"/>
              </w:rPr>
              <w:t>At least 200 words and consistent with the report and packaged files.</w:t>
            </w:r>
          </w:p>
        </w:tc>
      </w:tr>
      <w:tr>
        <w:trPr>
          <w:cantSplit/>
        </w:trPr>
        <w:tc>
          <w:tcPr>
            <w:tcW w:type="dxa" w:w="2448"/>
            <w:vAlign w:val="center"/>
            <w:tcMar>
              <w:top w:w="90" w:type="dxa"/>
              <w:start w:w="100" w:type="dxa"/>
              <w:bottom w:w="90" w:type="dxa"/>
              <w:end w:w="100" w:type="dxa"/>
            </w:tcMar>
          </w:tcPr>
          <w:p>
            <w:pPr>
              <w:spacing w:after="0" w:before="0" w:line="250" w:lineRule="auto"/>
            </w:pPr>
            <w:r/>
            <w:r>
              <w:rPr>
                <w:rFonts w:ascii="Arial" w:hAnsi="Arial"/>
                <w:b w:val="0"/>
                <w:color w:val="263746"/>
                <w:sz w:val="16"/>
              </w:rPr>
              <w:t>Repository safety</w:t>
            </w:r>
          </w:p>
        </w:tc>
        <w:tc>
          <w:tcPr>
            <w:tcW w:type="dxa" w:w="7056"/>
            <w:vAlign w:val="center"/>
            <w:tcMar>
              <w:top w:w="90" w:type="dxa"/>
              <w:start w:w="100" w:type="dxa"/>
              <w:bottom w:w="90" w:type="dxa"/>
              <w:end w:w="100" w:type="dxa"/>
            </w:tcMar>
          </w:tcPr>
          <w:p>
            <w:pPr>
              <w:spacing w:after="0" w:before="0" w:line="250" w:lineRule="auto"/>
            </w:pPr>
            <w:r/>
            <w:r>
              <w:rPr>
                <w:rFonts w:ascii="Arial" w:hAnsi="Arial"/>
                <w:b w:val="0"/>
                <w:color w:val="263746"/>
                <w:sz w:val="16"/>
              </w:rPr>
              <w:t>No private data or credentials; the portal’s URL requirement checked before submission.</w:t>
            </w:r>
          </w:p>
        </w:tc>
      </w:tr>
    </w:tbl>
    <w:p>
      <w:pPr>
        <w:spacing w:after="20"/>
      </w:pPr>
    </w:p>
    <w:p>
      <w:pPr>
        <w:pStyle w:val="Heading1"/>
        <w:keepNext/>
      </w:pPr>
      <w:r>
        <w:t>Conclusion</w:t>
      </w:r>
    </w:p>
    <w:p>
      <w:pPr>
        <w:widowControl/>
      </w:pPr>
      <w:r>
        <w:t>A reliable construction analytics project starts with clear definitions, appropriate sources and transparent quality controls. The proposed approach combines public data for context with authorized operational records where needed, and uses synthetic data only to demonstrate the preparation workflow. By preserving raw files, recording provenance, profiling before transformation and routing exceptions to review, the project can build a defensible foundation for EDA, statistical modeling and risk forecasting in the subsequent weeks.</w:t>
      </w:r>
    </w:p>
    <w:p>
      <w:pPr>
        <w:pStyle w:val="Heading1"/>
        <w:keepNext/>
      </w:pPr>
      <w:r>
        <w:t>References</w:t>
      </w:r>
    </w:p>
    <w:p>
      <w:pPr>
        <w:keepLines/>
        <w:spacing w:after="80"/>
      </w:pPr>
      <w:r>
        <w:rPr>
          <w:color w:val="263746"/>
          <w:sz w:val="16"/>
        </w:rPr>
        <w:t xml:space="preserve">[1] Ministry of Statistics and Programme Implementation (MoSPI), Government of India. Infrastructure &amp; Project Monitoring Division (IPMD), “About IPMD.” Describes analysis of time/cost overruns and publication of monthly Flash Reports and Quarterly Project Implementation Status Reports. </w:t>
      </w:r>
      <w:hyperlink r:id="rId12">
        <w:r>
          <w:rPr>
            <w:color w:val="275D7A"/>
            <w:u w:val="single"/>
          </w:rPr>
          <w:t>https://ipm.mospi.gov.in/AboutUs/AboutIPMD</w:t>
        </w:r>
      </w:hyperlink>
    </w:p>
    <w:p>
      <w:pPr>
        <w:keepLines/>
        <w:spacing w:after="80"/>
      </w:pPr>
      <w:r>
        <w:rPr>
          <w:color w:val="263746"/>
          <w:sz w:val="16"/>
        </w:rPr>
        <w:t xml:space="preserve">[2] Central Public Works Department (CPWD), Government of India. “All Circulars — Delhi Schedule of Rates (Civil).” Use the relevant DSR edition and correction slips; treat it as a dated schedule-rate reference. </w:t>
      </w:r>
      <w:hyperlink r:id="rId13">
        <w:r>
          <w:rPr>
            <w:color w:val="275D7A"/>
            <w:u w:val="single"/>
          </w:rPr>
          <w:t>https://cpwd.gov.in/AllCirculars.aspx?Type=36</w:t>
        </w:r>
      </w:hyperlink>
    </w:p>
    <w:p>
      <w:pPr>
        <w:keepLines/>
        <w:spacing w:after="80"/>
      </w:pPr>
      <w:r>
        <w:rPr>
          <w:color w:val="263746"/>
          <w:sz w:val="16"/>
        </w:rPr>
        <w:t xml:space="preserve">[3] World Bank Data Catalog. “Procurement Notice.” Public dataset of procurement tender notices for World Bank-financed projects; catalog describes a CC BY 4.0 license. </w:t>
      </w:r>
      <w:hyperlink r:id="rId14">
        <w:r>
          <w:rPr>
            <w:color w:val="275D7A"/>
            <w:u w:val="single"/>
          </w:rPr>
          <w:t>https://datacatalog.worldbank.org/search/dataset/0037776/procurement-notice</w:t>
        </w:r>
      </w:hyperlink>
    </w:p>
    <w:p>
      <w:pPr>
        <w:keepLines/>
        <w:spacing w:after="80"/>
      </w:pPr>
      <w:r>
        <w:rPr>
          <w:color w:val="263746"/>
          <w:sz w:val="16"/>
        </w:rPr>
        <w:t xml:space="preserve">[4] Government of India, Open Government Data (OGD) Platform. Search catalog for infrastructure, project-wise expenditure, sanctions, project status and related resources; metadata and granularity vary by resource. </w:t>
      </w:r>
      <w:hyperlink r:id="rId15">
        <w:r>
          <w:rPr>
            <w:color w:val="275D7A"/>
            <w:u w:val="single"/>
          </w:rPr>
          <w:t>https://www.data.gov.in/</w:t>
        </w:r>
      </w:hyperlink>
    </w:p>
    <w:p>
      <w:pPr>
        <w:keepLines/>
        <w:spacing w:after="80"/>
      </w:pPr>
      <w:r>
        <w:rPr>
          <w:color w:val="263746"/>
          <w:sz w:val="16"/>
        </w:rPr>
        <w:t xml:space="preserve">[5] pandas documentation. “Working with missing data.” Methods and semantics for identifying, representing and handling missing values. </w:t>
      </w:r>
      <w:hyperlink r:id="rId16">
        <w:r>
          <w:rPr>
            <w:color w:val="275D7A"/>
            <w:u w:val="single"/>
          </w:rPr>
          <w:t>https://pandas.pydata.org/docs/user_guide/missing_data.html</w:t>
        </w:r>
      </w:hyperlink>
    </w:p>
    <w:p>
      <w:pPr>
        <w:keepLines/>
        <w:spacing w:after="80"/>
      </w:pPr>
      <w:r>
        <w:rPr>
          <w:color w:val="263746"/>
          <w:sz w:val="16"/>
        </w:rPr>
        <w:t xml:space="preserve">[6] scikit-learn documentation. “OneHotEncoder.” Reference for converting categorical features to binary indicator columns when appropriate for downstream estimators. </w:t>
      </w:r>
      <w:hyperlink r:id="rId17">
        <w:r>
          <w:rPr>
            <w:color w:val="275D7A"/>
            <w:u w:val="single"/>
          </w:rPr>
          <w:t>https://scikit-learn.org/stable/modules/generated/sklearn.preprocessing.OneHotEncoder.html</w:t>
        </w:r>
      </w:hyperlink>
    </w:p>
    <w:p>
      <w:r>
        <w:br w:type="page"/>
      </w:r>
    </w:p>
    <w:p>
      <w:pPr>
        <w:pStyle w:val="Heading1"/>
        <w:keepNext/>
      </w:pPr>
      <w:r>
        <w:t>Appendix A — Source Register Template</w:t>
      </w:r>
    </w:p>
    <w:tbl>
      <w:tblPr>
        <w:tblStyle w:val="TableGrid"/>
        <w:tblW w:type="auto" w:w="0"/>
        <w:jc w:val="center"/>
        <w:tblLayout w:type="fixed"/>
        <w:tblLook w:firstColumn="1" w:firstRow="1" w:lastColumn="0" w:lastRow="0" w:noHBand="0" w:noVBand="1" w:val="04A0"/>
      </w:tblPr>
      <w:tblGrid>
        <w:gridCol w:w="4874"/>
        <w:gridCol w:w="4874"/>
      </w:tblGrid>
      <w:tr>
        <w:trPr>
          <w:tblHeader w:val="true"/>
          <w:cantSplit/>
        </w:trPr>
        <w:tc>
          <w:tcPr>
            <w:tcW w:type="dxa" w:w="2592"/>
            <w:vAlign w:val="center"/>
            <w:tcMar>
              <w:top w:w="90" w:type="dxa"/>
              <w:start w:w="100" w:type="dxa"/>
              <w:bottom w:w="90" w:type="dxa"/>
              <w:end w:w="100" w:type="dxa"/>
            </w:tcMar>
            <w:shd w:fill="18324A"/>
          </w:tcPr>
          <w:p>
            <w:pPr>
              <w:spacing w:after="0" w:before="0" w:line="250" w:lineRule="auto"/>
            </w:pPr>
            <w:r/>
            <w:r>
              <w:rPr>
                <w:rFonts w:ascii="Arial" w:hAnsi="Arial"/>
                <w:b/>
                <w:color w:val="FFFFFF"/>
                <w:sz w:val="16"/>
              </w:rPr>
              <w:t>Field</w:t>
            </w:r>
          </w:p>
        </w:tc>
        <w:tc>
          <w:tcPr>
            <w:tcW w:type="dxa" w:w="6912"/>
            <w:vAlign w:val="center"/>
            <w:tcMar>
              <w:top w:w="90" w:type="dxa"/>
              <w:start w:w="100" w:type="dxa"/>
              <w:bottom w:w="90" w:type="dxa"/>
              <w:end w:w="100" w:type="dxa"/>
            </w:tcMar>
            <w:shd w:fill="18324A"/>
          </w:tcPr>
          <w:p>
            <w:pPr>
              <w:spacing w:after="0" w:before="0" w:line="250" w:lineRule="auto"/>
            </w:pPr>
            <w:r/>
            <w:r>
              <w:rPr>
                <w:rFonts w:ascii="Arial" w:hAnsi="Arial"/>
                <w:b/>
                <w:color w:val="FFFFFF"/>
                <w:sz w:val="16"/>
              </w:rPr>
              <w:t>Value to record</w:t>
            </w:r>
          </w:p>
        </w:tc>
      </w:tr>
      <w:tr>
        <w:trPr>
          <w:cantSplit/>
        </w:trPr>
        <w:tc>
          <w:tcPr>
            <w:tcW w:type="dxa" w:w="2592"/>
            <w:vAlign w:val="center"/>
            <w:tcMar>
              <w:top w:w="90" w:type="dxa"/>
              <w:start w:w="100" w:type="dxa"/>
              <w:bottom w:w="90" w:type="dxa"/>
              <w:end w:w="100" w:type="dxa"/>
            </w:tcMar>
          </w:tcPr>
          <w:p>
            <w:pPr>
              <w:spacing w:after="0" w:before="0" w:line="250" w:lineRule="auto"/>
            </w:pPr>
            <w:r/>
            <w:r>
              <w:rPr>
                <w:rFonts w:ascii="Arial" w:hAnsi="Arial"/>
                <w:b w:val="0"/>
                <w:color w:val="263746"/>
                <w:sz w:val="16"/>
              </w:rPr>
              <w:t>source_id</w:t>
            </w:r>
          </w:p>
        </w:tc>
        <w:tc>
          <w:tcPr>
            <w:tcW w:type="dxa" w:w="6912"/>
            <w:vAlign w:val="center"/>
            <w:tcMar>
              <w:top w:w="90" w:type="dxa"/>
              <w:start w:w="100" w:type="dxa"/>
              <w:bottom w:w="90" w:type="dxa"/>
              <w:end w:w="100" w:type="dxa"/>
            </w:tcMar>
          </w:tcPr>
          <w:p>
            <w:pPr>
              <w:spacing w:after="0" w:before="0" w:line="250" w:lineRule="auto"/>
            </w:pPr>
            <w:r/>
            <w:r>
              <w:rPr>
                <w:rFonts w:ascii="Arial" w:hAnsi="Arial"/>
                <w:b w:val="0"/>
                <w:color w:val="263746"/>
                <w:sz w:val="16"/>
              </w:rPr>
              <w:t>Unique source identifier, e.g. SRC-001.</w:t>
            </w:r>
          </w:p>
        </w:tc>
      </w:tr>
      <w:tr>
        <w:trPr>
          <w:cantSplit/>
        </w:trPr>
        <w:tc>
          <w:tcPr>
            <w:tcW w:type="dxa" w:w="2592"/>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6"/>
              </w:rPr>
              <w:t>provider / dataset</w:t>
            </w:r>
          </w:p>
        </w:tc>
        <w:tc>
          <w:tcPr>
            <w:tcW w:type="dxa" w:w="6912"/>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6"/>
              </w:rPr>
              <w:t>Publishing department, project owner or dataset name.</w:t>
            </w:r>
          </w:p>
        </w:tc>
      </w:tr>
      <w:tr>
        <w:trPr>
          <w:cantSplit/>
        </w:trPr>
        <w:tc>
          <w:tcPr>
            <w:tcW w:type="dxa" w:w="2592"/>
            <w:vAlign w:val="center"/>
            <w:tcMar>
              <w:top w:w="90" w:type="dxa"/>
              <w:start w:w="100" w:type="dxa"/>
              <w:bottom w:w="90" w:type="dxa"/>
              <w:end w:w="100" w:type="dxa"/>
            </w:tcMar>
          </w:tcPr>
          <w:p>
            <w:pPr>
              <w:spacing w:after="0" w:before="0" w:line="250" w:lineRule="auto"/>
            </w:pPr>
            <w:r/>
            <w:r>
              <w:rPr>
                <w:rFonts w:ascii="Arial" w:hAnsi="Arial"/>
                <w:b w:val="0"/>
                <w:color w:val="263746"/>
                <w:sz w:val="16"/>
              </w:rPr>
              <w:t>URL / path</w:t>
            </w:r>
          </w:p>
        </w:tc>
        <w:tc>
          <w:tcPr>
            <w:tcW w:type="dxa" w:w="6912"/>
            <w:vAlign w:val="center"/>
            <w:tcMar>
              <w:top w:w="90" w:type="dxa"/>
              <w:start w:w="100" w:type="dxa"/>
              <w:bottom w:w="90" w:type="dxa"/>
              <w:end w:w="100" w:type="dxa"/>
            </w:tcMar>
          </w:tcPr>
          <w:p>
            <w:pPr>
              <w:spacing w:after="0" w:before="0" w:line="250" w:lineRule="auto"/>
            </w:pPr>
            <w:r/>
            <w:r>
              <w:rPr>
                <w:rFonts w:ascii="Arial" w:hAnsi="Arial"/>
                <w:b w:val="0"/>
                <w:color w:val="263746"/>
                <w:sz w:val="16"/>
              </w:rPr>
              <w:t>Direct URL or approved file location.</w:t>
            </w:r>
          </w:p>
        </w:tc>
      </w:tr>
      <w:tr>
        <w:trPr>
          <w:cantSplit/>
        </w:trPr>
        <w:tc>
          <w:tcPr>
            <w:tcW w:type="dxa" w:w="2592"/>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6"/>
              </w:rPr>
              <w:t>period / geography</w:t>
            </w:r>
          </w:p>
        </w:tc>
        <w:tc>
          <w:tcPr>
            <w:tcW w:type="dxa" w:w="6912"/>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6"/>
              </w:rPr>
              <w:t>Reporting period, location and project types covered.</w:t>
            </w:r>
          </w:p>
        </w:tc>
      </w:tr>
      <w:tr>
        <w:trPr>
          <w:cantSplit/>
        </w:trPr>
        <w:tc>
          <w:tcPr>
            <w:tcW w:type="dxa" w:w="2592"/>
            <w:vAlign w:val="center"/>
            <w:tcMar>
              <w:top w:w="90" w:type="dxa"/>
              <w:start w:w="100" w:type="dxa"/>
              <w:bottom w:w="90" w:type="dxa"/>
              <w:end w:w="100" w:type="dxa"/>
            </w:tcMar>
          </w:tcPr>
          <w:p>
            <w:pPr>
              <w:spacing w:after="0" w:before="0" w:line="250" w:lineRule="auto"/>
            </w:pPr>
            <w:r/>
            <w:r>
              <w:rPr>
                <w:rFonts w:ascii="Arial" w:hAnsi="Arial"/>
                <w:b w:val="0"/>
                <w:color w:val="263746"/>
                <w:sz w:val="16"/>
              </w:rPr>
              <w:t>grain / unit</w:t>
            </w:r>
          </w:p>
        </w:tc>
        <w:tc>
          <w:tcPr>
            <w:tcW w:type="dxa" w:w="6912"/>
            <w:vAlign w:val="center"/>
            <w:tcMar>
              <w:top w:w="90" w:type="dxa"/>
              <w:start w:w="100" w:type="dxa"/>
              <w:bottom w:w="90" w:type="dxa"/>
              <w:end w:w="100" w:type="dxa"/>
            </w:tcMar>
          </w:tcPr>
          <w:p>
            <w:pPr>
              <w:spacing w:after="0" w:before="0" w:line="250" w:lineRule="auto"/>
            </w:pPr>
            <w:r/>
            <w:r>
              <w:rPr>
                <w:rFonts w:ascii="Arial" w:hAnsi="Arial"/>
                <w:b w:val="0"/>
                <w:color w:val="263746"/>
                <w:sz w:val="16"/>
              </w:rPr>
              <w:t>Project, snapshot, tender notice, event, month, etc.</w:t>
            </w:r>
          </w:p>
        </w:tc>
      </w:tr>
      <w:tr>
        <w:trPr>
          <w:cantSplit/>
        </w:trPr>
        <w:tc>
          <w:tcPr>
            <w:tcW w:type="dxa" w:w="2592"/>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6"/>
              </w:rPr>
              <w:t>license / access</w:t>
            </w:r>
          </w:p>
        </w:tc>
        <w:tc>
          <w:tcPr>
            <w:tcW w:type="dxa" w:w="6912"/>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6"/>
              </w:rPr>
              <w:t>Public license or named approval/permission reference.</w:t>
            </w:r>
          </w:p>
        </w:tc>
      </w:tr>
      <w:tr>
        <w:trPr>
          <w:cantSplit/>
        </w:trPr>
        <w:tc>
          <w:tcPr>
            <w:tcW w:type="dxa" w:w="2592"/>
            <w:vAlign w:val="center"/>
            <w:tcMar>
              <w:top w:w="90" w:type="dxa"/>
              <w:start w:w="100" w:type="dxa"/>
              <w:bottom w:w="90" w:type="dxa"/>
              <w:end w:w="100" w:type="dxa"/>
            </w:tcMar>
          </w:tcPr>
          <w:p>
            <w:pPr>
              <w:spacing w:after="0" w:before="0" w:line="250" w:lineRule="auto"/>
            </w:pPr>
            <w:r/>
            <w:r>
              <w:rPr>
                <w:rFonts w:ascii="Arial" w:hAnsi="Arial"/>
                <w:b w:val="0"/>
                <w:color w:val="263746"/>
                <w:sz w:val="16"/>
              </w:rPr>
              <w:t>access / version</w:t>
            </w:r>
          </w:p>
        </w:tc>
        <w:tc>
          <w:tcPr>
            <w:tcW w:type="dxa" w:w="6912"/>
            <w:vAlign w:val="center"/>
            <w:tcMar>
              <w:top w:w="90" w:type="dxa"/>
              <w:start w:w="100" w:type="dxa"/>
              <w:bottom w:w="90" w:type="dxa"/>
              <w:end w:w="100" w:type="dxa"/>
            </w:tcMar>
          </w:tcPr>
          <w:p>
            <w:pPr>
              <w:spacing w:after="0" w:before="0" w:line="250" w:lineRule="auto"/>
            </w:pPr>
            <w:r/>
            <w:r>
              <w:rPr>
                <w:rFonts w:ascii="Arial" w:hAnsi="Arial"/>
                <w:b w:val="0"/>
                <w:color w:val="263746"/>
                <w:sz w:val="16"/>
              </w:rPr>
              <w:t>Access date, source version, usage terms/license, checksum if useful.</w:t>
            </w:r>
          </w:p>
        </w:tc>
      </w:tr>
      <w:tr>
        <w:trPr>
          <w:cantSplit/>
        </w:trPr>
        <w:tc>
          <w:tcPr>
            <w:tcW w:type="dxa" w:w="2592"/>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6"/>
              </w:rPr>
              <w:t>mapping / limitations</w:t>
            </w:r>
          </w:p>
        </w:tc>
        <w:tc>
          <w:tcPr>
            <w:tcW w:type="dxa" w:w="6912"/>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6"/>
              </w:rPr>
              <w:t>Field mapping, missing fields, ambiguity, aggregation and known gaps.</w:t>
            </w:r>
          </w:p>
        </w:tc>
      </w:tr>
      <w:tr>
        <w:trPr>
          <w:cantSplit/>
        </w:trPr>
        <w:tc>
          <w:tcPr>
            <w:tcW w:type="dxa" w:w="2592"/>
            <w:vAlign w:val="center"/>
            <w:tcMar>
              <w:top w:w="90" w:type="dxa"/>
              <w:start w:w="100" w:type="dxa"/>
              <w:bottom w:w="90" w:type="dxa"/>
              <w:end w:w="100" w:type="dxa"/>
            </w:tcMar>
          </w:tcPr>
          <w:p>
            <w:pPr>
              <w:spacing w:after="0" w:before="0" w:line="250" w:lineRule="auto"/>
            </w:pPr>
            <w:r/>
            <w:r>
              <w:rPr>
                <w:rFonts w:ascii="Arial" w:hAnsi="Arial"/>
                <w:b w:val="0"/>
                <w:color w:val="263746"/>
                <w:sz w:val="16"/>
              </w:rPr>
              <w:t>decision / reviewer</w:t>
            </w:r>
          </w:p>
        </w:tc>
        <w:tc>
          <w:tcPr>
            <w:tcW w:type="dxa" w:w="6912"/>
            <w:vAlign w:val="center"/>
            <w:tcMar>
              <w:top w:w="90" w:type="dxa"/>
              <w:start w:w="100" w:type="dxa"/>
              <w:bottom w:w="90" w:type="dxa"/>
              <w:end w:w="100" w:type="dxa"/>
            </w:tcMar>
          </w:tcPr>
          <w:p>
            <w:pPr>
              <w:spacing w:after="0" w:before="0" w:line="250" w:lineRule="auto"/>
            </w:pPr>
            <w:r/>
            <w:r>
              <w:rPr>
                <w:rFonts w:ascii="Arial" w:hAnsi="Arial"/>
                <w:b w:val="0"/>
                <w:color w:val="263746"/>
                <w:sz w:val="16"/>
              </w:rPr>
              <w:t>Selected/rejected, rationale, reviewer and decision date.</w:t>
            </w:r>
          </w:p>
        </w:tc>
      </w:tr>
    </w:tbl>
    <w:p>
      <w:pPr>
        <w:spacing w:after="20"/>
      </w:pPr>
    </w:p>
    <w:p>
      <w:pPr>
        <w:pStyle w:val="Heading1"/>
        <w:keepNext/>
      </w:pPr>
      <w:r>
        <w:t>Appendix B — Manual Review Record Template</w:t>
      </w:r>
    </w:p>
    <w:tbl>
      <w:tblPr>
        <w:tblStyle w:val="TableGrid"/>
        <w:tblW w:type="auto" w:w="0"/>
        <w:jc w:val="center"/>
        <w:tblLayout w:type="fixed"/>
        <w:tblLook w:firstColumn="1" w:firstRow="1" w:lastColumn="0" w:lastRow="0" w:noHBand="0" w:noVBand="1" w:val="04A0"/>
      </w:tblPr>
      <w:tblGrid>
        <w:gridCol w:w="4874"/>
        <w:gridCol w:w="4874"/>
      </w:tblGrid>
      <w:tr>
        <w:trPr>
          <w:tblHeader w:val="true"/>
          <w:cantSplit/>
        </w:trPr>
        <w:tc>
          <w:tcPr>
            <w:tcW w:type="dxa" w:w="2592"/>
            <w:vAlign w:val="center"/>
            <w:tcMar>
              <w:top w:w="90" w:type="dxa"/>
              <w:start w:w="100" w:type="dxa"/>
              <w:bottom w:w="90" w:type="dxa"/>
              <w:end w:w="100" w:type="dxa"/>
            </w:tcMar>
            <w:shd w:fill="18324A"/>
          </w:tcPr>
          <w:p>
            <w:pPr>
              <w:spacing w:after="0" w:before="0" w:line="250" w:lineRule="auto"/>
            </w:pPr>
            <w:r/>
            <w:r>
              <w:rPr>
                <w:rFonts w:ascii="Arial" w:hAnsi="Arial"/>
                <w:b/>
                <w:color w:val="FFFFFF"/>
                <w:sz w:val="16"/>
              </w:rPr>
              <w:t>Field</w:t>
            </w:r>
          </w:p>
        </w:tc>
        <w:tc>
          <w:tcPr>
            <w:tcW w:type="dxa" w:w="6912"/>
            <w:vAlign w:val="center"/>
            <w:tcMar>
              <w:top w:w="90" w:type="dxa"/>
              <w:start w:w="100" w:type="dxa"/>
              <w:bottom w:w="90" w:type="dxa"/>
              <w:end w:w="100" w:type="dxa"/>
            </w:tcMar>
            <w:shd w:fill="18324A"/>
          </w:tcPr>
          <w:p>
            <w:pPr>
              <w:spacing w:after="0" w:before="0" w:line="250" w:lineRule="auto"/>
            </w:pPr>
            <w:r/>
            <w:r>
              <w:rPr>
                <w:rFonts w:ascii="Arial" w:hAnsi="Arial"/>
                <w:b/>
                <w:color w:val="FFFFFF"/>
                <w:sz w:val="16"/>
              </w:rPr>
              <w:t>Purpose</w:t>
            </w:r>
          </w:p>
        </w:tc>
      </w:tr>
      <w:tr>
        <w:trPr>
          <w:cantSplit/>
        </w:trPr>
        <w:tc>
          <w:tcPr>
            <w:tcW w:type="dxa" w:w="2592"/>
            <w:vAlign w:val="center"/>
            <w:tcMar>
              <w:top w:w="90" w:type="dxa"/>
              <w:start w:w="100" w:type="dxa"/>
              <w:bottom w:w="90" w:type="dxa"/>
              <w:end w:w="100" w:type="dxa"/>
            </w:tcMar>
          </w:tcPr>
          <w:p>
            <w:pPr>
              <w:spacing w:after="0" w:before="0" w:line="250" w:lineRule="auto"/>
            </w:pPr>
            <w:r/>
            <w:r>
              <w:rPr>
                <w:rFonts w:ascii="Arial" w:hAnsi="Arial"/>
                <w:b w:val="0"/>
                <w:color w:val="263746"/>
                <w:sz w:val="16"/>
              </w:rPr>
              <w:t>record_key</w:t>
            </w:r>
          </w:p>
        </w:tc>
        <w:tc>
          <w:tcPr>
            <w:tcW w:type="dxa" w:w="6912"/>
            <w:vAlign w:val="center"/>
            <w:tcMar>
              <w:top w:w="90" w:type="dxa"/>
              <w:start w:w="100" w:type="dxa"/>
              <w:bottom w:w="90" w:type="dxa"/>
              <w:end w:w="100" w:type="dxa"/>
            </w:tcMar>
          </w:tcPr>
          <w:p>
            <w:pPr>
              <w:spacing w:after="0" w:before="0" w:line="250" w:lineRule="auto"/>
            </w:pPr>
            <w:r/>
            <w:r>
              <w:rPr>
                <w:rFonts w:ascii="Arial" w:hAnsi="Arial"/>
                <w:b w:val="0"/>
                <w:color w:val="263746"/>
                <w:sz w:val="16"/>
              </w:rPr>
              <w:t>Project ID and snapshot date; do not rely only on row number.</w:t>
            </w:r>
          </w:p>
        </w:tc>
      </w:tr>
      <w:tr>
        <w:trPr>
          <w:cantSplit/>
        </w:trPr>
        <w:tc>
          <w:tcPr>
            <w:tcW w:type="dxa" w:w="2592"/>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6"/>
              </w:rPr>
              <w:t>source_value</w:t>
            </w:r>
          </w:p>
        </w:tc>
        <w:tc>
          <w:tcPr>
            <w:tcW w:type="dxa" w:w="6912"/>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6"/>
              </w:rPr>
              <w:t>Original value from the source layer.</w:t>
            </w:r>
          </w:p>
        </w:tc>
      </w:tr>
      <w:tr>
        <w:trPr>
          <w:cantSplit/>
        </w:trPr>
        <w:tc>
          <w:tcPr>
            <w:tcW w:type="dxa" w:w="2592"/>
            <w:vAlign w:val="center"/>
            <w:tcMar>
              <w:top w:w="90" w:type="dxa"/>
              <w:start w:w="100" w:type="dxa"/>
              <w:bottom w:w="90" w:type="dxa"/>
              <w:end w:w="100" w:type="dxa"/>
            </w:tcMar>
          </w:tcPr>
          <w:p>
            <w:pPr>
              <w:spacing w:after="0" w:before="0" w:line="250" w:lineRule="auto"/>
            </w:pPr>
            <w:r/>
            <w:r>
              <w:rPr>
                <w:rFonts w:ascii="Arial" w:hAnsi="Arial"/>
                <w:b w:val="0"/>
                <w:color w:val="263746"/>
                <w:sz w:val="16"/>
              </w:rPr>
              <w:t>validation_rule</w:t>
            </w:r>
          </w:p>
        </w:tc>
        <w:tc>
          <w:tcPr>
            <w:tcW w:type="dxa" w:w="6912"/>
            <w:vAlign w:val="center"/>
            <w:tcMar>
              <w:top w:w="90" w:type="dxa"/>
              <w:start w:w="100" w:type="dxa"/>
              <w:bottom w:w="90" w:type="dxa"/>
              <w:end w:w="100" w:type="dxa"/>
            </w:tcMar>
          </w:tcPr>
          <w:p>
            <w:pPr>
              <w:spacing w:after="0" w:before="0" w:line="250" w:lineRule="auto"/>
            </w:pPr>
            <w:r/>
            <w:r>
              <w:rPr>
                <w:rFonts w:ascii="Arial" w:hAnsi="Arial"/>
                <w:b w:val="0"/>
                <w:color w:val="263746"/>
                <w:sz w:val="16"/>
              </w:rPr>
              <w:t>Rule that triggered the exception.</w:t>
            </w:r>
          </w:p>
        </w:tc>
      </w:tr>
      <w:tr>
        <w:trPr>
          <w:cantSplit/>
        </w:trPr>
        <w:tc>
          <w:tcPr>
            <w:tcW w:type="dxa" w:w="2592"/>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6"/>
              </w:rPr>
              <w:t>review_reason</w:t>
            </w:r>
          </w:p>
        </w:tc>
        <w:tc>
          <w:tcPr>
            <w:tcW w:type="dxa" w:w="6912"/>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6"/>
              </w:rPr>
              <w:t>Why the value requires review.</w:t>
            </w:r>
          </w:p>
        </w:tc>
      </w:tr>
      <w:tr>
        <w:trPr>
          <w:cantSplit/>
        </w:trPr>
        <w:tc>
          <w:tcPr>
            <w:tcW w:type="dxa" w:w="2592"/>
            <w:vAlign w:val="center"/>
            <w:tcMar>
              <w:top w:w="90" w:type="dxa"/>
              <w:start w:w="100" w:type="dxa"/>
              <w:bottom w:w="90" w:type="dxa"/>
              <w:end w:w="100" w:type="dxa"/>
            </w:tcMar>
          </w:tcPr>
          <w:p>
            <w:pPr>
              <w:spacing w:after="0" w:before="0" w:line="250" w:lineRule="auto"/>
            </w:pPr>
            <w:r/>
            <w:r>
              <w:rPr>
                <w:rFonts w:ascii="Arial" w:hAnsi="Arial"/>
                <w:b w:val="0"/>
                <w:color w:val="263746"/>
                <w:sz w:val="16"/>
              </w:rPr>
              <w:t>resolution</w:t>
            </w:r>
          </w:p>
        </w:tc>
        <w:tc>
          <w:tcPr>
            <w:tcW w:type="dxa" w:w="6912"/>
            <w:vAlign w:val="center"/>
            <w:tcMar>
              <w:top w:w="90" w:type="dxa"/>
              <w:start w:w="100" w:type="dxa"/>
              <w:bottom w:w="90" w:type="dxa"/>
              <w:end w:w="100" w:type="dxa"/>
            </w:tcMar>
          </w:tcPr>
          <w:p>
            <w:pPr>
              <w:spacing w:after="0" w:before="0" w:line="250" w:lineRule="auto"/>
            </w:pPr>
            <w:r/>
            <w:r>
              <w:rPr>
                <w:rFonts w:ascii="Arial" w:hAnsi="Arial"/>
                <w:b w:val="0"/>
                <w:color w:val="263746"/>
                <w:sz w:val="16"/>
              </w:rPr>
              <w:t>Verified correction, retained as missing, exclusion for a defined analysis, or pending.</w:t>
            </w:r>
          </w:p>
        </w:tc>
      </w:tr>
      <w:tr>
        <w:trPr>
          <w:cantSplit/>
        </w:trPr>
        <w:tc>
          <w:tcPr>
            <w:tcW w:type="dxa" w:w="2592"/>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6"/>
              </w:rPr>
              <w:t>evidence / approver</w:t>
            </w:r>
          </w:p>
        </w:tc>
        <w:tc>
          <w:tcPr>
            <w:tcW w:type="dxa" w:w="6912"/>
            <w:vAlign w:val="center"/>
            <w:tcMar>
              <w:top w:w="90" w:type="dxa"/>
              <w:start w:w="100" w:type="dxa"/>
              <w:bottom w:w="90" w:type="dxa"/>
              <w:end w:w="100" w:type="dxa"/>
            </w:tcMar>
            <w:shd w:fill="F4F7FA"/>
          </w:tcPr>
          <w:p>
            <w:pPr>
              <w:spacing w:after="0" w:before="0" w:line="250" w:lineRule="auto"/>
            </w:pPr>
            <w:r/>
            <w:r>
              <w:rPr>
                <w:rFonts w:ascii="Arial" w:hAnsi="Arial"/>
                <w:b w:val="0"/>
                <w:color w:val="263746"/>
                <w:sz w:val="16"/>
              </w:rPr>
              <w:t>Source evidence, reviewer, decision date and rule version.</w:t>
            </w:r>
          </w:p>
        </w:tc>
      </w:tr>
    </w:tbl>
    <w:p>
      <w:pPr>
        <w:spacing w:after="20"/>
      </w:pPr>
    </w:p>
    <w:sectPr w:rsidR="00FC693F" w:rsidRPr="0006063C" w:rsidSect="00034616">
      <w:headerReference w:type="default" r:id="rId9"/>
      <w:footerReference w:type="default" r:id="rId10"/>
      <w:pgSz w:w="11909" w:h="16834"/>
      <w:pgMar w:top="1037" w:right="1037" w:bottom="965"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color w:val="5B6B79"/>
        <w:sz w:val="15"/>
      </w:rPr>
      <w:t xml:space="preserve">Strategy document • Synthetic training sample clearly labelled • Page </w:t>
    </w:r>
    <w:r>
      <w:rPr>
        <w:rFonts w:ascii="Arial" w:hAnsi="Arial"/>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6624"/>
      <w:gridCol w:w="3096"/>
    </w:tblGrid>
    <w:tr>
      <w:tc>
        <w:tcPr>
          <w:tcW w:type="dxa" w:w="4860"/>
          <w:vAlign w:val="center"/>
          <w:tcMar>
            <w:top w:w="90" w:type="dxa"/>
            <w:start w:w="100" w:type="dxa"/>
            <w:bottom w:w="90" w:type="dxa"/>
            <w:end w:w="100" w:type="dxa"/>
          </w:tcMar>
          <w:tcBorders>
            <w:top w:val="nil"/>
            <w:left w:val="nil"/>
            <w:bottom w:val="nil"/>
            <w:right w:val="nil"/>
            <w:insideH w:val="nil"/>
            <w:insideV w:val="nil"/>
          </w:tcBorders>
        </w:tcPr>
        <w:p>
          <w:pPr>
            <w:spacing w:after="0" w:before="0" w:line="250" w:lineRule="auto"/>
          </w:pPr>
          <w:r/>
          <w:r>
            <w:rPr>
              <w:rFonts w:ascii="Arial" w:hAnsi="Arial"/>
              <w:b/>
              <w:color w:val="18324A"/>
              <w:sz w:val="15"/>
            </w:rPr>
            <w:t>CONSTRUCTION PROJECT DATA SCIENCE</w:t>
          </w:r>
        </w:p>
      </w:tc>
      <w:tc>
        <w:tcPr>
          <w:tcW w:type="dxa" w:w="4860"/>
          <w:vAlign w:val="center"/>
          <w:tcMar>
            <w:top w:w="90" w:type="dxa"/>
            <w:start w:w="100" w:type="dxa"/>
            <w:bottom w:w="90" w:type="dxa"/>
            <w:end w:w="100" w:type="dxa"/>
          </w:tcMar>
          <w:tcBorders>
            <w:top w:val="nil"/>
            <w:left w:val="nil"/>
            <w:bottom w:val="nil"/>
            <w:right w:val="nil"/>
            <w:insideH w:val="nil"/>
            <w:insideV w:val="nil"/>
          </w:tcBorders>
        </w:tcPr>
        <w:p>
          <w:pPr>
            <w:spacing w:after="0" w:before="0" w:line="250" w:lineRule="auto"/>
          </w:pPr>
          <w:r/>
          <w:r>
            <w:rPr>
              <w:rFonts w:ascii="Arial" w:hAnsi="Arial"/>
              <w:b/>
              <w:color w:val="D97706"/>
              <w:sz w:val="15"/>
            </w:rPr>
            <w:t>WEEK 1  |  DATA STRATEGY</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rial" w:hAnsi="Arial"/>
      <w:color w:val="26374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18324A"/>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275D7A"/>
      <w:sz w:val="22"/>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rial" w:hAnsi="Arial"/>
      <w:b/>
      <w:bCs/>
      <w:color w:val="D9770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832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pPr>
    <w:rPr>
      <w:rFonts w:asciiTheme="majorHAnsi" w:eastAsiaTheme="majorEastAsia" w:hAnsiTheme="majorHAnsi" w:cstheme="majorBidi" w:ascii="Arial" w:hAnsi="Arial"/>
      <w:b w:val="0"/>
      <w:i/>
      <w:iCs/>
      <w:color w:val="5B6B7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ipm.mospi.gov.in/AboutUs/AboutIPMD" TargetMode="External"/><Relationship Id="rId13" Type="http://schemas.openxmlformats.org/officeDocument/2006/relationships/hyperlink" Target="https://cpwd.gov.in/AllCirculars.aspx?Type=36" TargetMode="External"/><Relationship Id="rId14" Type="http://schemas.openxmlformats.org/officeDocument/2006/relationships/hyperlink" Target="https://datacatalog.worldbank.org/search/dataset/0037776/procurement-notice" TargetMode="External"/><Relationship Id="rId15" Type="http://schemas.openxmlformats.org/officeDocument/2006/relationships/hyperlink" Target="https://www.data.gov.in/" TargetMode="External"/><Relationship Id="rId16" Type="http://schemas.openxmlformats.org/officeDocument/2006/relationships/hyperlink" Target="https://pandas.pydata.org/docs/user_guide/missing_data.html" TargetMode="External"/><Relationship Id="rId17" Type="http://schemas.openxmlformats.org/officeDocument/2006/relationships/hyperlink" Target="https://scikit-learn.org/stable/modules/generated/sklearn.preprocessing.OneHotEncod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Acquisition Strategy and Preliminary Insights — Construction Project Analysis</dc:title>
  <dc:subject>Construction Project Data Science Analyst Internship — Week 1</dc:subject>
  <dc:creator>Aman Yadav</dc:creator>
  <cp:keywords>construction, data acquisition, Python, data quality, project analytics</cp:keywords>
  <dc:description>generated by python-docx</dc:description>
  <cp:lastModifiedBy/>
  <cp:revision>1</cp:revision>
  <dcterms:created xsi:type="dcterms:W3CDTF">2013-12-23T23:15:00Z</dcterms:created>
  <dcterms:modified xsi:type="dcterms:W3CDTF">2013-12-23T23:15:00Z</dcterms:modified>
  <cp:category/>
</cp:coreProperties>
</file>