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C3A7" w14:textId="77777777" w:rsidR="00363873" w:rsidRDefault="00000000">
      <w:pPr>
        <w:spacing w:before="1360"/>
      </w:pPr>
      <w:r>
        <w:rPr>
          <w:rFonts w:ascii="Aptos Display" w:hAnsi="Aptos Display"/>
          <w:b/>
          <w:color w:val="2A9D8F"/>
          <w:sz w:val="28"/>
        </w:rPr>
        <w:t>CONSTRUCTION</w:t>
      </w:r>
      <w:r>
        <w:rPr>
          <w:rFonts w:ascii="Aptos Display" w:hAnsi="Aptos Display"/>
          <w:b/>
          <w:color w:val="2A9D8F"/>
          <w:sz w:val="28"/>
        </w:rPr>
        <w:br/>
        <w:t>PROJECT ANALYTICS</w:t>
      </w:r>
    </w:p>
    <w:p w14:paraId="7B2CAD77" w14:textId="77777777" w:rsidR="00363873" w:rsidRDefault="00000000">
      <w:pPr>
        <w:pStyle w:val="Title"/>
        <w:spacing w:before="240"/>
      </w:pPr>
      <w:r>
        <w:t>Data Visualization, Reporting, and Actionable Insights</w:t>
      </w:r>
    </w:p>
    <w:p w14:paraId="7C07993A" w14:textId="77777777" w:rsidR="00363873" w:rsidRDefault="00000000">
      <w:pPr>
        <w:spacing w:before="160" w:after="340"/>
      </w:pPr>
      <w:r>
        <w:rPr>
          <w:color w:val="2E75B6"/>
          <w:sz w:val="32"/>
        </w:rPr>
        <w:t>Week 4 | Stakeholder Decision Report</w:t>
      </w:r>
    </w:p>
    <w:p w14:paraId="4A8E2E98" w14:textId="77777777" w:rsidR="00363873" w:rsidRDefault="00000000">
      <w:pPr>
        <w:spacing w:after="400"/>
      </w:pPr>
      <w:r>
        <w:rPr>
          <w:color w:val="5B6573"/>
          <w:sz w:val="24"/>
        </w:rPr>
        <w:t>Synthesis of data acquisition, exploratory analysis, predictive modeling, and risk response planning</w:t>
      </w:r>
    </w:p>
    <w:tbl>
      <w:tblPr>
        <w:tblW w:w="0" w:type="auto"/>
        <w:jc w:val="center"/>
        <w:tblLook w:val="04A0" w:firstRow="1" w:lastRow="0" w:firstColumn="1" w:lastColumn="0" w:noHBand="0" w:noVBand="1"/>
      </w:tblPr>
      <w:tblGrid>
        <w:gridCol w:w="9994"/>
      </w:tblGrid>
      <w:tr w:rsidR="00363873" w14:paraId="01A0B4CA" w14:textId="77777777">
        <w:trPr>
          <w:jc w:val="center"/>
        </w:trPr>
        <w:tc>
          <w:tcPr>
            <w:tcW w:w="9994" w:type="dxa"/>
            <w:shd w:val="clear" w:color="auto" w:fill="EAF4F5"/>
            <w:tcMar>
              <w:top w:w="140" w:type="dxa"/>
              <w:left w:w="180" w:type="dxa"/>
              <w:bottom w:w="140" w:type="dxa"/>
              <w:right w:w="180" w:type="dxa"/>
            </w:tcMar>
          </w:tcPr>
          <w:p w14:paraId="4B9E660B" w14:textId="77777777" w:rsidR="00363873" w:rsidRDefault="00000000">
            <w:pPr>
              <w:spacing w:after="60"/>
            </w:pPr>
            <w:r>
              <w:rPr>
                <w:b/>
                <w:color w:val="17324D"/>
                <w:sz w:val="20"/>
              </w:rPr>
              <w:t>Purpose</w:t>
            </w:r>
          </w:p>
          <w:p w14:paraId="16BD9242" w14:textId="77777777" w:rsidR="00363873" w:rsidRPr="00A60B24" w:rsidRDefault="00000000">
            <w:pPr>
              <w:spacing w:after="0"/>
              <w:rPr>
                <w:sz w:val="20"/>
                <w:szCs w:val="20"/>
              </w:rPr>
            </w:pPr>
            <w:r w:rsidRPr="00A60B24">
              <w:rPr>
                <w:color w:val="5B6573"/>
                <w:sz w:val="20"/>
                <w:szCs w:val="20"/>
              </w:rPr>
              <w:t>Translate the Week 1-3 analytical work into a clear performance narrative, communicate the key patterns visually, and propose practical project-controls actions.</w:t>
            </w:r>
          </w:p>
        </w:tc>
      </w:tr>
    </w:tbl>
    <w:p w14:paraId="0D444F73" w14:textId="77777777" w:rsidR="00363873" w:rsidRDefault="00363873">
      <w:pPr>
        <w:spacing w:after="20"/>
      </w:pPr>
    </w:p>
    <w:p w14:paraId="10A8ACBF" w14:textId="77777777" w:rsidR="00363873" w:rsidRPr="00A60B24" w:rsidRDefault="00000000">
      <w:pPr>
        <w:rPr>
          <w:sz w:val="20"/>
          <w:szCs w:val="20"/>
        </w:rPr>
      </w:pPr>
      <w:r w:rsidRPr="00A60B24">
        <w:rPr>
          <w:sz w:val="20"/>
          <w:szCs w:val="20"/>
        </w:rPr>
        <w:t>Prepared for: Construction project stakeholders, project controls teams, site managers, procurement, cost control, and HSE leads</w:t>
      </w:r>
    </w:p>
    <w:p w14:paraId="31F7E2AF" w14:textId="77777777" w:rsidR="00363873" w:rsidRPr="00A60B24" w:rsidRDefault="00000000">
      <w:pPr>
        <w:rPr>
          <w:sz w:val="20"/>
          <w:szCs w:val="20"/>
        </w:rPr>
      </w:pPr>
      <w:r w:rsidRPr="00A60B24">
        <w:rPr>
          <w:sz w:val="20"/>
          <w:szCs w:val="20"/>
        </w:rPr>
        <w:t>Scope: Python-based analysis using explicitly simulated project data; all results are illustrative and not actual industry observations.</w:t>
      </w:r>
    </w:p>
    <w:p w14:paraId="0DC013C1" w14:textId="77777777" w:rsidR="00363873" w:rsidRPr="00A60B24" w:rsidRDefault="00000000">
      <w:pPr>
        <w:rPr>
          <w:sz w:val="20"/>
          <w:szCs w:val="20"/>
        </w:rPr>
      </w:pPr>
      <w:r w:rsidRPr="00A60B24">
        <w:rPr>
          <w:sz w:val="20"/>
          <w:szCs w:val="20"/>
        </w:rPr>
        <w:t>Prepared as the final deliverable for a virtual internship task.</w:t>
      </w:r>
    </w:p>
    <w:p w14:paraId="1CC2897A" w14:textId="77777777" w:rsidR="00363873" w:rsidRDefault="00000000">
      <w:pPr>
        <w:pStyle w:val="Heading1"/>
        <w:pageBreakBefore/>
      </w:pPr>
      <w:r>
        <w:lastRenderedPageBreak/>
        <w:t>Executive Summary</w:t>
      </w:r>
    </w:p>
    <w:p w14:paraId="6E20CB8C" w14:textId="77777777" w:rsidR="00363873" w:rsidRPr="00A60B24" w:rsidRDefault="00000000">
      <w:pPr>
        <w:rPr>
          <w:sz w:val="20"/>
          <w:szCs w:val="20"/>
        </w:rPr>
      </w:pPr>
      <w:r w:rsidRPr="00A60B24">
        <w:rPr>
          <w:sz w:val="20"/>
          <w:szCs w:val="20"/>
        </w:rPr>
        <w:t>This report brings together the four-week construction analytics workflow: a data acquisition and quality strategy (Week 1), exploratory data analysis and initial statistical modeling (Week 2), and predictive risk modeling (Week 3). The final emphasis is not a claim that the models are deployment-ready; it is a stakeholder-ready demonstration of how data can be organized, interpreted, validated, and converted into management action.</w:t>
      </w:r>
    </w:p>
    <w:p w14:paraId="7B2DA138" w14:textId="77777777" w:rsidR="00363873" w:rsidRPr="00A60B24" w:rsidRDefault="00000000">
      <w:pPr>
        <w:rPr>
          <w:sz w:val="20"/>
          <w:szCs w:val="20"/>
        </w:rPr>
      </w:pPr>
      <w:r w:rsidRPr="00A60B24">
        <w:rPr>
          <w:sz w:val="20"/>
          <w:szCs w:val="20"/>
        </w:rPr>
        <w:t>In the Week 2 synthetic EDA sample of 250 project records, mean schedule delay was 30.5 days, the on-time indicator rate was 8.0%, and mean cost overrun was 2.31%. Procurement delay and schedule delay had a positive Pearson correlation of 0.604; material cost index and cost overrun had a correlation of 0.455. These are associations in simulated data and do not establish causality.</w:t>
      </w:r>
    </w:p>
    <w:p w14:paraId="208EE465" w14:textId="77777777" w:rsidR="00363873" w:rsidRPr="00A60B24" w:rsidRDefault="00000000">
      <w:pPr>
        <w:rPr>
          <w:sz w:val="20"/>
          <w:szCs w:val="20"/>
        </w:rPr>
      </w:pPr>
      <w:r w:rsidRPr="00A60B24">
        <w:rPr>
          <w:sz w:val="20"/>
          <w:szCs w:val="20"/>
        </w:rPr>
        <w:t>The separate Week 3 synthetic risk sample of 500 records was used to compare delay regressors and cost-overrun classifiers. Linear Regression produced a holdout delay MAE of 6.52 days and R-squared of 0.541. Logistic Regression reached 0.708 recall and 0.826 ROC-AUC for the 10% cost-overrun flag in that sample. The metrics are workflow demonstrations, not promised operational performance.</w:t>
      </w:r>
    </w:p>
    <w:p w14:paraId="24DCC4B2" w14:textId="77777777" w:rsidR="00363873" w:rsidRDefault="00000000">
      <w:pPr>
        <w:spacing w:after="40"/>
        <w:jc w:val="center"/>
      </w:pPr>
      <w:r>
        <w:rPr>
          <w:noProof/>
        </w:rPr>
        <w:drawing>
          <wp:inline distT="0" distB="0" distL="0" distR="0" wp14:anchorId="5F4564EB" wp14:editId="043D6FDB">
            <wp:extent cx="5806440" cy="4140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01_executive_kpi_dashboard.png"/>
                    <pic:cNvPicPr/>
                  </pic:nvPicPr>
                  <pic:blipFill>
                    <a:blip r:embed="rId8"/>
                    <a:stretch>
                      <a:fillRect/>
                    </a:stretch>
                  </pic:blipFill>
                  <pic:spPr>
                    <a:xfrm>
                      <a:off x="0" y="0"/>
                      <a:ext cx="5806440" cy="4140420"/>
                    </a:xfrm>
                    <a:prstGeom prst="rect">
                      <a:avLst/>
                    </a:prstGeom>
                  </pic:spPr>
                </pic:pic>
              </a:graphicData>
            </a:graphic>
          </wp:inline>
        </w:drawing>
      </w:r>
    </w:p>
    <w:p w14:paraId="44729783" w14:textId="77777777" w:rsidR="00363873" w:rsidRPr="00A60B24" w:rsidRDefault="00000000">
      <w:pPr>
        <w:spacing w:after="120"/>
        <w:jc w:val="center"/>
        <w:rPr>
          <w:sz w:val="18"/>
          <w:szCs w:val="18"/>
        </w:rPr>
      </w:pPr>
      <w:r w:rsidRPr="00A60B24">
        <w:rPr>
          <w:i/>
          <w:color w:val="5B6573"/>
          <w:sz w:val="18"/>
          <w:szCs w:val="18"/>
        </w:rPr>
        <w:t>Figure 1. Performance snapshot derived from the Week 2 simulated EDA sample.</w:t>
      </w:r>
    </w:p>
    <w:tbl>
      <w:tblPr>
        <w:tblW w:w="0" w:type="auto"/>
        <w:jc w:val="center"/>
        <w:tblLook w:val="04A0" w:firstRow="1" w:lastRow="0" w:firstColumn="1" w:lastColumn="0" w:noHBand="0" w:noVBand="1"/>
      </w:tblPr>
      <w:tblGrid>
        <w:gridCol w:w="9994"/>
      </w:tblGrid>
      <w:tr w:rsidR="00363873" w14:paraId="0E3C5995" w14:textId="77777777">
        <w:trPr>
          <w:jc w:val="center"/>
        </w:trPr>
        <w:tc>
          <w:tcPr>
            <w:tcW w:w="9994" w:type="dxa"/>
            <w:shd w:val="clear" w:color="auto" w:fill="EAF0F6"/>
            <w:tcMar>
              <w:top w:w="140" w:type="dxa"/>
              <w:left w:w="180" w:type="dxa"/>
              <w:bottom w:w="140" w:type="dxa"/>
              <w:right w:w="180" w:type="dxa"/>
            </w:tcMar>
          </w:tcPr>
          <w:p w14:paraId="7B2B54ED" w14:textId="77777777" w:rsidR="00363873" w:rsidRDefault="00000000">
            <w:pPr>
              <w:spacing w:after="60"/>
            </w:pPr>
            <w:r>
              <w:rPr>
                <w:b/>
                <w:color w:val="17324D"/>
                <w:sz w:val="20"/>
              </w:rPr>
              <w:t>Executive takeaway</w:t>
            </w:r>
          </w:p>
          <w:p w14:paraId="48660E38" w14:textId="77777777" w:rsidR="00363873" w:rsidRPr="00A60B24" w:rsidRDefault="00000000">
            <w:pPr>
              <w:spacing w:after="0"/>
              <w:rPr>
                <w:sz w:val="20"/>
                <w:szCs w:val="20"/>
              </w:rPr>
            </w:pPr>
            <w:r w:rsidRPr="00A60B24">
              <w:rPr>
                <w:color w:val="5B6573"/>
                <w:sz w:val="20"/>
                <w:szCs w:val="20"/>
              </w:rPr>
              <w:t>Build a weekly, owner-led project-controls rhythm around procurement readiness, schedule variance, forecast final cost, design changes/rework, workforce availability, site conditions, and safety. Use predictive scores as prompts for investigation—not as substitutes for engineering judgement, contractual controls, or safety procedures.</w:t>
            </w:r>
          </w:p>
        </w:tc>
      </w:tr>
    </w:tbl>
    <w:p w14:paraId="3C45576F" w14:textId="77777777" w:rsidR="00363873" w:rsidRDefault="00363873">
      <w:pPr>
        <w:spacing w:after="20"/>
      </w:pPr>
    </w:p>
    <w:p w14:paraId="4B3820E7" w14:textId="77777777" w:rsidR="00363873" w:rsidRDefault="00000000">
      <w:pPr>
        <w:pStyle w:val="Heading1"/>
        <w:pageBreakBefore/>
      </w:pPr>
      <w:r>
        <w:lastRenderedPageBreak/>
        <w:t>1. Scope, Evidence Base, and Data Limitations</w:t>
      </w:r>
    </w:p>
    <w:p w14:paraId="4353271E" w14:textId="77777777" w:rsidR="00363873" w:rsidRPr="00A60B24" w:rsidRDefault="00000000">
      <w:pPr>
        <w:rPr>
          <w:sz w:val="20"/>
          <w:szCs w:val="20"/>
        </w:rPr>
      </w:pPr>
      <w:r w:rsidRPr="00A60B24">
        <w:rPr>
          <w:sz w:val="20"/>
          <w:szCs w:val="20"/>
        </w:rPr>
        <w:t>The report synthesizes the objectives, methods, and themes from the earlier tasks. The Week 1 starter data, Week 2 EDA data, and Week 3 risk-modeling data are separate synthetic fixtures with different sample sizes, fields, and generation assumptions. They are not the same projects followed longitudinally and have not been row-merged. Comparisons are therefore descriptive within each sample, not comparisons of real project populations across weeks.</w:t>
      </w:r>
    </w:p>
    <w:tbl>
      <w:tblPr>
        <w:tblStyle w:val="TableGrid"/>
        <w:tblW w:w="0" w:type="auto"/>
        <w:jc w:val="center"/>
        <w:tblLook w:val="04A0" w:firstRow="1" w:lastRow="0" w:firstColumn="1" w:lastColumn="0" w:noHBand="0" w:noVBand="1"/>
      </w:tblPr>
      <w:tblGrid>
        <w:gridCol w:w="1800"/>
        <w:gridCol w:w="1728"/>
        <w:gridCol w:w="2520"/>
        <w:gridCol w:w="3240"/>
      </w:tblGrid>
      <w:tr w:rsidR="00363873" w:rsidRPr="00A60B24" w14:paraId="187AFF6E" w14:textId="77777777">
        <w:trPr>
          <w:cantSplit/>
          <w:tblHeader/>
          <w:jc w:val="center"/>
        </w:trPr>
        <w:tc>
          <w:tcPr>
            <w:tcW w:w="1800" w:type="dxa"/>
            <w:shd w:val="clear" w:color="auto" w:fill="17324D"/>
            <w:tcMar>
              <w:top w:w="90" w:type="dxa"/>
              <w:left w:w="100" w:type="dxa"/>
              <w:bottom w:w="90" w:type="dxa"/>
              <w:right w:w="100" w:type="dxa"/>
            </w:tcMar>
            <w:vAlign w:val="center"/>
          </w:tcPr>
          <w:p w14:paraId="681084A2" w14:textId="77777777" w:rsidR="00363873" w:rsidRPr="00A60B24" w:rsidRDefault="00000000">
            <w:pPr>
              <w:spacing w:after="0"/>
              <w:rPr>
                <w:sz w:val="20"/>
                <w:szCs w:val="20"/>
              </w:rPr>
            </w:pPr>
            <w:r w:rsidRPr="00A60B24">
              <w:rPr>
                <w:b/>
                <w:color w:val="FFFFFF"/>
                <w:sz w:val="20"/>
                <w:szCs w:val="20"/>
              </w:rPr>
              <w:t>Workstream</w:t>
            </w:r>
          </w:p>
        </w:tc>
        <w:tc>
          <w:tcPr>
            <w:tcW w:w="1728" w:type="dxa"/>
            <w:shd w:val="clear" w:color="auto" w:fill="17324D"/>
            <w:tcMar>
              <w:top w:w="90" w:type="dxa"/>
              <w:left w:w="100" w:type="dxa"/>
              <w:bottom w:w="90" w:type="dxa"/>
              <w:right w:w="100" w:type="dxa"/>
            </w:tcMar>
            <w:vAlign w:val="center"/>
          </w:tcPr>
          <w:p w14:paraId="5CBD39C7" w14:textId="77777777" w:rsidR="00363873" w:rsidRPr="00A60B24" w:rsidRDefault="00000000">
            <w:pPr>
              <w:spacing w:after="0"/>
              <w:rPr>
                <w:sz w:val="20"/>
                <w:szCs w:val="20"/>
              </w:rPr>
            </w:pPr>
            <w:r w:rsidRPr="00A60B24">
              <w:rPr>
                <w:b/>
                <w:color w:val="FFFFFF"/>
                <w:sz w:val="20"/>
                <w:szCs w:val="20"/>
              </w:rPr>
              <w:t>Sample / structure</w:t>
            </w:r>
          </w:p>
        </w:tc>
        <w:tc>
          <w:tcPr>
            <w:tcW w:w="2520" w:type="dxa"/>
            <w:shd w:val="clear" w:color="auto" w:fill="17324D"/>
            <w:tcMar>
              <w:top w:w="90" w:type="dxa"/>
              <w:left w:w="100" w:type="dxa"/>
              <w:bottom w:w="90" w:type="dxa"/>
              <w:right w:w="100" w:type="dxa"/>
            </w:tcMar>
            <w:vAlign w:val="center"/>
          </w:tcPr>
          <w:p w14:paraId="625E7BF4" w14:textId="77777777" w:rsidR="00363873" w:rsidRPr="00A60B24" w:rsidRDefault="00000000">
            <w:pPr>
              <w:spacing w:after="0"/>
              <w:rPr>
                <w:sz w:val="20"/>
                <w:szCs w:val="20"/>
              </w:rPr>
            </w:pPr>
            <w:r w:rsidRPr="00A60B24">
              <w:rPr>
                <w:b/>
                <w:color w:val="FFFFFF"/>
                <w:sz w:val="20"/>
                <w:szCs w:val="20"/>
              </w:rPr>
              <w:t>Use in final report</w:t>
            </w:r>
          </w:p>
        </w:tc>
        <w:tc>
          <w:tcPr>
            <w:tcW w:w="3240" w:type="dxa"/>
            <w:shd w:val="clear" w:color="auto" w:fill="17324D"/>
            <w:tcMar>
              <w:top w:w="90" w:type="dxa"/>
              <w:left w:w="100" w:type="dxa"/>
              <w:bottom w:w="90" w:type="dxa"/>
              <w:right w:w="100" w:type="dxa"/>
            </w:tcMar>
            <w:vAlign w:val="center"/>
          </w:tcPr>
          <w:p w14:paraId="5DC638B9" w14:textId="77777777" w:rsidR="00363873" w:rsidRPr="00A60B24" w:rsidRDefault="00000000">
            <w:pPr>
              <w:spacing w:after="0"/>
              <w:rPr>
                <w:sz w:val="20"/>
                <w:szCs w:val="20"/>
              </w:rPr>
            </w:pPr>
            <w:r w:rsidRPr="00A60B24">
              <w:rPr>
                <w:b/>
                <w:color w:val="FFFFFF"/>
                <w:sz w:val="20"/>
                <w:szCs w:val="20"/>
              </w:rPr>
              <w:t>Important limitation</w:t>
            </w:r>
          </w:p>
        </w:tc>
      </w:tr>
      <w:tr w:rsidR="00363873" w:rsidRPr="00A60B24" w14:paraId="069375AB" w14:textId="77777777">
        <w:trPr>
          <w:cantSplit/>
          <w:jc w:val="center"/>
        </w:trPr>
        <w:tc>
          <w:tcPr>
            <w:tcW w:w="1800" w:type="dxa"/>
            <w:tcMar>
              <w:top w:w="90" w:type="dxa"/>
              <w:left w:w="100" w:type="dxa"/>
              <w:bottom w:w="90" w:type="dxa"/>
              <w:right w:w="100" w:type="dxa"/>
            </w:tcMar>
            <w:vAlign w:val="center"/>
          </w:tcPr>
          <w:p w14:paraId="41A5D9DB" w14:textId="77777777" w:rsidR="00363873" w:rsidRPr="00A60B24" w:rsidRDefault="00000000">
            <w:pPr>
              <w:spacing w:after="0"/>
              <w:rPr>
                <w:sz w:val="20"/>
                <w:szCs w:val="20"/>
              </w:rPr>
            </w:pPr>
            <w:r w:rsidRPr="00A60B24">
              <w:rPr>
                <w:color w:val="28323C"/>
                <w:sz w:val="20"/>
                <w:szCs w:val="20"/>
              </w:rPr>
              <w:t>Week 1: acquisition and preparation</w:t>
            </w:r>
          </w:p>
        </w:tc>
        <w:tc>
          <w:tcPr>
            <w:tcW w:w="1728" w:type="dxa"/>
            <w:tcMar>
              <w:top w:w="90" w:type="dxa"/>
              <w:left w:w="100" w:type="dxa"/>
              <w:bottom w:w="90" w:type="dxa"/>
              <w:right w:w="100" w:type="dxa"/>
            </w:tcMar>
            <w:vAlign w:val="center"/>
          </w:tcPr>
          <w:p w14:paraId="12A3778F" w14:textId="77777777" w:rsidR="00363873" w:rsidRPr="00A60B24" w:rsidRDefault="00000000">
            <w:pPr>
              <w:spacing w:after="0"/>
              <w:rPr>
                <w:sz w:val="20"/>
                <w:szCs w:val="20"/>
              </w:rPr>
            </w:pPr>
            <w:r w:rsidRPr="00A60B24">
              <w:rPr>
                <w:color w:val="28323C"/>
                <w:sz w:val="20"/>
                <w:szCs w:val="20"/>
              </w:rPr>
              <w:t>51 rows; 23 columns</w:t>
            </w:r>
          </w:p>
        </w:tc>
        <w:tc>
          <w:tcPr>
            <w:tcW w:w="2520" w:type="dxa"/>
            <w:tcMar>
              <w:top w:w="90" w:type="dxa"/>
              <w:left w:w="100" w:type="dxa"/>
              <w:bottom w:w="90" w:type="dxa"/>
              <w:right w:w="100" w:type="dxa"/>
            </w:tcMar>
            <w:vAlign w:val="center"/>
          </w:tcPr>
          <w:p w14:paraId="242E69FD" w14:textId="77777777" w:rsidR="00363873" w:rsidRPr="00A60B24" w:rsidRDefault="00000000">
            <w:pPr>
              <w:spacing w:after="0"/>
              <w:rPr>
                <w:sz w:val="20"/>
                <w:szCs w:val="20"/>
              </w:rPr>
            </w:pPr>
            <w:r w:rsidRPr="00A60B24">
              <w:rPr>
                <w:color w:val="28323C"/>
                <w:sz w:val="20"/>
                <w:szCs w:val="20"/>
              </w:rPr>
              <w:t>Data dictionary, staged-data concept, quality review</w:t>
            </w:r>
          </w:p>
        </w:tc>
        <w:tc>
          <w:tcPr>
            <w:tcW w:w="3240" w:type="dxa"/>
            <w:tcMar>
              <w:top w:w="90" w:type="dxa"/>
              <w:left w:w="100" w:type="dxa"/>
              <w:bottom w:w="90" w:type="dxa"/>
              <w:right w:w="100" w:type="dxa"/>
            </w:tcMar>
            <w:vAlign w:val="center"/>
          </w:tcPr>
          <w:p w14:paraId="23A4DBDD" w14:textId="77777777" w:rsidR="00363873" w:rsidRPr="00A60B24" w:rsidRDefault="00000000">
            <w:pPr>
              <w:spacing w:after="0"/>
              <w:rPr>
                <w:sz w:val="20"/>
                <w:szCs w:val="20"/>
              </w:rPr>
            </w:pPr>
            <w:r w:rsidRPr="00A60B24">
              <w:rPr>
                <w:color w:val="28323C"/>
                <w:sz w:val="20"/>
                <w:szCs w:val="20"/>
              </w:rPr>
              <w:t>1 exact duplicate row(s); 2 rows tied to duplicate project IDs; 7 rows flagged for manual review.</w:t>
            </w:r>
          </w:p>
        </w:tc>
      </w:tr>
      <w:tr w:rsidR="00363873" w:rsidRPr="00A60B24" w14:paraId="5DDB884C" w14:textId="77777777">
        <w:trPr>
          <w:cantSplit/>
          <w:jc w:val="center"/>
        </w:trPr>
        <w:tc>
          <w:tcPr>
            <w:tcW w:w="1800" w:type="dxa"/>
            <w:shd w:val="clear" w:color="auto" w:fill="F4F7FA"/>
            <w:tcMar>
              <w:top w:w="90" w:type="dxa"/>
              <w:left w:w="100" w:type="dxa"/>
              <w:bottom w:w="90" w:type="dxa"/>
              <w:right w:w="100" w:type="dxa"/>
            </w:tcMar>
            <w:vAlign w:val="center"/>
          </w:tcPr>
          <w:p w14:paraId="6215E66E" w14:textId="77777777" w:rsidR="00363873" w:rsidRPr="00A60B24" w:rsidRDefault="00000000">
            <w:pPr>
              <w:spacing w:after="0"/>
              <w:rPr>
                <w:sz w:val="20"/>
                <w:szCs w:val="20"/>
              </w:rPr>
            </w:pPr>
            <w:r w:rsidRPr="00A60B24">
              <w:rPr>
                <w:color w:val="28323C"/>
                <w:sz w:val="20"/>
                <w:szCs w:val="20"/>
              </w:rPr>
              <w:t>Week 2: EDA and statistical modeling</w:t>
            </w:r>
          </w:p>
        </w:tc>
        <w:tc>
          <w:tcPr>
            <w:tcW w:w="1728" w:type="dxa"/>
            <w:shd w:val="clear" w:color="auto" w:fill="F4F7FA"/>
            <w:tcMar>
              <w:top w:w="90" w:type="dxa"/>
              <w:left w:w="100" w:type="dxa"/>
              <w:bottom w:w="90" w:type="dxa"/>
              <w:right w:w="100" w:type="dxa"/>
            </w:tcMar>
            <w:vAlign w:val="center"/>
          </w:tcPr>
          <w:p w14:paraId="7D35E479" w14:textId="77777777" w:rsidR="00363873" w:rsidRPr="00A60B24" w:rsidRDefault="00000000">
            <w:pPr>
              <w:spacing w:after="0"/>
              <w:rPr>
                <w:sz w:val="20"/>
                <w:szCs w:val="20"/>
              </w:rPr>
            </w:pPr>
            <w:r w:rsidRPr="00A60B24">
              <w:rPr>
                <w:color w:val="28323C"/>
                <w:sz w:val="20"/>
                <w:szCs w:val="20"/>
              </w:rPr>
              <w:t>250 rows; 19 columns</w:t>
            </w:r>
          </w:p>
        </w:tc>
        <w:tc>
          <w:tcPr>
            <w:tcW w:w="2520" w:type="dxa"/>
            <w:shd w:val="clear" w:color="auto" w:fill="F4F7FA"/>
            <w:tcMar>
              <w:top w:w="90" w:type="dxa"/>
              <w:left w:w="100" w:type="dxa"/>
              <w:bottom w:w="90" w:type="dxa"/>
              <w:right w:w="100" w:type="dxa"/>
            </w:tcMar>
            <w:vAlign w:val="center"/>
          </w:tcPr>
          <w:p w14:paraId="178ADFFC" w14:textId="77777777" w:rsidR="00363873" w:rsidRPr="00A60B24" w:rsidRDefault="00000000">
            <w:pPr>
              <w:spacing w:after="0"/>
              <w:rPr>
                <w:sz w:val="20"/>
                <w:szCs w:val="20"/>
              </w:rPr>
            </w:pPr>
            <w:r w:rsidRPr="00A60B24">
              <w:rPr>
                <w:color w:val="28323C"/>
                <w:sz w:val="20"/>
                <w:szCs w:val="20"/>
              </w:rPr>
              <w:t>Performance indicators, project-type comparison, correlations, cost-budget comparison</w:t>
            </w:r>
          </w:p>
        </w:tc>
        <w:tc>
          <w:tcPr>
            <w:tcW w:w="3240" w:type="dxa"/>
            <w:shd w:val="clear" w:color="auto" w:fill="F4F7FA"/>
            <w:tcMar>
              <w:top w:w="90" w:type="dxa"/>
              <w:left w:w="100" w:type="dxa"/>
              <w:bottom w:w="90" w:type="dxa"/>
              <w:right w:w="100" w:type="dxa"/>
            </w:tcMar>
            <w:vAlign w:val="center"/>
          </w:tcPr>
          <w:p w14:paraId="45BF7AEC" w14:textId="77777777" w:rsidR="00363873" w:rsidRPr="00A60B24" w:rsidRDefault="00000000">
            <w:pPr>
              <w:spacing w:after="0"/>
              <w:rPr>
                <w:sz w:val="20"/>
                <w:szCs w:val="20"/>
              </w:rPr>
            </w:pPr>
            <w:r w:rsidRPr="00A60B24">
              <w:rPr>
                <w:color w:val="28323C"/>
                <w:sz w:val="20"/>
                <w:szCs w:val="20"/>
              </w:rPr>
              <w:t>Synthetic sample generated for analysis practice; no observed industry prevalence can be inferred.</w:t>
            </w:r>
          </w:p>
        </w:tc>
      </w:tr>
      <w:tr w:rsidR="00363873" w:rsidRPr="00A60B24" w14:paraId="00C1D4B0" w14:textId="77777777">
        <w:trPr>
          <w:cantSplit/>
          <w:jc w:val="center"/>
        </w:trPr>
        <w:tc>
          <w:tcPr>
            <w:tcW w:w="1800" w:type="dxa"/>
            <w:tcMar>
              <w:top w:w="90" w:type="dxa"/>
              <w:left w:w="100" w:type="dxa"/>
              <w:bottom w:w="90" w:type="dxa"/>
              <w:right w:w="100" w:type="dxa"/>
            </w:tcMar>
            <w:vAlign w:val="center"/>
          </w:tcPr>
          <w:p w14:paraId="4A08C046" w14:textId="77777777" w:rsidR="00363873" w:rsidRPr="00A60B24" w:rsidRDefault="00000000">
            <w:pPr>
              <w:spacing w:after="0"/>
              <w:rPr>
                <w:sz w:val="20"/>
                <w:szCs w:val="20"/>
              </w:rPr>
            </w:pPr>
            <w:r w:rsidRPr="00A60B24">
              <w:rPr>
                <w:color w:val="28323C"/>
                <w:sz w:val="20"/>
                <w:szCs w:val="20"/>
              </w:rPr>
              <w:t>Week 3: predictive risk modeling</w:t>
            </w:r>
          </w:p>
        </w:tc>
        <w:tc>
          <w:tcPr>
            <w:tcW w:w="1728" w:type="dxa"/>
            <w:tcMar>
              <w:top w:w="90" w:type="dxa"/>
              <w:left w:w="100" w:type="dxa"/>
              <w:bottom w:w="90" w:type="dxa"/>
              <w:right w:w="100" w:type="dxa"/>
            </w:tcMar>
            <w:vAlign w:val="center"/>
          </w:tcPr>
          <w:p w14:paraId="4CC51026" w14:textId="77777777" w:rsidR="00363873" w:rsidRPr="00A60B24" w:rsidRDefault="00000000">
            <w:pPr>
              <w:spacing w:after="0"/>
              <w:rPr>
                <w:sz w:val="20"/>
                <w:szCs w:val="20"/>
              </w:rPr>
            </w:pPr>
            <w:r w:rsidRPr="00A60B24">
              <w:rPr>
                <w:color w:val="28323C"/>
                <w:sz w:val="20"/>
                <w:szCs w:val="20"/>
              </w:rPr>
              <w:t>500 rows; 20 columns</w:t>
            </w:r>
          </w:p>
        </w:tc>
        <w:tc>
          <w:tcPr>
            <w:tcW w:w="2520" w:type="dxa"/>
            <w:tcMar>
              <w:top w:w="90" w:type="dxa"/>
              <w:left w:w="100" w:type="dxa"/>
              <w:bottom w:w="90" w:type="dxa"/>
              <w:right w:w="100" w:type="dxa"/>
            </w:tcMar>
            <w:vAlign w:val="center"/>
          </w:tcPr>
          <w:p w14:paraId="3F097006" w14:textId="77777777" w:rsidR="00363873" w:rsidRPr="00A60B24" w:rsidRDefault="00000000">
            <w:pPr>
              <w:spacing w:after="0"/>
              <w:rPr>
                <w:sz w:val="20"/>
                <w:szCs w:val="20"/>
              </w:rPr>
            </w:pPr>
            <w:r w:rsidRPr="00A60B24">
              <w:rPr>
                <w:color w:val="28323C"/>
                <w:sz w:val="20"/>
                <w:szCs w:val="20"/>
              </w:rPr>
              <w:t>Holdout and five-fold CV metrics; risk classification; what-if scenario results</w:t>
            </w:r>
          </w:p>
        </w:tc>
        <w:tc>
          <w:tcPr>
            <w:tcW w:w="3240" w:type="dxa"/>
            <w:tcMar>
              <w:top w:w="90" w:type="dxa"/>
              <w:left w:w="100" w:type="dxa"/>
              <w:bottom w:w="90" w:type="dxa"/>
              <w:right w:w="100" w:type="dxa"/>
            </w:tcMar>
            <w:vAlign w:val="center"/>
          </w:tcPr>
          <w:p w14:paraId="681B776F" w14:textId="77777777" w:rsidR="00363873" w:rsidRPr="00A60B24" w:rsidRDefault="00000000">
            <w:pPr>
              <w:spacing w:after="0"/>
              <w:rPr>
                <w:sz w:val="20"/>
                <w:szCs w:val="20"/>
              </w:rPr>
            </w:pPr>
            <w:r w:rsidRPr="00A60B24">
              <w:rPr>
                <w:color w:val="28323C"/>
                <w:sz w:val="20"/>
                <w:szCs w:val="20"/>
              </w:rPr>
              <w:t>Separate synthetic sample; designed patterns can make metrics unlike real projects.</w:t>
            </w:r>
          </w:p>
        </w:tc>
      </w:tr>
    </w:tbl>
    <w:p w14:paraId="270924FA" w14:textId="77777777" w:rsidR="00363873" w:rsidRDefault="00363873">
      <w:pPr>
        <w:spacing w:after="20"/>
      </w:pPr>
    </w:p>
    <w:p w14:paraId="24DC57C6" w14:textId="77777777" w:rsidR="00363873" w:rsidRDefault="00000000">
      <w:pPr>
        <w:pStyle w:val="Heading2"/>
      </w:pPr>
      <w:r>
        <w:t>Data-quality principles carried forward</w:t>
      </w:r>
    </w:p>
    <w:p w14:paraId="34201AD0" w14:textId="77777777" w:rsidR="00363873" w:rsidRPr="00A60B24" w:rsidRDefault="00000000">
      <w:pPr>
        <w:pStyle w:val="ListBullet"/>
        <w:spacing w:after="60"/>
        <w:rPr>
          <w:sz w:val="20"/>
          <w:szCs w:val="20"/>
        </w:rPr>
      </w:pPr>
      <w:r w:rsidRPr="00A60B24">
        <w:rPr>
          <w:sz w:val="20"/>
          <w:szCs w:val="20"/>
        </w:rPr>
        <w:t>Preserve raw source extracts and record each cleaning rule; never silently overwrite the original data.</w:t>
      </w:r>
    </w:p>
    <w:p w14:paraId="4EB17185" w14:textId="77777777" w:rsidR="00363873" w:rsidRPr="00A60B24" w:rsidRDefault="00000000">
      <w:pPr>
        <w:pStyle w:val="ListBullet"/>
        <w:spacing w:after="60"/>
        <w:rPr>
          <w:sz w:val="20"/>
          <w:szCs w:val="20"/>
        </w:rPr>
      </w:pPr>
      <w:r w:rsidRPr="00A60B24">
        <w:rPr>
          <w:sz w:val="20"/>
          <w:szCs w:val="20"/>
        </w:rPr>
        <w:t>Check duplicate project IDs, missing values, units, date ordering, valid ranges, and the distinction between planned, forecast, and actual fields.</w:t>
      </w:r>
    </w:p>
    <w:p w14:paraId="085CD63F" w14:textId="77777777" w:rsidR="00363873" w:rsidRPr="00A60B24" w:rsidRDefault="00000000">
      <w:pPr>
        <w:pStyle w:val="ListBullet"/>
        <w:spacing w:after="60"/>
        <w:rPr>
          <w:sz w:val="20"/>
          <w:szCs w:val="20"/>
        </w:rPr>
      </w:pPr>
      <w:r w:rsidRPr="00A60B24">
        <w:rPr>
          <w:sz w:val="20"/>
          <w:szCs w:val="20"/>
        </w:rPr>
        <w:t>Treat anomalous records as review candidates rather than automatically deleting them; confirm with a project data owner.</w:t>
      </w:r>
    </w:p>
    <w:p w14:paraId="6C93DF4A" w14:textId="77777777" w:rsidR="00363873" w:rsidRPr="00A60B24" w:rsidRDefault="00000000">
      <w:pPr>
        <w:pStyle w:val="ListBullet"/>
        <w:spacing w:after="60"/>
        <w:rPr>
          <w:sz w:val="20"/>
          <w:szCs w:val="20"/>
        </w:rPr>
      </w:pPr>
      <w:r w:rsidRPr="00A60B24">
        <w:rPr>
          <w:sz w:val="20"/>
          <w:szCs w:val="20"/>
        </w:rPr>
        <w:t>Only train models on fields that would be known at the forecast date. Exclude future information that would leak the outcome into the model.</w:t>
      </w:r>
    </w:p>
    <w:p w14:paraId="7FEA00C1" w14:textId="77777777" w:rsidR="00363873" w:rsidRDefault="00000000">
      <w:pPr>
        <w:pStyle w:val="Heading2"/>
      </w:pPr>
      <w:r>
        <w:t>Methods and Python tools</w:t>
      </w:r>
    </w:p>
    <w:tbl>
      <w:tblPr>
        <w:tblStyle w:val="TableGrid"/>
        <w:tblW w:w="0" w:type="auto"/>
        <w:jc w:val="center"/>
        <w:tblLook w:val="04A0" w:firstRow="1" w:lastRow="0" w:firstColumn="1" w:lastColumn="0" w:noHBand="0" w:noVBand="1"/>
      </w:tblPr>
      <w:tblGrid>
        <w:gridCol w:w="1800"/>
        <w:gridCol w:w="3672"/>
        <w:gridCol w:w="3816"/>
      </w:tblGrid>
      <w:tr w:rsidR="00363873" w:rsidRPr="00A60B24" w14:paraId="4DE8D408" w14:textId="77777777">
        <w:trPr>
          <w:cantSplit/>
          <w:tblHeader/>
          <w:jc w:val="center"/>
        </w:trPr>
        <w:tc>
          <w:tcPr>
            <w:tcW w:w="1800" w:type="dxa"/>
            <w:shd w:val="clear" w:color="auto" w:fill="17324D"/>
            <w:tcMar>
              <w:top w:w="90" w:type="dxa"/>
              <w:left w:w="100" w:type="dxa"/>
              <w:bottom w:w="90" w:type="dxa"/>
              <w:right w:w="100" w:type="dxa"/>
            </w:tcMar>
            <w:vAlign w:val="center"/>
          </w:tcPr>
          <w:p w14:paraId="4F2BFB73" w14:textId="77777777" w:rsidR="00363873" w:rsidRPr="00A60B24" w:rsidRDefault="00000000">
            <w:pPr>
              <w:spacing w:after="0"/>
              <w:rPr>
                <w:sz w:val="18"/>
                <w:szCs w:val="18"/>
              </w:rPr>
            </w:pPr>
            <w:r w:rsidRPr="00A60B24">
              <w:rPr>
                <w:b/>
                <w:color w:val="FFFFFF"/>
                <w:sz w:val="18"/>
                <w:szCs w:val="18"/>
              </w:rPr>
              <w:t>Tool / method</w:t>
            </w:r>
          </w:p>
        </w:tc>
        <w:tc>
          <w:tcPr>
            <w:tcW w:w="3672" w:type="dxa"/>
            <w:shd w:val="clear" w:color="auto" w:fill="17324D"/>
            <w:tcMar>
              <w:top w:w="90" w:type="dxa"/>
              <w:left w:w="100" w:type="dxa"/>
              <w:bottom w:w="90" w:type="dxa"/>
              <w:right w:w="100" w:type="dxa"/>
            </w:tcMar>
            <w:vAlign w:val="center"/>
          </w:tcPr>
          <w:p w14:paraId="655A570C" w14:textId="77777777" w:rsidR="00363873" w:rsidRPr="00A60B24" w:rsidRDefault="00000000">
            <w:pPr>
              <w:spacing w:after="0"/>
              <w:rPr>
                <w:sz w:val="18"/>
                <w:szCs w:val="18"/>
              </w:rPr>
            </w:pPr>
            <w:r w:rsidRPr="00A60B24">
              <w:rPr>
                <w:b/>
                <w:color w:val="FFFFFF"/>
                <w:sz w:val="18"/>
                <w:szCs w:val="18"/>
              </w:rPr>
              <w:t>Role in the workflow</w:t>
            </w:r>
          </w:p>
        </w:tc>
        <w:tc>
          <w:tcPr>
            <w:tcW w:w="3816" w:type="dxa"/>
            <w:shd w:val="clear" w:color="auto" w:fill="17324D"/>
            <w:tcMar>
              <w:top w:w="90" w:type="dxa"/>
              <w:left w:w="100" w:type="dxa"/>
              <w:bottom w:w="90" w:type="dxa"/>
              <w:right w:w="100" w:type="dxa"/>
            </w:tcMar>
            <w:vAlign w:val="center"/>
          </w:tcPr>
          <w:p w14:paraId="55CA5341" w14:textId="77777777" w:rsidR="00363873" w:rsidRPr="00A60B24" w:rsidRDefault="00000000">
            <w:pPr>
              <w:spacing w:after="0"/>
              <w:rPr>
                <w:sz w:val="18"/>
                <w:szCs w:val="18"/>
              </w:rPr>
            </w:pPr>
            <w:r w:rsidRPr="00A60B24">
              <w:rPr>
                <w:b/>
                <w:color w:val="FFFFFF"/>
                <w:sz w:val="18"/>
                <w:szCs w:val="18"/>
              </w:rPr>
              <w:t>Stakeholder translation</w:t>
            </w:r>
          </w:p>
        </w:tc>
      </w:tr>
      <w:tr w:rsidR="00363873" w:rsidRPr="00A60B24" w14:paraId="3D6DA18B" w14:textId="77777777">
        <w:trPr>
          <w:cantSplit/>
          <w:jc w:val="center"/>
        </w:trPr>
        <w:tc>
          <w:tcPr>
            <w:tcW w:w="1800" w:type="dxa"/>
            <w:tcMar>
              <w:top w:w="90" w:type="dxa"/>
              <w:left w:w="100" w:type="dxa"/>
              <w:bottom w:w="90" w:type="dxa"/>
              <w:right w:w="100" w:type="dxa"/>
            </w:tcMar>
            <w:vAlign w:val="center"/>
          </w:tcPr>
          <w:p w14:paraId="781B1490" w14:textId="77777777" w:rsidR="00363873" w:rsidRPr="00A60B24" w:rsidRDefault="00000000">
            <w:pPr>
              <w:spacing w:after="0"/>
              <w:rPr>
                <w:sz w:val="18"/>
                <w:szCs w:val="18"/>
              </w:rPr>
            </w:pPr>
            <w:r w:rsidRPr="00A60B24">
              <w:rPr>
                <w:color w:val="28323C"/>
                <w:sz w:val="18"/>
                <w:szCs w:val="18"/>
              </w:rPr>
              <w:t>pandas / NumPy</w:t>
            </w:r>
          </w:p>
        </w:tc>
        <w:tc>
          <w:tcPr>
            <w:tcW w:w="3672" w:type="dxa"/>
            <w:tcMar>
              <w:top w:w="90" w:type="dxa"/>
              <w:left w:w="100" w:type="dxa"/>
              <w:bottom w:w="90" w:type="dxa"/>
              <w:right w:w="100" w:type="dxa"/>
            </w:tcMar>
            <w:vAlign w:val="center"/>
          </w:tcPr>
          <w:p w14:paraId="41F0DA77" w14:textId="77777777" w:rsidR="00363873" w:rsidRPr="00A60B24" w:rsidRDefault="00000000">
            <w:pPr>
              <w:spacing w:after="0"/>
              <w:rPr>
                <w:sz w:val="18"/>
                <w:szCs w:val="18"/>
              </w:rPr>
            </w:pPr>
            <w:r w:rsidRPr="00A60B24">
              <w:rPr>
                <w:color w:val="28323C"/>
                <w:sz w:val="18"/>
                <w:szCs w:val="18"/>
              </w:rPr>
              <w:t>Read, validate, group, summarize, and calculate indicators</w:t>
            </w:r>
          </w:p>
        </w:tc>
        <w:tc>
          <w:tcPr>
            <w:tcW w:w="3816" w:type="dxa"/>
            <w:tcMar>
              <w:top w:w="90" w:type="dxa"/>
              <w:left w:w="100" w:type="dxa"/>
              <w:bottom w:w="90" w:type="dxa"/>
              <w:right w:w="100" w:type="dxa"/>
            </w:tcMar>
            <w:vAlign w:val="center"/>
          </w:tcPr>
          <w:p w14:paraId="4FF9CE56" w14:textId="77777777" w:rsidR="00363873" w:rsidRPr="00A60B24" w:rsidRDefault="00000000">
            <w:pPr>
              <w:spacing w:after="0"/>
              <w:rPr>
                <w:sz w:val="18"/>
                <w:szCs w:val="18"/>
              </w:rPr>
            </w:pPr>
            <w:r w:rsidRPr="00A60B24">
              <w:rPr>
                <w:color w:val="28323C"/>
                <w:sz w:val="18"/>
                <w:szCs w:val="18"/>
              </w:rPr>
              <w:t>Turn tabular records into consistent, auditable summaries.</w:t>
            </w:r>
          </w:p>
        </w:tc>
      </w:tr>
      <w:tr w:rsidR="00363873" w:rsidRPr="00A60B24" w14:paraId="4159340F" w14:textId="77777777">
        <w:trPr>
          <w:cantSplit/>
          <w:jc w:val="center"/>
        </w:trPr>
        <w:tc>
          <w:tcPr>
            <w:tcW w:w="1800" w:type="dxa"/>
            <w:shd w:val="clear" w:color="auto" w:fill="F4F7FA"/>
            <w:tcMar>
              <w:top w:w="90" w:type="dxa"/>
              <w:left w:w="100" w:type="dxa"/>
              <w:bottom w:w="90" w:type="dxa"/>
              <w:right w:w="100" w:type="dxa"/>
            </w:tcMar>
            <w:vAlign w:val="center"/>
          </w:tcPr>
          <w:p w14:paraId="31DB2558" w14:textId="77777777" w:rsidR="00363873" w:rsidRPr="00A60B24" w:rsidRDefault="00000000">
            <w:pPr>
              <w:spacing w:after="0"/>
              <w:rPr>
                <w:sz w:val="18"/>
                <w:szCs w:val="18"/>
              </w:rPr>
            </w:pPr>
            <w:r w:rsidRPr="00A60B24">
              <w:rPr>
                <w:color w:val="28323C"/>
                <w:sz w:val="18"/>
                <w:szCs w:val="18"/>
              </w:rPr>
              <w:t>Matplotlib</w:t>
            </w:r>
          </w:p>
        </w:tc>
        <w:tc>
          <w:tcPr>
            <w:tcW w:w="3672" w:type="dxa"/>
            <w:shd w:val="clear" w:color="auto" w:fill="F4F7FA"/>
            <w:tcMar>
              <w:top w:w="90" w:type="dxa"/>
              <w:left w:w="100" w:type="dxa"/>
              <w:bottom w:w="90" w:type="dxa"/>
              <w:right w:w="100" w:type="dxa"/>
            </w:tcMar>
            <w:vAlign w:val="center"/>
          </w:tcPr>
          <w:p w14:paraId="3F345E43" w14:textId="77777777" w:rsidR="00363873" w:rsidRPr="00A60B24" w:rsidRDefault="00000000">
            <w:pPr>
              <w:spacing w:after="0"/>
              <w:rPr>
                <w:sz w:val="18"/>
                <w:szCs w:val="18"/>
              </w:rPr>
            </w:pPr>
            <w:r w:rsidRPr="00A60B24">
              <w:rPr>
                <w:color w:val="28323C"/>
                <w:sz w:val="18"/>
                <w:szCs w:val="18"/>
              </w:rPr>
              <w:t>Create charts and the executive KPI view</w:t>
            </w:r>
          </w:p>
        </w:tc>
        <w:tc>
          <w:tcPr>
            <w:tcW w:w="3816" w:type="dxa"/>
            <w:shd w:val="clear" w:color="auto" w:fill="F4F7FA"/>
            <w:tcMar>
              <w:top w:w="90" w:type="dxa"/>
              <w:left w:w="100" w:type="dxa"/>
              <w:bottom w:w="90" w:type="dxa"/>
              <w:right w:w="100" w:type="dxa"/>
            </w:tcMar>
            <w:vAlign w:val="center"/>
          </w:tcPr>
          <w:p w14:paraId="5710FA25" w14:textId="77777777" w:rsidR="00363873" w:rsidRPr="00A60B24" w:rsidRDefault="00000000">
            <w:pPr>
              <w:spacing w:after="0"/>
              <w:rPr>
                <w:sz w:val="18"/>
                <w:szCs w:val="18"/>
              </w:rPr>
            </w:pPr>
            <w:r w:rsidRPr="00A60B24">
              <w:rPr>
                <w:color w:val="28323C"/>
                <w:sz w:val="18"/>
                <w:szCs w:val="18"/>
              </w:rPr>
              <w:t>Show patterns and exceptions in a form suitable for meetings.</w:t>
            </w:r>
          </w:p>
        </w:tc>
      </w:tr>
      <w:tr w:rsidR="00363873" w:rsidRPr="00A60B24" w14:paraId="0F643B9E" w14:textId="77777777">
        <w:trPr>
          <w:cantSplit/>
          <w:jc w:val="center"/>
        </w:trPr>
        <w:tc>
          <w:tcPr>
            <w:tcW w:w="1800" w:type="dxa"/>
            <w:tcMar>
              <w:top w:w="90" w:type="dxa"/>
              <w:left w:w="100" w:type="dxa"/>
              <w:bottom w:w="90" w:type="dxa"/>
              <w:right w:w="100" w:type="dxa"/>
            </w:tcMar>
            <w:vAlign w:val="center"/>
          </w:tcPr>
          <w:p w14:paraId="162EFC64" w14:textId="77777777" w:rsidR="00363873" w:rsidRPr="00A60B24" w:rsidRDefault="00000000">
            <w:pPr>
              <w:spacing w:after="0"/>
              <w:rPr>
                <w:sz w:val="18"/>
                <w:szCs w:val="18"/>
              </w:rPr>
            </w:pPr>
            <w:r w:rsidRPr="00A60B24">
              <w:rPr>
                <w:color w:val="28323C"/>
                <w:sz w:val="18"/>
                <w:szCs w:val="18"/>
              </w:rPr>
              <w:t>scikit-learn pipelines</w:t>
            </w:r>
          </w:p>
        </w:tc>
        <w:tc>
          <w:tcPr>
            <w:tcW w:w="3672" w:type="dxa"/>
            <w:tcMar>
              <w:top w:w="90" w:type="dxa"/>
              <w:left w:w="100" w:type="dxa"/>
              <w:bottom w:w="90" w:type="dxa"/>
              <w:right w:w="100" w:type="dxa"/>
            </w:tcMar>
            <w:vAlign w:val="center"/>
          </w:tcPr>
          <w:p w14:paraId="2395531C" w14:textId="77777777" w:rsidR="00363873" w:rsidRPr="00A60B24" w:rsidRDefault="00000000">
            <w:pPr>
              <w:spacing w:after="0"/>
              <w:rPr>
                <w:sz w:val="18"/>
                <w:szCs w:val="18"/>
              </w:rPr>
            </w:pPr>
            <w:r w:rsidRPr="00A60B24">
              <w:rPr>
                <w:color w:val="28323C"/>
                <w:sz w:val="18"/>
                <w:szCs w:val="18"/>
              </w:rPr>
              <w:t>Imputation/encoding where needed, train-test split, five-fold validation, model metrics</w:t>
            </w:r>
          </w:p>
        </w:tc>
        <w:tc>
          <w:tcPr>
            <w:tcW w:w="3816" w:type="dxa"/>
            <w:tcMar>
              <w:top w:w="90" w:type="dxa"/>
              <w:left w:w="100" w:type="dxa"/>
              <w:bottom w:w="90" w:type="dxa"/>
              <w:right w:w="100" w:type="dxa"/>
            </w:tcMar>
            <w:vAlign w:val="center"/>
          </w:tcPr>
          <w:p w14:paraId="32A2174A" w14:textId="77777777" w:rsidR="00363873" w:rsidRPr="00A60B24" w:rsidRDefault="00000000">
            <w:pPr>
              <w:spacing w:after="0"/>
              <w:rPr>
                <w:sz w:val="18"/>
                <w:szCs w:val="18"/>
              </w:rPr>
            </w:pPr>
            <w:r w:rsidRPr="00A60B24">
              <w:rPr>
                <w:color w:val="28323C"/>
                <w:sz w:val="18"/>
                <w:szCs w:val="18"/>
              </w:rPr>
              <w:t>Evaluate model performance on records not used for fitting and compare stability.</w:t>
            </w:r>
          </w:p>
        </w:tc>
      </w:tr>
      <w:tr w:rsidR="00363873" w:rsidRPr="00A60B24" w14:paraId="2638AF7A" w14:textId="77777777">
        <w:trPr>
          <w:cantSplit/>
          <w:jc w:val="center"/>
        </w:trPr>
        <w:tc>
          <w:tcPr>
            <w:tcW w:w="1800" w:type="dxa"/>
            <w:shd w:val="clear" w:color="auto" w:fill="F4F7FA"/>
            <w:tcMar>
              <w:top w:w="90" w:type="dxa"/>
              <w:left w:w="100" w:type="dxa"/>
              <w:bottom w:w="90" w:type="dxa"/>
              <w:right w:w="100" w:type="dxa"/>
            </w:tcMar>
            <w:vAlign w:val="center"/>
          </w:tcPr>
          <w:p w14:paraId="134FC5B0" w14:textId="77777777" w:rsidR="00363873" w:rsidRPr="00A60B24" w:rsidRDefault="00000000">
            <w:pPr>
              <w:spacing w:after="0"/>
              <w:rPr>
                <w:sz w:val="18"/>
                <w:szCs w:val="18"/>
              </w:rPr>
            </w:pPr>
            <w:r w:rsidRPr="00A60B24">
              <w:rPr>
                <w:color w:val="28323C"/>
                <w:sz w:val="18"/>
                <w:szCs w:val="18"/>
              </w:rPr>
              <w:t>Linear Regression</w:t>
            </w:r>
          </w:p>
        </w:tc>
        <w:tc>
          <w:tcPr>
            <w:tcW w:w="3672" w:type="dxa"/>
            <w:shd w:val="clear" w:color="auto" w:fill="F4F7FA"/>
            <w:tcMar>
              <w:top w:w="90" w:type="dxa"/>
              <w:left w:w="100" w:type="dxa"/>
              <w:bottom w:w="90" w:type="dxa"/>
              <w:right w:w="100" w:type="dxa"/>
            </w:tcMar>
            <w:vAlign w:val="center"/>
          </w:tcPr>
          <w:p w14:paraId="765FA7A2" w14:textId="77777777" w:rsidR="00363873" w:rsidRPr="00A60B24" w:rsidRDefault="00000000">
            <w:pPr>
              <w:spacing w:after="0"/>
              <w:rPr>
                <w:sz w:val="18"/>
                <w:szCs w:val="18"/>
              </w:rPr>
            </w:pPr>
            <w:r w:rsidRPr="00A60B24">
              <w:rPr>
                <w:color w:val="28323C"/>
                <w:sz w:val="18"/>
                <w:szCs w:val="18"/>
              </w:rPr>
              <w:t>Baseline estimate of schedule-delay days</w:t>
            </w:r>
          </w:p>
        </w:tc>
        <w:tc>
          <w:tcPr>
            <w:tcW w:w="3816" w:type="dxa"/>
            <w:shd w:val="clear" w:color="auto" w:fill="F4F7FA"/>
            <w:tcMar>
              <w:top w:w="90" w:type="dxa"/>
              <w:left w:w="100" w:type="dxa"/>
              <w:bottom w:w="90" w:type="dxa"/>
              <w:right w:w="100" w:type="dxa"/>
            </w:tcMar>
            <w:vAlign w:val="center"/>
          </w:tcPr>
          <w:p w14:paraId="4EAEE29E" w14:textId="77777777" w:rsidR="00363873" w:rsidRPr="00A60B24" w:rsidRDefault="00000000">
            <w:pPr>
              <w:spacing w:after="0"/>
              <w:rPr>
                <w:sz w:val="18"/>
                <w:szCs w:val="18"/>
              </w:rPr>
            </w:pPr>
            <w:r w:rsidRPr="00A60B24">
              <w:rPr>
                <w:color w:val="28323C"/>
                <w:sz w:val="18"/>
                <w:szCs w:val="18"/>
              </w:rPr>
              <w:t>Quantify how inputs relate to a continuous outcome under a linear approximation.</w:t>
            </w:r>
          </w:p>
        </w:tc>
      </w:tr>
      <w:tr w:rsidR="00363873" w:rsidRPr="00A60B24" w14:paraId="06EF54C3" w14:textId="77777777">
        <w:trPr>
          <w:cantSplit/>
          <w:jc w:val="center"/>
        </w:trPr>
        <w:tc>
          <w:tcPr>
            <w:tcW w:w="1800" w:type="dxa"/>
            <w:tcMar>
              <w:top w:w="90" w:type="dxa"/>
              <w:left w:w="100" w:type="dxa"/>
              <w:bottom w:w="90" w:type="dxa"/>
              <w:right w:w="100" w:type="dxa"/>
            </w:tcMar>
            <w:vAlign w:val="center"/>
          </w:tcPr>
          <w:p w14:paraId="67B09A42" w14:textId="77777777" w:rsidR="00363873" w:rsidRPr="00A60B24" w:rsidRDefault="00000000">
            <w:pPr>
              <w:spacing w:after="0"/>
              <w:rPr>
                <w:sz w:val="18"/>
                <w:szCs w:val="18"/>
              </w:rPr>
            </w:pPr>
            <w:r w:rsidRPr="00A60B24">
              <w:rPr>
                <w:color w:val="28323C"/>
                <w:sz w:val="18"/>
                <w:szCs w:val="18"/>
              </w:rPr>
              <w:t>Logistic Regression / Random Forest</w:t>
            </w:r>
          </w:p>
        </w:tc>
        <w:tc>
          <w:tcPr>
            <w:tcW w:w="3672" w:type="dxa"/>
            <w:tcMar>
              <w:top w:w="90" w:type="dxa"/>
              <w:left w:w="100" w:type="dxa"/>
              <w:bottom w:w="90" w:type="dxa"/>
              <w:right w:w="100" w:type="dxa"/>
            </w:tcMar>
            <w:vAlign w:val="center"/>
          </w:tcPr>
          <w:p w14:paraId="7D1AC5FE" w14:textId="77777777" w:rsidR="00363873" w:rsidRPr="00A60B24" w:rsidRDefault="00000000">
            <w:pPr>
              <w:spacing w:after="0"/>
              <w:rPr>
                <w:sz w:val="18"/>
                <w:szCs w:val="18"/>
              </w:rPr>
            </w:pPr>
            <w:r w:rsidRPr="00A60B24">
              <w:rPr>
                <w:color w:val="28323C"/>
                <w:sz w:val="18"/>
                <w:szCs w:val="18"/>
              </w:rPr>
              <w:t>Compare cost-overrun risk probabilities and classification trade-offs</w:t>
            </w:r>
          </w:p>
        </w:tc>
        <w:tc>
          <w:tcPr>
            <w:tcW w:w="3816" w:type="dxa"/>
            <w:tcMar>
              <w:top w:w="90" w:type="dxa"/>
              <w:left w:w="100" w:type="dxa"/>
              <w:bottom w:w="90" w:type="dxa"/>
              <w:right w:w="100" w:type="dxa"/>
            </w:tcMar>
            <w:vAlign w:val="center"/>
          </w:tcPr>
          <w:p w14:paraId="072A9052" w14:textId="77777777" w:rsidR="00363873" w:rsidRPr="00A60B24" w:rsidRDefault="00000000">
            <w:pPr>
              <w:spacing w:after="0"/>
              <w:rPr>
                <w:sz w:val="18"/>
                <w:szCs w:val="18"/>
              </w:rPr>
            </w:pPr>
            <w:r w:rsidRPr="00A60B24">
              <w:rPr>
                <w:color w:val="28323C"/>
                <w:sz w:val="18"/>
                <w:szCs w:val="18"/>
              </w:rPr>
              <w:t>Prioritize review, while accounting for missed risks and false alarms.</w:t>
            </w:r>
          </w:p>
        </w:tc>
      </w:tr>
    </w:tbl>
    <w:p w14:paraId="26936E72" w14:textId="77777777" w:rsidR="00363873" w:rsidRDefault="00363873">
      <w:pPr>
        <w:spacing w:after="20"/>
      </w:pPr>
    </w:p>
    <w:p w14:paraId="0100C856" w14:textId="77777777" w:rsidR="00363873" w:rsidRDefault="00000000">
      <w:pPr>
        <w:pStyle w:val="Heading1"/>
        <w:pageBreakBefore/>
      </w:pPr>
      <w:r>
        <w:lastRenderedPageBreak/>
        <w:t>2. Finding One: Schedule Performance Needs Active Control</w:t>
      </w:r>
    </w:p>
    <w:p w14:paraId="16123235" w14:textId="77777777" w:rsidR="00363873" w:rsidRPr="00A60B24" w:rsidRDefault="00000000">
      <w:pPr>
        <w:rPr>
          <w:sz w:val="20"/>
          <w:szCs w:val="20"/>
        </w:rPr>
      </w:pPr>
      <w:r w:rsidRPr="00A60B24">
        <w:rPr>
          <w:sz w:val="20"/>
          <w:szCs w:val="20"/>
        </w:rPr>
        <w:t>The Week 2 sample had a mean schedule delay of 30.52 days and a median of 31.0 days. The on-time field was true for 8.0% of records. This sample-specific pattern supports making schedule readiness and variance review a core dashboard function, but the percentages must not be presented as a construction-industry benchmark.</w:t>
      </w:r>
    </w:p>
    <w:p w14:paraId="531CE01D" w14:textId="77777777" w:rsidR="00363873" w:rsidRDefault="00000000">
      <w:pPr>
        <w:spacing w:after="40"/>
        <w:jc w:val="center"/>
      </w:pPr>
      <w:r>
        <w:rPr>
          <w:noProof/>
        </w:rPr>
        <w:drawing>
          <wp:inline distT="0" distB="0" distL="0" distR="0" wp14:anchorId="43F8C7ED" wp14:editId="1009E437">
            <wp:extent cx="6322620" cy="40081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02_delay_by_project_type.png"/>
                    <pic:cNvPicPr/>
                  </pic:nvPicPr>
                  <pic:blipFill>
                    <a:blip r:embed="rId9"/>
                    <a:stretch>
                      <a:fillRect/>
                    </a:stretch>
                  </pic:blipFill>
                  <pic:spPr>
                    <a:xfrm>
                      <a:off x="0" y="0"/>
                      <a:ext cx="6324794" cy="4009498"/>
                    </a:xfrm>
                    <a:prstGeom prst="rect">
                      <a:avLst/>
                    </a:prstGeom>
                  </pic:spPr>
                </pic:pic>
              </a:graphicData>
            </a:graphic>
          </wp:inline>
        </w:drawing>
      </w:r>
    </w:p>
    <w:p w14:paraId="15CE9B1B" w14:textId="77777777" w:rsidR="00363873" w:rsidRDefault="00000000">
      <w:pPr>
        <w:spacing w:after="120"/>
        <w:jc w:val="center"/>
        <w:rPr>
          <w:i/>
          <w:color w:val="5B6573"/>
          <w:sz w:val="18"/>
          <w:szCs w:val="18"/>
        </w:rPr>
      </w:pPr>
      <w:r w:rsidRPr="00A60B24">
        <w:rPr>
          <w:i/>
          <w:color w:val="5B6573"/>
          <w:sz w:val="18"/>
          <w:szCs w:val="18"/>
        </w:rPr>
        <w:t>Figure 2. Mean schedule delay by project type in the Week 2 synthetic EDA sample.</w:t>
      </w:r>
    </w:p>
    <w:p w14:paraId="61725B7A" w14:textId="77777777" w:rsidR="00A60B24" w:rsidRPr="00A60B24" w:rsidRDefault="00A60B24">
      <w:pPr>
        <w:spacing w:after="120"/>
        <w:jc w:val="center"/>
        <w:rPr>
          <w:sz w:val="18"/>
          <w:szCs w:val="18"/>
        </w:rPr>
      </w:pPr>
    </w:p>
    <w:p w14:paraId="32211F72" w14:textId="77777777" w:rsidR="00363873" w:rsidRPr="00A60B24" w:rsidRDefault="00000000">
      <w:pPr>
        <w:rPr>
          <w:sz w:val="20"/>
          <w:szCs w:val="20"/>
        </w:rPr>
      </w:pPr>
      <w:r w:rsidRPr="00A60B24">
        <w:rPr>
          <w:sz w:val="20"/>
          <w:szCs w:val="20"/>
        </w:rPr>
        <w:t>Within this sample, Bridge projects had the highest mean delay (37.2 days), while Residential projects had the lowest (22.8 days). Differences between categories can reflect sample construction and project complexity; managers should use such views to ask which scope, procurement, weather, approval, or resource conditions need review—not to assume that a project category inherently causes delay.</w:t>
      </w:r>
    </w:p>
    <w:p w14:paraId="3BC01A94" w14:textId="77777777" w:rsidR="00363873" w:rsidRDefault="00000000">
      <w:pPr>
        <w:pStyle w:val="Heading2"/>
      </w:pPr>
      <w:r>
        <w:t>Operational response</w:t>
      </w:r>
    </w:p>
    <w:p w14:paraId="53C86227" w14:textId="77777777" w:rsidR="00363873" w:rsidRPr="00A60B24" w:rsidRDefault="00000000">
      <w:pPr>
        <w:pStyle w:val="ListBullet"/>
        <w:spacing w:after="60"/>
        <w:rPr>
          <w:sz w:val="20"/>
          <w:szCs w:val="20"/>
        </w:rPr>
      </w:pPr>
      <w:r w:rsidRPr="00A60B24">
        <w:rPr>
          <w:sz w:val="20"/>
          <w:szCs w:val="20"/>
        </w:rPr>
        <w:t>Use a phase-level look-ahead and identify the next four to six weeks of critical activities, their constraints, responsible owners, and recovery options.</w:t>
      </w:r>
    </w:p>
    <w:p w14:paraId="496A4976" w14:textId="77777777" w:rsidR="00363873" w:rsidRPr="00A60B24" w:rsidRDefault="00000000">
      <w:pPr>
        <w:pStyle w:val="ListBullet"/>
        <w:spacing w:after="60"/>
        <w:rPr>
          <w:sz w:val="20"/>
          <w:szCs w:val="20"/>
        </w:rPr>
      </w:pPr>
      <w:r w:rsidRPr="00A60B24">
        <w:rPr>
          <w:sz w:val="20"/>
          <w:szCs w:val="20"/>
        </w:rPr>
        <w:t>Review schedule variance together with open RFIs, approvals, procurement promises, workforce coverage, weather windows, and inspection/rework events.</w:t>
      </w:r>
    </w:p>
    <w:p w14:paraId="0D90FECD" w14:textId="77777777" w:rsidR="00363873" w:rsidRPr="00A60B24" w:rsidRDefault="00000000">
      <w:pPr>
        <w:pStyle w:val="ListBullet"/>
        <w:spacing w:after="60"/>
        <w:rPr>
          <w:sz w:val="20"/>
          <w:szCs w:val="20"/>
        </w:rPr>
      </w:pPr>
      <w:r w:rsidRPr="00A60B24">
        <w:rPr>
          <w:sz w:val="20"/>
          <w:szCs w:val="20"/>
        </w:rPr>
        <w:t xml:space="preserve">Record the reason for every material forecast change so actual </w:t>
      </w:r>
      <w:proofErr w:type="gramStart"/>
      <w:r w:rsidRPr="00A60B24">
        <w:rPr>
          <w:sz w:val="20"/>
          <w:szCs w:val="20"/>
        </w:rPr>
        <w:t>results</w:t>
      </w:r>
      <w:proofErr w:type="gramEnd"/>
      <w:r w:rsidRPr="00A60B24">
        <w:rPr>
          <w:sz w:val="20"/>
          <w:szCs w:val="20"/>
        </w:rPr>
        <w:t xml:space="preserve"> can later be used to validate and improve the forecasting process.</w:t>
      </w:r>
    </w:p>
    <w:p w14:paraId="0E8BA42A" w14:textId="77777777" w:rsidR="00363873" w:rsidRDefault="00000000">
      <w:pPr>
        <w:pStyle w:val="Heading1"/>
        <w:pageBreakBefore/>
      </w:pPr>
      <w:r>
        <w:lastRenderedPageBreak/>
        <w:t>3. Finding Two: Procurement and Cost Signals Are Useful Early Warnings</w:t>
      </w:r>
    </w:p>
    <w:p w14:paraId="1E25A0BF" w14:textId="77777777" w:rsidR="00363873" w:rsidRPr="00A60B24" w:rsidRDefault="00000000">
      <w:pPr>
        <w:rPr>
          <w:sz w:val="20"/>
          <w:szCs w:val="20"/>
        </w:rPr>
      </w:pPr>
      <w:r w:rsidRPr="00A60B24">
        <w:rPr>
          <w:sz w:val="20"/>
          <w:szCs w:val="20"/>
        </w:rPr>
        <w:t>The Pearson correlation between procurement delay and schedule delay was 0.604 in the Week 2 sample. The relationship is positive: records with larger procurement delays tended, on average, to show larger schedule delays. Material cost index and cost overrun had a correlation of 0.455. Both results can guide questions for a project review, but correlation does not prove that one variable alone produced the outcome; project scale, design maturity, contract terms, and other unobserved factors may contribute.</w:t>
      </w:r>
    </w:p>
    <w:p w14:paraId="24948FC9" w14:textId="77777777" w:rsidR="00363873" w:rsidRDefault="00000000">
      <w:pPr>
        <w:spacing w:after="40"/>
        <w:jc w:val="center"/>
      </w:pPr>
      <w:r>
        <w:rPr>
          <w:noProof/>
        </w:rPr>
        <w:drawing>
          <wp:inline distT="0" distB="0" distL="0" distR="0" wp14:anchorId="2A48E273" wp14:editId="68737918">
            <wp:extent cx="6256931" cy="4351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03_procurement_vs_schedule_delay.png"/>
                    <pic:cNvPicPr/>
                  </pic:nvPicPr>
                  <pic:blipFill>
                    <a:blip r:embed="rId10"/>
                    <a:stretch>
                      <a:fillRect/>
                    </a:stretch>
                  </pic:blipFill>
                  <pic:spPr>
                    <a:xfrm>
                      <a:off x="0" y="0"/>
                      <a:ext cx="6261305" cy="4354062"/>
                    </a:xfrm>
                    <a:prstGeom prst="rect">
                      <a:avLst/>
                    </a:prstGeom>
                  </pic:spPr>
                </pic:pic>
              </a:graphicData>
            </a:graphic>
          </wp:inline>
        </w:drawing>
      </w:r>
    </w:p>
    <w:p w14:paraId="725CE809" w14:textId="77777777" w:rsidR="00363873" w:rsidRDefault="00000000">
      <w:pPr>
        <w:spacing w:after="120"/>
        <w:jc w:val="center"/>
        <w:rPr>
          <w:i/>
          <w:color w:val="5B6573"/>
          <w:sz w:val="18"/>
          <w:szCs w:val="18"/>
        </w:rPr>
      </w:pPr>
      <w:r w:rsidRPr="00A60B24">
        <w:rPr>
          <w:i/>
          <w:color w:val="5B6573"/>
          <w:sz w:val="18"/>
          <w:szCs w:val="18"/>
        </w:rPr>
        <w:t>Figure 3. Procurement delay versus schedule delay; the line summarizes a linear association, not a causal effect.</w:t>
      </w:r>
    </w:p>
    <w:p w14:paraId="6DCCAAAD" w14:textId="77777777" w:rsidR="00A60B24" w:rsidRPr="00A60B24" w:rsidRDefault="00A60B24">
      <w:pPr>
        <w:spacing w:after="120"/>
        <w:jc w:val="center"/>
        <w:rPr>
          <w:sz w:val="18"/>
          <w:szCs w:val="18"/>
        </w:rPr>
      </w:pPr>
    </w:p>
    <w:p w14:paraId="713E8F30" w14:textId="77777777" w:rsidR="00363873" w:rsidRPr="00A60B24" w:rsidRDefault="00000000">
      <w:pPr>
        <w:rPr>
          <w:sz w:val="20"/>
          <w:szCs w:val="20"/>
        </w:rPr>
      </w:pPr>
      <w:r w:rsidRPr="00A60B24">
        <w:rPr>
          <w:sz w:val="20"/>
          <w:szCs w:val="20"/>
        </w:rPr>
        <w:t>The procurement view is actionable because order placement, submittal approval, promised delivery, required-on-site date, and alternative sourcing can often be managed before a late delivery appears as lost site time. An exception list should show the item, affected work package, days of slippage, schedule float remaining, owner, and next decision date.</w:t>
      </w:r>
    </w:p>
    <w:p w14:paraId="08081043" w14:textId="77777777" w:rsidR="00363873" w:rsidRDefault="00000000">
      <w:pPr>
        <w:spacing w:after="40"/>
        <w:jc w:val="center"/>
      </w:pPr>
      <w:r>
        <w:rPr>
          <w:noProof/>
        </w:rPr>
        <w:lastRenderedPageBreak/>
        <w:drawing>
          <wp:inline distT="0" distB="0" distL="0" distR="0" wp14:anchorId="09F36CB7" wp14:editId="1548B940">
            <wp:extent cx="6551004" cy="46558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04_budget_vs_actual_cost.png"/>
                    <pic:cNvPicPr/>
                  </pic:nvPicPr>
                  <pic:blipFill>
                    <a:blip r:embed="rId11"/>
                    <a:stretch>
                      <a:fillRect/>
                    </a:stretch>
                  </pic:blipFill>
                  <pic:spPr>
                    <a:xfrm>
                      <a:off x="0" y="0"/>
                      <a:ext cx="6554964" cy="4658635"/>
                    </a:xfrm>
                    <a:prstGeom prst="rect">
                      <a:avLst/>
                    </a:prstGeom>
                  </pic:spPr>
                </pic:pic>
              </a:graphicData>
            </a:graphic>
          </wp:inline>
        </w:drawing>
      </w:r>
    </w:p>
    <w:p w14:paraId="38649C81" w14:textId="77777777" w:rsidR="00363873" w:rsidRDefault="00000000">
      <w:pPr>
        <w:spacing w:after="120"/>
        <w:jc w:val="center"/>
        <w:rPr>
          <w:i/>
          <w:color w:val="5B6573"/>
          <w:sz w:val="18"/>
          <w:szCs w:val="18"/>
        </w:rPr>
      </w:pPr>
      <w:r w:rsidRPr="00A60B24">
        <w:rPr>
          <w:i/>
          <w:color w:val="5B6573"/>
          <w:sz w:val="18"/>
          <w:szCs w:val="18"/>
        </w:rPr>
        <w:t>Figure 4. Planned budget versus actual final cost in the Week 2 synthetic sample. Points above the parity line exceed budget.</w:t>
      </w:r>
    </w:p>
    <w:p w14:paraId="294867AE" w14:textId="77777777" w:rsidR="00A60B24" w:rsidRPr="00A60B24" w:rsidRDefault="00A60B24">
      <w:pPr>
        <w:spacing w:after="120"/>
        <w:jc w:val="center"/>
        <w:rPr>
          <w:sz w:val="18"/>
          <w:szCs w:val="18"/>
        </w:rPr>
      </w:pPr>
    </w:p>
    <w:p w14:paraId="06D4C341" w14:textId="7F21413A" w:rsidR="00363873" w:rsidRPr="00A60B24" w:rsidRDefault="00000000">
      <w:pPr>
        <w:rPr>
          <w:sz w:val="20"/>
          <w:szCs w:val="20"/>
        </w:rPr>
      </w:pPr>
      <w:r w:rsidRPr="00A60B24">
        <w:rPr>
          <w:sz w:val="20"/>
          <w:szCs w:val="20"/>
        </w:rPr>
        <w:t>Mean cost overrun was 2.31% in the Week 2 sample, while 3.6% of records exceeded the 10% threshold. A cost-control meeting should reconcile commitments, actual costs, approved changes, pending claims, material-price exposure, forecast quantities, and contingency. The final cost chart alone is retrospective; early management requires a regularly refreshed estimate-at-completion</w:t>
      </w:r>
      <w:r w:rsidR="00A60B24">
        <w:rPr>
          <w:sz w:val="20"/>
          <w:szCs w:val="20"/>
        </w:rPr>
        <w:t>.</w:t>
      </w:r>
    </w:p>
    <w:p w14:paraId="2B53458B" w14:textId="06F3CA01" w:rsidR="00363873" w:rsidRDefault="00A60B24">
      <w:pPr>
        <w:pStyle w:val="Heading1"/>
        <w:pageBreakBefore/>
      </w:pPr>
      <w:r>
        <w:lastRenderedPageBreak/>
        <w:t>4</w:t>
      </w:r>
      <w:r w:rsidR="00000000">
        <w:t>. Finding Three: Predictive Models Should Support, Not Replace, Review</w:t>
      </w:r>
    </w:p>
    <w:p w14:paraId="349FB06D" w14:textId="77777777" w:rsidR="00363873" w:rsidRDefault="00000000">
      <w:r>
        <w:t>Week 3 compared two delay regressors and two classifiers for a cost-overrun flag of at least 10%. The metrics below come from the separate 500-row synthetic risk sample, with an 80/20 train-test split and five-fold cross-validation on the training sample. The regression target was delay in days; the classifier target was a thresholded cost-overrun flag. Recall measures how many overrun cases are flagged, while precision measures how many flagged cases are true; the alert threshold should reflect the cost of missed risks versus false alerts.</w:t>
      </w:r>
    </w:p>
    <w:p w14:paraId="6D4011A6" w14:textId="77777777" w:rsidR="00363873" w:rsidRDefault="00000000">
      <w:pPr>
        <w:spacing w:after="40"/>
        <w:jc w:val="center"/>
      </w:pPr>
      <w:r>
        <w:rPr>
          <w:noProof/>
        </w:rPr>
        <w:drawing>
          <wp:inline distT="0" distB="0" distL="0" distR="0" wp14:anchorId="08E70FEB" wp14:editId="235A72AE">
            <wp:extent cx="4937760" cy="30952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05_model_validation_tradeoffs.png"/>
                    <pic:cNvPicPr/>
                  </pic:nvPicPr>
                  <pic:blipFill>
                    <a:blip r:embed="rId12"/>
                    <a:stretch>
                      <a:fillRect/>
                    </a:stretch>
                  </pic:blipFill>
                  <pic:spPr>
                    <a:xfrm>
                      <a:off x="0" y="0"/>
                      <a:ext cx="4937760" cy="3095213"/>
                    </a:xfrm>
                    <a:prstGeom prst="rect">
                      <a:avLst/>
                    </a:prstGeom>
                  </pic:spPr>
                </pic:pic>
              </a:graphicData>
            </a:graphic>
          </wp:inline>
        </w:drawing>
      </w:r>
    </w:p>
    <w:p w14:paraId="4DF1F528" w14:textId="77777777" w:rsidR="00363873" w:rsidRDefault="00000000">
      <w:pPr>
        <w:spacing w:after="120"/>
        <w:jc w:val="center"/>
      </w:pPr>
      <w:r>
        <w:rPr>
          <w:i/>
          <w:color w:val="5B6573"/>
          <w:sz w:val="16"/>
        </w:rPr>
        <w:t>Figure 5. Holdout model metrics; regression and classification scores have different meanings and scales.</w:t>
      </w:r>
    </w:p>
    <w:p w14:paraId="5656D014" w14:textId="77777777" w:rsidR="00363873" w:rsidRDefault="00000000">
      <w:pPr>
        <w:pStyle w:val="Heading2"/>
      </w:pPr>
      <w:r>
        <w:t>Delay forecast comparison</w:t>
      </w:r>
    </w:p>
    <w:tbl>
      <w:tblPr>
        <w:tblStyle w:val="TableGrid"/>
        <w:tblW w:w="0" w:type="auto"/>
        <w:jc w:val="center"/>
        <w:tblLook w:val="04A0" w:firstRow="1" w:lastRow="0" w:firstColumn="1" w:lastColumn="0" w:noHBand="0" w:noVBand="1"/>
      </w:tblPr>
      <w:tblGrid>
        <w:gridCol w:w="2232"/>
        <w:gridCol w:w="1728"/>
        <w:gridCol w:w="1728"/>
        <w:gridCol w:w="1440"/>
        <w:gridCol w:w="2232"/>
      </w:tblGrid>
      <w:tr w:rsidR="00363873" w14:paraId="2F395F5F" w14:textId="77777777">
        <w:trPr>
          <w:cantSplit/>
          <w:tblHeader/>
          <w:jc w:val="center"/>
        </w:trPr>
        <w:tc>
          <w:tcPr>
            <w:tcW w:w="2232" w:type="dxa"/>
            <w:shd w:val="clear" w:color="auto" w:fill="17324D"/>
            <w:tcMar>
              <w:top w:w="90" w:type="dxa"/>
              <w:left w:w="100" w:type="dxa"/>
              <w:bottom w:w="90" w:type="dxa"/>
              <w:right w:w="100" w:type="dxa"/>
            </w:tcMar>
            <w:vAlign w:val="center"/>
          </w:tcPr>
          <w:p w14:paraId="5B797338" w14:textId="77777777" w:rsidR="00363873" w:rsidRDefault="00000000">
            <w:pPr>
              <w:spacing w:after="0"/>
            </w:pPr>
            <w:r>
              <w:rPr>
                <w:b/>
                <w:color w:val="FFFFFF"/>
                <w:sz w:val="16"/>
              </w:rPr>
              <w:t>Model</w:t>
            </w:r>
          </w:p>
        </w:tc>
        <w:tc>
          <w:tcPr>
            <w:tcW w:w="1728" w:type="dxa"/>
            <w:shd w:val="clear" w:color="auto" w:fill="17324D"/>
            <w:tcMar>
              <w:top w:w="90" w:type="dxa"/>
              <w:left w:w="100" w:type="dxa"/>
              <w:bottom w:w="90" w:type="dxa"/>
              <w:right w:w="100" w:type="dxa"/>
            </w:tcMar>
            <w:vAlign w:val="center"/>
          </w:tcPr>
          <w:p w14:paraId="5D461105" w14:textId="77777777" w:rsidR="00363873" w:rsidRDefault="00000000">
            <w:pPr>
              <w:spacing w:after="0"/>
            </w:pPr>
            <w:r>
              <w:rPr>
                <w:b/>
                <w:color w:val="FFFFFF"/>
                <w:sz w:val="16"/>
              </w:rPr>
              <w:t>Holdout MAE (days)</w:t>
            </w:r>
          </w:p>
        </w:tc>
        <w:tc>
          <w:tcPr>
            <w:tcW w:w="1728" w:type="dxa"/>
            <w:shd w:val="clear" w:color="auto" w:fill="17324D"/>
            <w:tcMar>
              <w:top w:w="90" w:type="dxa"/>
              <w:left w:w="100" w:type="dxa"/>
              <w:bottom w:w="90" w:type="dxa"/>
              <w:right w:w="100" w:type="dxa"/>
            </w:tcMar>
            <w:vAlign w:val="center"/>
          </w:tcPr>
          <w:p w14:paraId="6407D950" w14:textId="77777777" w:rsidR="00363873" w:rsidRDefault="00000000">
            <w:pPr>
              <w:spacing w:after="0"/>
            </w:pPr>
            <w:r>
              <w:rPr>
                <w:b/>
                <w:color w:val="FFFFFF"/>
                <w:sz w:val="16"/>
              </w:rPr>
              <w:t>Holdout RMSE (days)</w:t>
            </w:r>
          </w:p>
        </w:tc>
        <w:tc>
          <w:tcPr>
            <w:tcW w:w="1440" w:type="dxa"/>
            <w:shd w:val="clear" w:color="auto" w:fill="17324D"/>
            <w:tcMar>
              <w:top w:w="90" w:type="dxa"/>
              <w:left w:w="100" w:type="dxa"/>
              <w:bottom w:w="90" w:type="dxa"/>
              <w:right w:w="100" w:type="dxa"/>
            </w:tcMar>
            <w:vAlign w:val="center"/>
          </w:tcPr>
          <w:p w14:paraId="1C28AC81" w14:textId="77777777" w:rsidR="00363873" w:rsidRDefault="00000000">
            <w:pPr>
              <w:spacing w:after="0"/>
            </w:pPr>
            <w:r>
              <w:rPr>
                <w:b/>
                <w:color w:val="FFFFFF"/>
                <w:sz w:val="16"/>
              </w:rPr>
              <w:t>Holdout R²</w:t>
            </w:r>
          </w:p>
        </w:tc>
        <w:tc>
          <w:tcPr>
            <w:tcW w:w="2232" w:type="dxa"/>
            <w:shd w:val="clear" w:color="auto" w:fill="17324D"/>
            <w:tcMar>
              <w:top w:w="90" w:type="dxa"/>
              <w:left w:w="100" w:type="dxa"/>
              <w:bottom w:w="90" w:type="dxa"/>
              <w:right w:w="100" w:type="dxa"/>
            </w:tcMar>
            <w:vAlign w:val="center"/>
          </w:tcPr>
          <w:p w14:paraId="5F6E8D8E" w14:textId="77777777" w:rsidR="00363873" w:rsidRDefault="00000000">
            <w:pPr>
              <w:spacing w:after="0"/>
            </w:pPr>
            <w:r>
              <w:rPr>
                <w:b/>
                <w:color w:val="FFFFFF"/>
                <w:sz w:val="16"/>
              </w:rPr>
              <w:t>Mean CV R² ± SD</w:t>
            </w:r>
          </w:p>
        </w:tc>
      </w:tr>
      <w:tr w:rsidR="00363873" w14:paraId="73DFF715" w14:textId="77777777">
        <w:trPr>
          <w:cantSplit/>
          <w:jc w:val="center"/>
        </w:trPr>
        <w:tc>
          <w:tcPr>
            <w:tcW w:w="2232" w:type="dxa"/>
            <w:tcMar>
              <w:top w:w="90" w:type="dxa"/>
              <w:left w:w="100" w:type="dxa"/>
              <w:bottom w:w="90" w:type="dxa"/>
              <w:right w:w="100" w:type="dxa"/>
            </w:tcMar>
            <w:vAlign w:val="center"/>
          </w:tcPr>
          <w:p w14:paraId="470C90BC" w14:textId="77777777" w:rsidR="00363873" w:rsidRDefault="00000000">
            <w:pPr>
              <w:spacing w:after="0"/>
            </w:pPr>
            <w:r>
              <w:rPr>
                <w:color w:val="28323C"/>
                <w:sz w:val="16"/>
              </w:rPr>
              <w:t>Linear Regression</w:t>
            </w:r>
          </w:p>
        </w:tc>
        <w:tc>
          <w:tcPr>
            <w:tcW w:w="1728" w:type="dxa"/>
            <w:tcMar>
              <w:top w:w="90" w:type="dxa"/>
              <w:left w:w="100" w:type="dxa"/>
              <w:bottom w:w="90" w:type="dxa"/>
              <w:right w:w="100" w:type="dxa"/>
            </w:tcMar>
            <w:vAlign w:val="center"/>
          </w:tcPr>
          <w:p w14:paraId="4819523D" w14:textId="77777777" w:rsidR="00363873" w:rsidRDefault="00000000">
            <w:pPr>
              <w:spacing w:after="0"/>
            </w:pPr>
            <w:r>
              <w:rPr>
                <w:color w:val="28323C"/>
                <w:sz w:val="16"/>
              </w:rPr>
              <w:t>6.52</w:t>
            </w:r>
          </w:p>
        </w:tc>
        <w:tc>
          <w:tcPr>
            <w:tcW w:w="1728" w:type="dxa"/>
            <w:tcMar>
              <w:top w:w="90" w:type="dxa"/>
              <w:left w:w="100" w:type="dxa"/>
              <w:bottom w:w="90" w:type="dxa"/>
              <w:right w:w="100" w:type="dxa"/>
            </w:tcMar>
            <w:vAlign w:val="center"/>
          </w:tcPr>
          <w:p w14:paraId="0E74D51D" w14:textId="77777777" w:rsidR="00363873" w:rsidRDefault="00000000">
            <w:pPr>
              <w:spacing w:after="0"/>
            </w:pPr>
            <w:r>
              <w:rPr>
                <w:color w:val="28323C"/>
                <w:sz w:val="16"/>
              </w:rPr>
              <w:t>8.46</w:t>
            </w:r>
          </w:p>
        </w:tc>
        <w:tc>
          <w:tcPr>
            <w:tcW w:w="1440" w:type="dxa"/>
            <w:tcMar>
              <w:top w:w="90" w:type="dxa"/>
              <w:left w:w="100" w:type="dxa"/>
              <w:bottom w:w="90" w:type="dxa"/>
              <w:right w:w="100" w:type="dxa"/>
            </w:tcMar>
            <w:vAlign w:val="center"/>
          </w:tcPr>
          <w:p w14:paraId="3320830A" w14:textId="77777777" w:rsidR="00363873" w:rsidRDefault="00000000">
            <w:pPr>
              <w:spacing w:after="0"/>
            </w:pPr>
            <w:r>
              <w:rPr>
                <w:color w:val="28323C"/>
                <w:sz w:val="16"/>
              </w:rPr>
              <w:t>0.541</w:t>
            </w:r>
          </w:p>
        </w:tc>
        <w:tc>
          <w:tcPr>
            <w:tcW w:w="2232" w:type="dxa"/>
            <w:tcMar>
              <w:top w:w="90" w:type="dxa"/>
              <w:left w:w="100" w:type="dxa"/>
              <w:bottom w:w="90" w:type="dxa"/>
              <w:right w:w="100" w:type="dxa"/>
            </w:tcMar>
            <w:vAlign w:val="center"/>
          </w:tcPr>
          <w:p w14:paraId="014FF7BE" w14:textId="77777777" w:rsidR="00363873" w:rsidRDefault="00000000">
            <w:pPr>
              <w:spacing w:after="0"/>
            </w:pPr>
            <w:r>
              <w:rPr>
                <w:color w:val="28323C"/>
                <w:sz w:val="16"/>
              </w:rPr>
              <w:t>0.596 ± 0.022</w:t>
            </w:r>
          </w:p>
        </w:tc>
      </w:tr>
      <w:tr w:rsidR="00363873" w14:paraId="1D790CCB" w14:textId="77777777">
        <w:trPr>
          <w:cantSplit/>
          <w:jc w:val="center"/>
        </w:trPr>
        <w:tc>
          <w:tcPr>
            <w:tcW w:w="2232" w:type="dxa"/>
            <w:shd w:val="clear" w:color="auto" w:fill="F4F7FA"/>
            <w:tcMar>
              <w:top w:w="90" w:type="dxa"/>
              <w:left w:w="100" w:type="dxa"/>
              <w:bottom w:w="90" w:type="dxa"/>
              <w:right w:w="100" w:type="dxa"/>
            </w:tcMar>
            <w:vAlign w:val="center"/>
          </w:tcPr>
          <w:p w14:paraId="7216D045" w14:textId="77777777" w:rsidR="00363873" w:rsidRDefault="00000000">
            <w:pPr>
              <w:spacing w:after="0"/>
            </w:pPr>
            <w:r>
              <w:rPr>
                <w:color w:val="28323C"/>
                <w:sz w:val="16"/>
              </w:rPr>
              <w:t>Random Forest Regressor</w:t>
            </w:r>
          </w:p>
        </w:tc>
        <w:tc>
          <w:tcPr>
            <w:tcW w:w="1728" w:type="dxa"/>
            <w:shd w:val="clear" w:color="auto" w:fill="F4F7FA"/>
            <w:tcMar>
              <w:top w:w="90" w:type="dxa"/>
              <w:left w:w="100" w:type="dxa"/>
              <w:bottom w:w="90" w:type="dxa"/>
              <w:right w:w="100" w:type="dxa"/>
            </w:tcMar>
            <w:vAlign w:val="center"/>
          </w:tcPr>
          <w:p w14:paraId="7040E52B" w14:textId="77777777" w:rsidR="00363873" w:rsidRDefault="00000000">
            <w:pPr>
              <w:spacing w:after="0"/>
            </w:pPr>
            <w:r>
              <w:rPr>
                <w:color w:val="28323C"/>
                <w:sz w:val="16"/>
              </w:rPr>
              <w:t>7.53</w:t>
            </w:r>
          </w:p>
        </w:tc>
        <w:tc>
          <w:tcPr>
            <w:tcW w:w="1728" w:type="dxa"/>
            <w:shd w:val="clear" w:color="auto" w:fill="F4F7FA"/>
            <w:tcMar>
              <w:top w:w="90" w:type="dxa"/>
              <w:left w:w="100" w:type="dxa"/>
              <w:bottom w:w="90" w:type="dxa"/>
              <w:right w:w="100" w:type="dxa"/>
            </w:tcMar>
            <w:vAlign w:val="center"/>
          </w:tcPr>
          <w:p w14:paraId="04A49770" w14:textId="77777777" w:rsidR="00363873" w:rsidRDefault="00000000">
            <w:pPr>
              <w:spacing w:after="0"/>
            </w:pPr>
            <w:r>
              <w:rPr>
                <w:color w:val="28323C"/>
                <w:sz w:val="16"/>
              </w:rPr>
              <w:t>9.48</w:t>
            </w:r>
          </w:p>
        </w:tc>
        <w:tc>
          <w:tcPr>
            <w:tcW w:w="1440" w:type="dxa"/>
            <w:shd w:val="clear" w:color="auto" w:fill="F4F7FA"/>
            <w:tcMar>
              <w:top w:w="90" w:type="dxa"/>
              <w:left w:w="100" w:type="dxa"/>
              <w:bottom w:w="90" w:type="dxa"/>
              <w:right w:w="100" w:type="dxa"/>
            </w:tcMar>
            <w:vAlign w:val="center"/>
          </w:tcPr>
          <w:p w14:paraId="39525E0F" w14:textId="77777777" w:rsidR="00363873" w:rsidRDefault="00000000">
            <w:pPr>
              <w:spacing w:after="0"/>
            </w:pPr>
            <w:r>
              <w:rPr>
                <w:color w:val="28323C"/>
                <w:sz w:val="16"/>
              </w:rPr>
              <w:t>0.423</w:t>
            </w:r>
          </w:p>
        </w:tc>
        <w:tc>
          <w:tcPr>
            <w:tcW w:w="2232" w:type="dxa"/>
            <w:shd w:val="clear" w:color="auto" w:fill="F4F7FA"/>
            <w:tcMar>
              <w:top w:w="90" w:type="dxa"/>
              <w:left w:w="100" w:type="dxa"/>
              <w:bottom w:w="90" w:type="dxa"/>
              <w:right w:w="100" w:type="dxa"/>
            </w:tcMar>
            <w:vAlign w:val="center"/>
          </w:tcPr>
          <w:p w14:paraId="27EF2C09" w14:textId="77777777" w:rsidR="00363873" w:rsidRDefault="00000000">
            <w:pPr>
              <w:spacing w:after="0"/>
            </w:pPr>
            <w:r>
              <w:rPr>
                <w:color w:val="28323C"/>
                <w:sz w:val="16"/>
              </w:rPr>
              <w:t>0.445 ± 0.068</w:t>
            </w:r>
          </w:p>
        </w:tc>
      </w:tr>
    </w:tbl>
    <w:p w14:paraId="47EC9213" w14:textId="77777777" w:rsidR="00363873" w:rsidRDefault="00363873">
      <w:pPr>
        <w:spacing w:after="20"/>
      </w:pPr>
    </w:p>
    <w:p w14:paraId="59ACC3EF" w14:textId="77777777" w:rsidR="00363873" w:rsidRDefault="00000000">
      <w:r>
        <w:t>In this example, Linear Regression had lower holdout error and higher holdout R² than the Random Forest Regressor. Its five-fold mean R² was also higher and less variable in the supplied runs. That makes the linear model a defensible baseline for this dataset—not a universal winner. Real projects can contain nonlinear relationships, reporting shifts, and differences between project types or phases.</w:t>
      </w:r>
    </w:p>
    <w:p w14:paraId="53E58A47" w14:textId="77777777" w:rsidR="00363873" w:rsidRDefault="00000000">
      <w:pPr>
        <w:pStyle w:val="Heading2"/>
      </w:pPr>
      <w:r>
        <w:t>Cost-overrun risk classification</w:t>
      </w:r>
    </w:p>
    <w:tbl>
      <w:tblPr>
        <w:tblStyle w:val="TableGrid"/>
        <w:tblW w:w="0" w:type="auto"/>
        <w:jc w:val="center"/>
        <w:tblLook w:val="04A0" w:firstRow="1" w:lastRow="0" w:firstColumn="1" w:lastColumn="0" w:noHBand="0" w:noVBand="1"/>
      </w:tblPr>
      <w:tblGrid>
        <w:gridCol w:w="2880"/>
        <w:gridCol w:w="1080"/>
        <w:gridCol w:w="1080"/>
        <w:gridCol w:w="1008"/>
        <w:gridCol w:w="936"/>
        <w:gridCol w:w="1152"/>
      </w:tblGrid>
      <w:tr w:rsidR="00363873" w14:paraId="55D1F482" w14:textId="77777777">
        <w:trPr>
          <w:cantSplit/>
          <w:tblHeader/>
          <w:jc w:val="center"/>
        </w:trPr>
        <w:tc>
          <w:tcPr>
            <w:tcW w:w="2880" w:type="dxa"/>
            <w:shd w:val="clear" w:color="auto" w:fill="17324D"/>
            <w:tcMar>
              <w:top w:w="90" w:type="dxa"/>
              <w:left w:w="100" w:type="dxa"/>
              <w:bottom w:w="90" w:type="dxa"/>
              <w:right w:w="100" w:type="dxa"/>
            </w:tcMar>
            <w:vAlign w:val="center"/>
          </w:tcPr>
          <w:p w14:paraId="27F6B98F" w14:textId="77777777" w:rsidR="00363873" w:rsidRDefault="00000000">
            <w:pPr>
              <w:spacing w:after="0"/>
            </w:pPr>
            <w:r>
              <w:rPr>
                <w:b/>
                <w:color w:val="FFFFFF"/>
                <w:sz w:val="15"/>
              </w:rPr>
              <w:t>Model</w:t>
            </w:r>
          </w:p>
        </w:tc>
        <w:tc>
          <w:tcPr>
            <w:tcW w:w="1080" w:type="dxa"/>
            <w:shd w:val="clear" w:color="auto" w:fill="17324D"/>
            <w:tcMar>
              <w:top w:w="90" w:type="dxa"/>
              <w:left w:w="100" w:type="dxa"/>
              <w:bottom w:w="90" w:type="dxa"/>
              <w:right w:w="100" w:type="dxa"/>
            </w:tcMar>
            <w:vAlign w:val="center"/>
          </w:tcPr>
          <w:p w14:paraId="3F396EC7" w14:textId="77777777" w:rsidR="00363873" w:rsidRDefault="00000000">
            <w:pPr>
              <w:spacing w:after="0"/>
            </w:pPr>
            <w:r>
              <w:rPr>
                <w:b/>
                <w:color w:val="FFFFFF"/>
                <w:sz w:val="15"/>
              </w:rPr>
              <w:t>Accuracy</w:t>
            </w:r>
          </w:p>
        </w:tc>
        <w:tc>
          <w:tcPr>
            <w:tcW w:w="1080" w:type="dxa"/>
            <w:shd w:val="clear" w:color="auto" w:fill="17324D"/>
            <w:tcMar>
              <w:top w:w="90" w:type="dxa"/>
              <w:left w:w="100" w:type="dxa"/>
              <w:bottom w:w="90" w:type="dxa"/>
              <w:right w:w="100" w:type="dxa"/>
            </w:tcMar>
            <w:vAlign w:val="center"/>
          </w:tcPr>
          <w:p w14:paraId="195B9B3E" w14:textId="77777777" w:rsidR="00363873" w:rsidRDefault="00000000">
            <w:pPr>
              <w:spacing w:after="0"/>
            </w:pPr>
            <w:r>
              <w:rPr>
                <w:b/>
                <w:color w:val="FFFFFF"/>
                <w:sz w:val="15"/>
              </w:rPr>
              <w:t>Precision</w:t>
            </w:r>
          </w:p>
        </w:tc>
        <w:tc>
          <w:tcPr>
            <w:tcW w:w="1008" w:type="dxa"/>
            <w:shd w:val="clear" w:color="auto" w:fill="17324D"/>
            <w:tcMar>
              <w:top w:w="90" w:type="dxa"/>
              <w:left w:w="100" w:type="dxa"/>
              <w:bottom w:w="90" w:type="dxa"/>
              <w:right w:w="100" w:type="dxa"/>
            </w:tcMar>
            <w:vAlign w:val="center"/>
          </w:tcPr>
          <w:p w14:paraId="6A5F4FEB" w14:textId="77777777" w:rsidR="00363873" w:rsidRDefault="00000000">
            <w:pPr>
              <w:spacing w:after="0"/>
            </w:pPr>
            <w:r>
              <w:rPr>
                <w:b/>
                <w:color w:val="FFFFFF"/>
                <w:sz w:val="15"/>
              </w:rPr>
              <w:t>Recall</w:t>
            </w:r>
          </w:p>
        </w:tc>
        <w:tc>
          <w:tcPr>
            <w:tcW w:w="936" w:type="dxa"/>
            <w:shd w:val="clear" w:color="auto" w:fill="17324D"/>
            <w:tcMar>
              <w:top w:w="90" w:type="dxa"/>
              <w:left w:w="100" w:type="dxa"/>
              <w:bottom w:w="90" w:type="dxa"/>
              <w:right w:w="100" w:type="dxa"/>
            </w:tcMar>
            <w:vAlign w:val="center"/>
          </w:tcPr>
          <w:p w14:paraId="6589E5A0" w14:textId="77777777" w:rsidR="00363873" w:rsidRDefault="00000000">
            <w:pPr>
              <w:spacing w:after="0"/>
            </w:pPr>
            <w:r>
              <w:rPr>
                <w:b/>
                <w:color w:val="FFFFFF"/>
                <w:sz w:val="15"/>
              </w:rPr>
              <w:t>F1</w:t>
            </w:r>
          </w:p>
        </w:tc>
        <w:tc>
          <w:tcPr>
            <w:tcW w:w="1152" w:type="dxa"/>
            <w:shd w:val="clear" w:color="auto" w:fill="17324D"/>
            <w:tcMar>
              <w:top w:w="90" w:type="dxa"/>
              <w:left w:w="100" w:type="dxa"/>
              <w:bottom w:w="90" w:type="dxa"/>
              <w:right w:w="100" w:type="dxa"/>
            </w:tcMar>
            <w:vAlign w:val="center"/>
          </w:tcPr>
          <w:p w14:paraId="763B239B" w14:textId="77777777" w:rsidR="00363873" w:rsidRDefault="00000000">
            <w:pPr>
              <w:spacing w:after="0"/>
            </w:pPr>
            <w:r>
              <w:rPr>
                <w:b/>
                <w:color w:val="FFFFFF"/>
                <w:sz w:val="15"/>
              </w:rPr>
              <w:t>ROC-AUC</w:t>
            </w:r>
          </w:p>
        </w:tc>
      </w:tr>
      <w:tr w:rsidR="00363873" w14:paraId="2CFCBDD7" w14:textId="77777777">
        <w:trPr>
          <w:cantSplit/>
          <w:jc w:val="center"/>
        </w:trPr>
        <w:tc>
          <w:tcPr>
            <w:tcW w:w="2880" w:type="dxa"/>
            <w:tcMar>
              <w:top w:w="90" w:type="dxa"/>
              <w:left w:w="100" w:type="dxa"/>
              <w:bottom w:w="90" w:type="dxa"/>
              <w:right w:w="100" w:type="dxa"/>
            </w:tcMar>
            <w:vAlign w:val="center"/>
          </w:tcPr>
          <w:p w14:paraId="729DFB29" w14:textId="77777777" w:rsidR="00363873" w:rsidRDefault="00000000">
            <w:pPr>
              <w:spacing w:after="0"/>
            </w:pPr>
            <w:r>
              <w:rPr>
                <w:color w:val="28323C"/>
                <w:sz w:val="15"/>
              </w:rPr>
              <w:t>Logistic Regression</w:t>
            </w:r>
          </w:p>
        </w:tc>
        <w:tc>
          <w:tcPr>
            <w:tcW w:w="1080" w:type="dxa"/>
            <w:tcMar>
              <w:top w:w="90" w:type="dxa"/>
              <w:left w:w="100" w:type="dxa"/>
              <w:bottom w:w="90" w:type="dxa"/>
              <w:right w:w="100" w:type="dxa"/>
            </w:tcMar>
            <w:vAlign w:val="center"/>
          </w:tcPr>
          <w:p w14:paraId="31B94F3A" w14:textId="77777777" w:rsidR="00363873" w:rsidRDefault="00000000">
            <w:pPr>
              <w:spacing w:after="0"/>
            </w:pPr>
            <w:r>
              <w:rPr>
                <w:color w:val="28323C"/>
                <w:sz w:val="15"/>
              </w:rPr>
              <w:t>0.770</w:t>
            </w:r>
          </w:p>
        </w:tc>
        <w:tc>
          <w:tcPr>
            <w:tcW w:w="1080" w:type="dxa"/>
            <w:tcMar>
              <w:top w:w="90" w:type="dxa"/>
              <w:left w:w="100" w:type="dxa"/>
              <w:bottom w:w="90" w:type="dxa"/>
              <w:right w:w="100" w:type="dxa"/>
            </w:tcMar>
            <w:vAlign w:val="center"/>
          </w:tcPr>
          <w:p w14:paraId="2D213D50" w14:textId="77777777" w:rsidR="00363873" w:rsidRDefault="00000000">
            <w:pPr>
              <w:spacing w:after="0"/>
            </w:pPr>
            <w:r>
              <w:rPr>
                <w:color w:val="28323C"/>
                <w:sz w:val="15"/>
              </w:rPr>
              <w:t>0.515</w:t>
            </w:r>
          </w:p>
        </w:tc>
        <w:tc>
          <w:tcPr>
            <w:tcW w:w="1008" w:type="dxa"/>
            <w:tcMar>
              <w:top w:w="90" w:type="dxa"/>
              <w:left w:w="100" w:type="dxa"/>
              <w:bottom w:w="90" w:type="dxa"/>
              <w:right w:w="100" w:type="dxa"/>
            </w:tcMar>
            <w:vAlign w:val="center"/>
          </w:tcPr>
          <w:p w14:paraId="6F39E659" w14:textId="77777777" w:rsidR="00363873" w:rsidRDefault="00000000">
            <w:pPr>
              <w:spacing w:after="0"/>
            </w:pPr>
            <w:r>
              <w:rPr>
                <w:color w:val="28323C"/>
                <w:sz w:val="15"/>
              </w:rPr>
              <w:t>0.708</w:t>
            </w:r>
          </w:p>
        </w:tc>
        <w:tc>
          <w:tcPr>
            <w:tcW w:w="936" w:type="dxa"/>
            <w:tcMar>
              <w:top w:w="90" w:type="dxa"/>
              <w:left w:w="100" w:type="dxa"/>
              <w:bottom w:w="90" w:type="dxa"/>
              <w:right w:w="100" w:type="dxa"/>
            </w:tcMar>
            <w:vAlign w:val="center"/>
          </w:tcPr>
          <w:p w14:paraId="1B46DEB1" w14:textId="77777777" w:rsidR="00363873" w:rsidRDefault="00000000">
            <w:pPr>
              <w:spacing w:after="0"/>
            </w:pPr>
            <w:r>
              <w:rPr>
                <w:color w:val="28323C"/>
                <w:sz w:val="15"/>
              </w:rPr>
              <w:t>0.596</w:t>
            </w:r>
          </w:p>
        </w:tc>
        <w:tc>
          <w:tcPr>
            <w:tcW w:w="1152" w:type="dxa"/>
            <w:tcMar>
              <w:top w:w="90" w:type="dxa"/>
              <w:left w:w="100" w:type="dxa"/>
              <w:bottom w:w="90" w:type="dxa"/>
              <w:right w:w="100" w:type="dxa"/>
            </w:tcMar>
            <w:vAlign w:val="center"/>
          </w:tcPr>
          <w:p w14:paraId="08D9F79B" w14:textId="77777777" w:rsidR="00363873" w:rsidRDefault="00000000">
            <w:pPr>
              <w:spacing w:after="0"/>
            </w:pPr>
            <w:r>
              <w:rPr>
                <w:color w:val="28323C"/>
                <w:sz w:val="15"/>
              </w:rPr>
              <w:t>0.826</w:t>
            </w:r>
          </w:p>
        </w:tc>
      </w:tr>
      <w:tr w:rsidR="00363873" w14:paraId="09B68B07" w14:textId="77777777">
        <w:trPr>
          <w:cantSplit/>
          <w:jc w:val="center"/>
        </w:trPr>
        <w:tc>
          <w:tcPr>
            <w:tcW w:w="2880" w:type="dxa"/>
            <w:shd w:val="clear" w:color="auto" w:fill="F4F7FA"/>
            <w:tcMar>
              <w:top w:w="90" w:type="dxa"/>
              <w:left w:w="100" w:type="dxa"/>
              <w:bottom w:w="90" w:type="dxa"/>
              <w:right w:w="100" w:type="dxa"/>
            </w:tcMar>
            <w:vAlign w:val="center"/>
          </w:tcPr>
          <w:p w14:paraId="770BB459" w14:textId="77777777" w:rsidR="00363873" w:rsidRDefault="00000000">
            <w:pPr>
              <w:spacing w:after="0"/>
            </w:pPr>
            <w:r>
              <w:rPr>
                <w:color w:val="28323C"/>
                <w:sz w:val="15"/>
              </w:rPr>
              <w:t>Random Forest Classifier</w:t>
            </w:r>
          </w:p>
        </w:tc>
        <w:tc>
          <w:tcPr>
            <w:tcW w:w="1080" w:type="dxa"/>
            <w:shd w:val="clear" w:color="auto" w:fill="F4F7FA"/>
            <w:tcMar>
              <w:top w:w="90" w:type="dxa"/>
              <w:left w:w="100" w:type="dxa"/>
              <w:bottom w:w="90" w:type="dxa"/>
              <w:right w:w="100" w:type="dxa"/>
            </w:tcMar>
            <w:vAlign w:val="center"/>
          </w:tcPr>
          <w:p w14:paraId="1712B2F8" w14:textId="77777777" w:rsidR="00363873" w:rsidRDefault="00000000">
            <w:pPr>
              <w:spacing w:after="0"/>
            </w:pPr>
            <w:r>
              <w:rPr>
                <w:color w:val="28323C"/>
                <w:sz w:val="15"/>
              </w:rPr>
              <w:t>0.810</w:t>
            </w:r>
          </w:p>
        </w:tc>
        <w:tc>
          <w:tcPr>
            <w:tcW w:w="1080" w:type="dxa"/>
            <w:shd w:val="clear" w:color="auto" w:fill="F4F7FA"/>
            <w:tcMar>
              <w:top w:w="90" w:type="dxa"/>
              <w:left w:w="100" w:type="dxa"/>
              <w:bottom w:w="90" w:type="dxa"/>
              <w:right w:w="100" w:type="dxa"/>
            </w:tcMar>
            <w:vAlign w:val="center"/>
          </w:tcPr>
          <w:p w14:paraId="436898A7" w14:textId="77777777" w:rsidR="00363873" w:rsidRDefault="00000000">
            <w:pPr>
              <w:spacing w:after="0"/>
            </w:pPr>
            <w:r>
              <w:rPr>
                <w:color w:val="28323C"/>
                <w:sz w:val="15"/>
              </w:rPr>
              <w:t>0.778</w:t>
            </w:r>
          </w:p>
        </w:tc>
        <w:tc>
          <w:tcPr>
            <w:tcW w:w="1008" w:type="dxa"/>
            <w:shd w:val="clear" w:color="auto" w:fill="F4F7FA"/>
            <w:tcMar>
              <w:top w:w="90" w:type="dxa"/>
              <w:left w:w="100" w:type="dxa"/>
              <w:bottom w:w="90" w:type="dxa"/>
              <w:right w:w="100" w:type="dxa"/>
            </w:tcMar>
            <w:vAlign w:val="center"/>
          </w:tcPr>
          <w:p w14:paraId="1EB5203A" w14:textId="77777777" w:rsidR="00363873" w:rsidRDefault="00000000">
            <w:pPr>
              <w:spacing w:after="0"/>
            </w:pPr>
            <w:r>
              <w:rPr>
                <w:color w:val="28323C"/>
                <w:sz w:val="15"/>
              </w:rPr>
              <w:t>0.292</w:t>
            </w:r>
          </w:p>
        </w:tc>
        <w:tc>
          <w:tcPr>
            <w:tcW w:w="936" w:type="dxa"/>
            <w:shd w:val="clear" w:color="auto" w:fill="F4F7FA"/>
            <w:tcMar>
              <w:top w:w="90" w:type="dxa"/>
              <w:left w:w="100" w:type="dxa"/>
              <w:bottom w:w="90" w:type="dxa"/>
              <w:right w:w="100" w:type="dxa"/>
            </w:tcMar>
            <w:vAlign w:val="center"/>
          </w:tcPr>
          <w:p w14:paraId="25A21794" w14:textId="77777777" w:rsidR="00363873" w:rsidRDefault="00000000">
            <w:pPr>
              <w:spacing w:after="0"/>
            </w:pPr>
            <w:r>
              <w:rPr>
                <w:color w:val="28323C"/>
                <w:sz w:val="15"/>
              </w:rPr>
              <w:t>0.424</w:t>
            </w:r>
          </w:p>
        </w:tc>
        <w:tc>
          <w:tcPr>
            <w:tcW w:w="1152" w:type="dxa"/>
            <w:shd w:val="clear" w:color="auto" w:fill="F4F7FA"/>
            <w:tcMar>
              <w:top w:w="90" w:type="dxa"/>
              <w:left w:w="100" w:type="dxa"/>
              <w:bottom w:w="90" w:type="dxa"/>
              <w:right w:w="100" w:type="dxa"/>
            </w:tcMar>
            <w:vAlign w:val="center"/>
          </w:tcPr>
          <w:p w14:paraId="566F5FAE" w14:textId="77777777" w:rsidR="00363873" w:rsidRDefault="00000000">
            <w:pPr>
              <w:spacing w:after="0"/>
            </w:pPr>
            <w:r>
              <w:rPr>
                <w:color w:val="28323C"/>
                <w:sz w:val="15"/>
              </w:rPr>
              <w:t>0.814</w:t>
            </w:r>
          </w:p>
        </w:tc>
      </w:tr>
    </w:tbl>
    <w:p w14:paraId="3B0045D6" w14:textId="77777777" w:rsidR="00363873" w:rsidRDefault="00363873">
      <w:pPr>
        <w:spacing w:after="20"/>
      </w:pPr>
    </w:p>
    <w:p w14:paraId="148408B9" w14:textId="77777777" w:rsidR="00363873" w:rsidRDefault="00000000">
      <w:pPr>
        <w:pStyle w:val="Heading1"/>
      </w:pPr>
      <w:r>
        <w:lastRenderedPageBreak/>
        <w:t>5. Finding Four: What-if Scenarios Can Organize Mitigation Discussions</w:t>
      </w:r>
    </w:p>
    <w:p w14:paraId="284F5CDA" w14:textId="77777777" w:rsidR="00363873" w:rsidRDefault="00000000">
      <w:r>
        <w:t>Week 3 evaluated a single simulated high-risk project under several hypothetical input changes. The exercise illustrates how a model can help compare possible response plans before a meeting. It does not estimate causal intervention effects: changing a model input is not proof that a real intervention will produce the same result.</w:t>
      </w:r>
    </w:p>
    <w:p w14:paraId="07A9E127" w14:textId="77777777" w:rsidR="00363873" w:rsidRDefault="00000000">
      <w:pPr>
        <w:spacing w:after="40"/>
        <w:jc w:val="center"/>
      </w:pPr>
      <w:r>
        <w:rPr>
          <w:noProof/>
        </w:rPr>
        <w:drawing>
          <wp:inline distT="0" distB="0" distL="0" distR="0" wp14:anchorId="5FEE3B8D" wp14:editId="516F6EDB">
            <wp:extent cx="5806440" cy="38824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06_mitigation_scenario_comparison.png"/>
                    <pic:cNvPicPr/>
                  </pic:nvPicPr>
                  <pic:blipFill>
                    <a:blip r:embed="rId13"/>
                    <a:stretch>
                      <a:fillRect/>
                    </a:stretch>
                  </pic:blipFill>
                  <pic:spPr>
                    <a:xfrm>
                      <a:off x="0" y="0"/>
                      <a:ext cx="5806440" cy="3882468"/>
                    </a:xfrm>
                    <a:prstGeom prst="rect">
                      <a:avLst/>
                    </a:prstGeom>
                  </pic:spPr>
                </pic:pic>
              </a:graphicData>
            </a:graphic>
          </wp:inline>
        </w:drawing>
      </w:r>
    </w:p>
    <w:p w14:paraId="1B2F535C" w14:textId="77777777" w:rsidR="00363873" w:rsidRDefault="00000000">
      <w:pPr>
        <w:spacing w:after="120"/>
        <w:jc w:val="center"/>
      </w:pPr>
      <w:r>
        <w:rPr>
          <w:i/>
          <w:color w:val="5B6573"/>
          <w:sz w:val="16"/>
        </w:rPr>
        <w:t>Figure 6. Predicted delay for one simulated high-risk project under selected what-if scenarios.</w:t>
      </w:r>
    </w:p>
    <w:tbl>
      <w:tblPr>
        <w:tblStyle w:val="TableGrid"/>
        <w:tblW w:w="0" w:type="auto"/>
        <w:jc w:val="center"/>
        <w:tblLook w:val="04A0" w:firstRow="1" w:lastRow="0" w:firstColumn="1" w:lastColumn="0" w:noHBand="0" w:noVBand="1"/>
      </w:tblPr>
      <w:tblGrid>
        <w:gridCol w:w="2088"/>
        <w:gridCol w:w="1512"/>
        <w:gridCol w:w="1944"/>
        <w:gridCol w:w="3024"/>
      </w:tblGrid>
      <w:tr w:rsidR="00363873" w14:paraId="7979FD7D" w14:textId="77777777">
        <w:trPr>
          <w:cantSplit/>
          <w:tblHeader/>
          <w:jc w:val="center"/>
        </w:trPr>
        <w:tc>
          <w:tcPr>
            <w:tcW w:w="2088" w:type="dxa"/>
            <w:shd w:val="clear" w:color="auto" w:fill="17324D"/>
            <w:tcMar>
              <w:top w:w="90" w:type="dxa"/>
              <w:left w:w="100" w:type="dxa"/>
              <w:bottom w:w="90" w:type="dxa"/>
              <w:right w:w="100" w:type="dxa"/>
            </w:tcMar>
            <w:vAlign w:val="center"/>
          </w:tcPr>
          <w:p w14:paraId="019DC120" w14:textId="77777777" w:rsidR="00363873" w:rsidRDefault="00000000">
            <w:pPr>
              <w:spacing w:after="0"/>
            </w:pPr>
            <w:r>
              <w:rPr>
                <w:b/>
                <w:color w:val="FFFFFF"/>
                <w:sz w:val="15"/>
              </w:rPr>
              <w:t>Scenario</w:t>
            </w:r>
          </w:p>
        </w:tc>
        <w:tc>
          <w:tcPr>
            <w:tcW w:w="1512" w:type="dxa"/>
            <w:shd w:val="clear" w:color="auto" w:fill="17324D"/>
            <w:tcMar>
              <w:top w:w="90" w:type="dxa"/>
              <w:left w:w="100" w:type="dxa"/>
              <w:bottom w:w="90" w:type="dxa"/>
              <w:right w:w="100" w:type="dxa"/>
            </w:tcMar>
            <w:vAlign w:val="center"/>
          </w:tcPr>
          <w:p w14:paraId="1C068DCB" w14:textId="77777777" w:rsidR="00363873" w:rsidRDefault="00000000">
            <w:pPr>
              <w:spacing w:after="0"/>
            </w:pPr>
            <w:r>
              <w:rPr>
                <w:b/>
                <w:color w:val="FFFFFF"/>
                <w:sz w:val="15"/>
              </w:rPr>
              <w:t>Predicted delay (days)</w:t>
            </w:r>
          </w:p>
        </w:tc>
        <w:tc>
          <w:tcPr>
            <w:tcW w:w="1944" w:type="dxa"/>
            <w:shd w:val="clear" w:color="auto" w:fill="17324D"/>
            <w:tcMar>
              <w:top w:w="90" w:type="dxa"/>
              <w:left w:w="100" w:type="dxa"/>
              <w:bottom w:w="90" w:type="dxa"/>
              <w:right w:w="100" w:type="dxa"/>
            </w:tcMar>
            <w:vAlign w:val="center"/>
          </w:tcPr>
          <w:p w14:paraId="427A5BD2" w14:textId="77777777" w:rsidR="00363873" w:rsidRDefault="00000000">
            <w:pPr>
              <w:spacing w:after="0"/>
            </w:pPr>
            <w:r>
              <w:rPr>
                <w:b/>
                <w:color w:val="FFFFFF"/>
                <w:sz w:val="15"/>
              </w:rPr>
              <w:t>Predicted cost-overrun probability</w:t>
            </w:r>
          </w:p>
        </w:tc>
        <w:tc>
          <w:tcPr>
            <w:tcW w:w="3024" w:type="dxa"/>
            <w:shd w:val="clear" w:color="auto" w:fill="17324D"/>
            <w:tcMar>
              <w:top w:w="90" w:type="dxa"/>
              <w:left w:w="100" w:type="dxa"/>
              <w:bottom w:w="90" w:type="dxa"/>
              <w:right w:w="100" w:type="dxa"/>
            </w:tcMar>
            <w:vAlign w:val="center"/>
          </w:tcPr>
          <w:p w14:paraId="6B2159AC" w14:textId="77777777" w:rsidR="00363873" w:rsidRDefault="00000000">
            <w:pPr>
              <w:spacing w:after="0"/>
            </w:pPr>
            <w:r>
              <w:rPr>
                <w:b/>
                <w:color w:val="FFFFFF"/>
                <w:sz w:val="15"/>
              </w:rPr>
              <w:t>Interpretation</w:t>
            </w:r>
          </w:p>
        </w:tc>
      </w:tr>
      <w:tr w:rsidR="00363873" w14:paraId="0BADD3ED" w14:textId="77777777">
        <w:trPr>
          <w:cantSplit/>
          <w:jc w:val="center"/>
        </w:trPr>
        <w:tc>
          <w:tcPr>
            <w:tcW w:w="2088" w:type="dxa"/>
            <w:tcMar>
              <w:top w:w="90" w:type="dxa"/>
              <w:left w:w="100" w:type="dxa"/>
              <w:bottom w:w="90" w:type="dxa"/>
              <w:right w:w="100" w:type="dxa"/>
            </w:tcMar>
            <w:vAlign w:val="center"/>
          </w:tcPr>
          <w:p w14:paraId="57FE94BA" w14:textId="77777777" w:rsidR="00363873" w:rsidRDefault="00000000">
            <w:pPr>
              <w:spacing w:after="0"/>
            </w:pPr>
            <w:r>
              <w:rPr>
                <w:color w:val="28323C"/>
                <w:sz w:val="15"/>
              </w:rPr>
              <w:t>Baseline high-risk project</w:t>
            </w:r>
          </w:p>
        </w:tc>
        <w:tc>
          <w:tcPr>
            <w:tcW w:w="1512" w:type="dxa"/>
            <w:tcMar>
              <w:top w:w="90" w:type="dxa"/>
              <w:left w:w="100" w:type="dxa"/>
              <w:bottom w:w="90" w:type="dxa"/>
              <w:right w:w="100" w:type="dxa"/>
            </w:tcMar>
            <w:vAlign w:val="center"/>
          </w:tcPr>
          <w:p w14:paraId="5C9C8833" w14:textId="77777777" w:rsidR="00363873" w:rsidRDefault="00000000">
            <w:pPr>
              <w:spacing w:after="0"/>
            </w:pPr>
            <w:r>
              <w:rPr>
                <w:color w:val="28323C"/>
                <w:sz w:val="15"/>
              </w:rPr>
              <w:t>73.30</w:t>
            </w:r>
          </w:p>
        </w:tc>
        <w:tc>
          <w:tcPr>
            <w:tcW w:w="1944" w:type="dxa"/>
            <w:tcMar>
              <w:top w:w="90" w:type="dxa"/>
              <w:left w:w="100" w:type="dxa"/>
              <w:bottom w:w="90" w:type="dxa"/>
              <w:right w:w="100" w:type="dxa"/>
            </w:tcMar>
            <w:vAlign w:val="center"/>
          </w:tcPr>
          <w:p w14:paraId="7C21E431" w14:textId="77777777" w:rsidR="00363873" w:rsidRDefault="00000000">
            <w:pPr>
              <w:spacing w:after="0"/>
            </w:pPr>
            <w:r>
              <w:rPr>
                <w:color w:val="28323C"/>
                <w:sz w:val="15"/>
              </w:rPr>
              <w:t>96.46%</w:t>
            </w:r>
          </w:p>
        </w:tc>
        <w:tc>
          <w:tcPr>
            <w:tcW w:w="3024" w:type="dxa"/>
            <w:tcMar>
              <w:top w:w="90" w:type="dxa"/>
              <w:left w:w="100" w:type="dxa"/>
              <w:bottom w:w="90" w:type="dxa"/>
              <w:right w:w="100" w:type="dxa"/>
            </w:tcMar>
            <w:vAlign w:val="center"/>
          </w:tcPr>
          <w:p w14:paraId="3B3C1992" w14:textId="77777777" w:rsidR="00363873" w:rsidRDefault="00000000">
            <w:pPr>
              <w:spacing w:after="0"/>
            </w:pPr>
            <w:r>
              <w:rPr>
                <w:color w:val="28323C"/>
                <w:sz w:val="15"/>
              </w:rPr>
              <w:t>Reference case before hypothetical changes</w:t>
            </w:r>
          </w:p>
        </w:tc>
      </w:tr>
      <w:tr w:rsidR="00363873" w14:paraId="036EC155" w14:textId="77777777">
        <w:trPr>
          <w:cantSplit/>
          <w:jc w:val="center"/>
        </w:trPr>
        <w:tc>
          <w:tcPr>
            <w:tcW w:w="2088" w:type="dxa"/>
            <w:shd w:val="clear" w:color="auto" w:fill="F4F7FA"/>
            <w:tcMar>
              <w:top w:w="90" w:type="dxa"/>
              <w:left w:w="100" w:type="dxa"/>
              <w:bottom w:w="90" w:type="dxa"/>
              <w:right w:w="100" w:type="dxa"/>
            </w:tcMar>
            <w:vAlign w:val="center"/>
          </w:tcPr>
          <w:p w14:paraId="26A7F56E" w14:textId="77777777" w:rsidR="00363873" w:rsidRDefault="00000000">
            <w:pPr>
              <w:spacing w:after="0"/>
            </w:pPr>
            <w:r>
              <w:rPr>
                <w:color w:val="28323C"/>
                <w:sz w:val="15"/>
              </w:rPr>
              <w:t>Supplier coordination</w:t>
            </w:r>
          </w:p>
        </w:tc>
        <w:tc>
          <w:tcPr>
            <w:tcW w:w="1512" w:type="dxa"/>
            <w:shd w:val="clear" w:color="auto" w:fill="F4F7FA"/>
            <w:tcMar>
              <w:top w:w="90" w:type="dxa"/>
              <w:left w:w="100" w:type="dxa"/>
              <w:bottom w:w="90" w:type="dxa"/>
              <w:right w:w="100" w:type="dxa"/>
            </w:tcMar>
            <w:vAlign w:val="center"/>
          </w:tcPr>
          <w:p w14:paraId="147F37A2" w14:textId="77777777" w:rsidR="00363873" w:rsidRDefault="00000000">
            <w:pPr>
              <w:spacing w:after="0"/>
            </w:pPr>
            <w:r>
              <w:rPr>
                <w:color w:val="28323C"/>
                <w:sz w:val="15"/>
              </w:rPr>
              <w:t>69.88</w:t>
            </w:r>
          </w:p>
        </w:tc>
        <w:tc>
          <w:tcPr>
            <w:tcW w:w="1944" w:type="dxa"/>
            <w:shd w:val="clear" w:color="auto" w:fill="F4F7FA"/>
            <w:tcMar>
              <w:top w:w="90" w:type="dxa"/>
              <w:left w:w="100" w:type="dxa"/>
              <w:bottom w:w="90" w:type="dxa"/>
              <w:right w:w="100" w:type="dxa"/>
            </w:tcMar>
            <w:vAlign w:val="center"/>
          </w:tcPr>
          <w:p w14:paraId="6F85FDF1" w14:textId="77777777" w:rsidR="00363873" w:rsidRDefault="00000000">
            <w:pPr>
              <w:spacing w:after="0"/>
            </w:pPr>
            <w:r>
              <w:rPr>
                <w:color w:val="28323C"/>
                <w:sz w:val="15"/>
              </w:rPr>
              <w:t>94.93%</w:t>
            </w:r>
          </w:p>
        </w:tc>
        <w:tc>
          <w:tcPr>
            <w:tcW w:w="3024" w:type="dxa"/>
            <w:shd w:val="clear" w:color="auto" w:fill="F4F7FA"/>
            <w:tcMar>
              <w:top w:w="90" w:type="dxa"/>
              <w:left w:w="100" w:type="dxa"/>
              <w:bottom w:w="90" w:type="dxa"/>
              <w:right w:w="100" w:type="dxa"/>
            </w:tcMar>
            <w:vAlign w:val="center"/>
          </w:tcPr>
          <w:p w14:paraId="026BFA52" w14:textId="77777777" w:rsidR="00363873" w:rsidRDefault="00000000">
            <w:pPr>
              <w:spacing w:after="0"/>
            </w:pPr>
            <w:r>
              <w:rPr>
                <w:color w:val="28323C"/>
                <w:sz w:val="15"/>
              </w:rPr>
              <w:t>Illustrative effect of reducing supplier-delay input</w:t>
            </w:r>
          </w:p>
        </w:tc>
      </w:tr>
      <w:tr w:rsidR="00363873" w14:paraId="6FD366DF" w14:textId="77777777">
        <w:trPr>
          <w:cantSplit/>
          <w:jc w:val="center"/>
        </w:trPr>
        <w:tc>
          <w:tcPr>
            <w:tcW w:w="2088" w:type="dxa"/>
            <w:tcMar>
              <w:top w:w="90" w:type="dxa"/>
              <w:left w:w="100" w:type="dxa"/>
              <w:bottom w:w="90" w:type="dxa"/>
              <w:right w:w="100" w:type="dxa"/>
            </w:tcMar>
            <w:vAlign w:val="center"/>
          </w:tcPr>
          <w:p w14:paraId="4AFB8D6E" w14:textId="77777777" w:rsidR="00363873" w:rsidRDefault="00000000">
            <w:pPr>
              <w:spacing w:after="0"/>
            </w:pPr>
            <w:r>
              <w:rPr>
                <w:color w:val="28323C"/>
                <w:sz w:val="15"/>
              </w:rPr>
              <w:t>Design freeze</w:t>
            </w:r>
          </w:p>
        </w:tc>
        <w:tc>
          <w:tcPr>
            <w:tcW w:w="1512" w:type="dxa"/>
            <w:tcMar>
              <w:top w:w="90" w:type="dxa"/>
              <w:left w:w="100" w:type="dxa"/>
              <w:bottom w:w="90" w:type="dxa"/>
              <w:right w:w="100" w:type="dxa"/>
            </w:tcMar>
            <w:vAlign w:val="center"/>
          </w:tcPr>
          <w:p w14:paraId="2F6DA499" w14:textId="77777777" w:rsidR="00363873" w:rsidRDefault="00000000">
            <w:pPr>
              <w:spacing w:after="0"/>
            </w:pPr>
            <w:r>
              <w:rPr>
                <w:color w:val="28323C"/>
                <w:sz w:val="15"/>
              </w:rPr>
              <w:t>65.34</w:t>
            </w:r>
          </w:p>
        </w:tc>
        <w:tc>
          <w:tcPr>
            <w:tcW w:w="1944" w:type="dxa"/>
            <w:tcMar>
              <w:top w:w="90" w:type="dxa"/>
              <w:left w:w="100" w:type="dxa"/>
              <w:bottom w:w="90" w:type="dxa"/>
              <w:right w:w="100" w:type="dxa"/>
            </w:tcMar>
            <w:vAlign w:val="center"/>
          </w:tcPr>
          <w:p w14:paraId="1C503E80" w14:textId="77777777" w:rsidR="00363873" w:rsidRDefault="00000000">
            <w:pPr>
              <w:spacing w:after="0"/>
            </w:pPr>
            <w:r>
              <w:rPr>
                <w:color w:val="28323C"/>
                <w:sz w:val="15"/>
              </w:rPr>
              <w:t>92.72%</w:t>
            </w:r>
          </w:p>
        </w:tc>
        <w:tc>
          <w:tcPr>
            <w:tcW w:w="3024" w:type="dxa"/>
            <w:tcMar>
              <w:top w:w="90" w:type="dxa"/>
              <w:left w:w="100" w:type="dxa"/>
              <w:bottom w:w="90" w:type="dxa"/>
              <w:right w:w="100" w:type="dxa"/>
            </w:tcMar>
            <w:vAlign w:val="center"/>
          </w:tcPr>
          <w:p w14:paraId="4D7A81D3" w14:textId="77777777" w:rsidR="00363873" w:rsidRDefault="00000000">
            <w:pPr>
              <w:spacing w:after="0"/>
            </w:pPr>
            <w:r>
              <w:rPr>
                <w:color w:val="28323C"/>
                <w:sz w:val="15"/>
              </w:rPr>
              <w:t>Illustrative effect of reducing design-change count</w:t>
            </w:r>
          </w:p>
        </w:tc>
      </w:tr>
      <w:tr w:rsidR="00363873" w14:paraId="53B3E56D" w14:textId="77777777">
        <w:trPr>
          <w:cantSplit/>
          <w:jc w:val="center"/>
        </w:trPr>
        <w:tc>
          <w:tcPr>
            <w:tcW w:w="2088" w:type="dxa"/>
            <w:shd w:val="clear" w:color="auto" w:fill="F4F7FA"/>
            <w:tcMar>
              <w:top w:w="90" w:type="dxa"/>
              <w:left w:w="100" w:type="dxa"/>
              <w:bottom w:w="90" w:type="dxa"/>
              <w:right w:w="100" w:type="dxa"/>
            </w:tcMar>
            <w:vAlign w:val="center"/>
          </w:tcPr>
          <w:p w14:paraId="1C1E7672" w14:textId="77777777" w:rsidR="00363873" w:rsidRDefault="00000000">
            <w:pPr>
              <w:spacing w:after="0"/>
            </w:pPr>
            <w:r>
              <w:rPr>
                <w:color w:val="28323C"/>
                <w:sz w:val="15"/>
              </w:rPr>
              <w:t>Workforce plan</w:t>
            </w:r>
          </w:p>
        </w:tc>
        <w:tc>
          <w:tcPr>
            <w:tcW w:w="1512" w:type="dxa"/>
            <w:shd w:val="clear" w:color="auto" w:fill="F4F7FA"/>
            <w:tcMar>
              <w:top w:w="90" w:type="dxa"/>
              <w:left w:w="100" w:type="dxa"/>
              <w:bottom w:w="90" w:type="dxa"/>
              <w:right w:w="100" w:type="dxa"/>
            </w:tcMar>
            <w:vAlign w:val="center"/>
          </w:tcPr>
          <w:p w14:paraId="57B2A996" w14:textId="77777777" w:rsidR="00363873" w:rsidRDefault="00000000">
            <w:pPr>
              <w:spacing w:after="0"/>
            </w:pPr>
            <w:r>
              <w:rPr>
                <w:color w:val="28323C"/>
                <w:sz w:val="15"/>
              </w:rPr>
              <w:t>71.91</w:t>
            </w:r>
          </w:p>
        </w:tc>
        <w:tc>
          <w:tcPr>
            <w:tcW w:w="1944" w:type="dxa"/>
            <w:shd w:val="clear" w:color="auto" w:fill="F4F7FA"/>
            <w:tcMar>
              <w:top w:w="90" w:type="dxa"/>
              <w:left w:w="100" w:type="dxa"/>
              <w:bottom w:w="90" w:type="dxa"/>
              <w:right w:w="100" w:type="dxa"/>
            </w:tcMar>
            <w:vAlign w:val="center"/>
          </w:tcPr>
          <w:p w14:paraId="7C20C5D7" w14:textId="77777777" w:rsidR="00363873" w:rsidRDefault="00000000">
            <w:pPr>
              <w:spacing w:after="0"/>
            </w:pPr>
            <w:r>
              <w:rPr>
                <w:color w:val="28323C"/>
                <w:sz w:val="15"/>
              </w:rPr>
              <w:t>96.31%</w:t>
            </w:r>
          </w:p>
        </w:tc>
        <w:tc>
          <w:tcPr>
            <w:tcW w:w="3024" w:type="dxa"/>
            <w:shd w:val="clear" w:color="auto" w:fill="F4F7FA"/>
            <w:tcMar>
              <w:top w:w="90" w:type="dxa"/>
              <w:left w:w="100" w:type="dxa"/>
              <w:bottom w:w="90" w:type="dxa"/>
              <w:right w:w="100" w:type="dxa"/>
            </w:tcMar>
            <w:vAlign w:val="center"/>
          </w:tcPr>
          <w:p w14:paraId="1052CDF5" w14:textId="77777777" w:rsidR="00363873" w:rsidRDefault="00000000">
            <w:pPr>
              <w:spacing w:after="0"/>
            </w:pPr>
            <w:r>
              <w:rPr>
                <w:color w:val="28323C"/>
                <w:sz w:val="15"/>
              </w:rPr>
              <w:t>Illustrative effect of higher labor availability</w:t>
            </w:r>
          </w:p>
        </w:tc>
      </w:tr>
      <w:tr w:rsidR="00363873" w14:paraId="28F0AD72" w14:textId="77777777">
        <w:trPr>
          <w:cantSplit/>
          <w:jc w:val="center"/>
        </w:trPr>
        <w:tc>
          <w:tcPr>
            <w:tcW w:w="2088" w:type="dxa"/>
            <w:tcMar>
              <w:top w:w="90" w:type="dxa"/>
              <w:left w:w="100" w:type="dxa"/>
              <w:bottom w:w="90" w:type="dxa"/>
              <w:right w:w="100" w:type="dxa"/>
            </w:tcMar>
            <w:vAlign w:val="center"/>
          </w:tcPr>
          <w:p w14:paraId="377573FE" w14:textId="77777777" w:rsidR="00363873" w:rsidRDefault="00000000">
            <w:pPr>
              <w:spacing w:after="0"/>
            </w:pPr>
            <w:r>
              <w:rPr>
                <w:color w:val="28323C"/>
                <w:sz w:val="15"/>
              </w:rPr>
              <w:t>Combined controls</w:t>
            </w:r>
          </w:p>
        </w:tc>
        <w:tc>
          <w:tcPr>
            <w:tcW w:w="1512" w:type="dxa"/>
            <w:tcMar>
              <w:top w:w="90" w:type="dxa"/>
              <w:left w:w="100" w:type="dxa"/>
              <w:bottom w:w="90" w:type="dxa"/>
              <w:right w:w="100" w:type="dxa"/>
            </w:tcMar>
            <w:vAlign w:val="center"/>
          </w:tcPr>
          <w:p w14:paraId="2FEFB89B" w14:textId="77777777" w:rsidR="00363873" w:rsidRDefault="00000000">
            <w:pPr>
              <w:spacing w:after="0"/>
            </w:pPr>
            <w:r>
              <w:rPr>
                <w:color w:val="28323C"/>
                <w:sz w:val="15"/>
              </w:rPr>
              <w:t>57.97</w:t>
            </w:r>
          </w:p>
        </w:tc>
        <w:tc>
          <w:tcPr>
            <w:tcW w:w="1944" w:type="dxa"/>
            <w:tcMar>
              <w:top w:w="90" w:type="dxa"/>
              <w:left w:w="100" w:type="dxa"/>
              <w:bottom w:w="90" w:type="dxa"/>
              <w:right w:w="100" w:type="dxa"/>
            </w:tcMar>
            <w:vAlign w:val="center"/>
          </w:tcPr>
          <w:p w14:paraId="1A89EA47" w14:textId="77777777" w:rsidR="00363873" w:rsidRDefault="00000000">
            <w:pPr>
              <w:spacing w:after="0"/>
            </w:pPr>
            <w:r>
              <w:rPr>
                <w:color w:val="28323C"/>
                <w:sz w:val="15"/>
              </w:rPr>
              <w:t>85.44%</w:t>
            </w:r>
          </w:p>
        </w:tc>
        <w:tc>
          <w:tcPr>
            <w:tcW w:w="3024" w:type="dxa"/>
            <w:tcMar>
              <w:top w:w="90" w:type="dxa"/>
              <w:left w:w="100" w:type="dxa"/>
              <w:bottom w:w="90" w:type="dxa"/>
              <w:right w:w="100" w:type="dxa"/>
            </w:tcMar>
            <w:vAlign w:val="center"/>
          </w:tcPr>
          <w:p w14:paraId="37ED62B6" w14:textId="77777777" w:rsidR="00363873" w:rsidRDefault="00000000">
            <w:pPr>
              <w:spacing w:after="0"/>
            </w:pPr>
            <w:r>
              <w:rPr>
                <w:color w:val="28323C"/>
                <w:sz w:val="15"/>
              </w:rPr>
              <w:t>15.33 fewer model-predicted days vs baseline (20.9%)</w:t>
            </w:r>
          </w:p>
        </w:tc>
      </w:tr>
    </w:tbl>
    <w:p w14:paraId="343AB346" w14:textId="77777777" w:rsidR="00363873" w:rsidRDefault="00363873">
      <w:pPr>
        <w:spacing w:after="20"/>
      </w:pPr>
    </w:p>
    <w:p w14:paraId="4AFC5B7F" w14:textId="77777777" w:rsidR="00363873" w:rsidRDefault="00000000">
      <w:pPr>
        <w:pStyle w:val="Heading1"/>
        <w:pageBreakBefore/>
      </w:pPr>
      <w:r>
        <w:lastRenderedPageBreak/>
        <w:t>6. Risk Priorities and Management Response</w:t>
      </w:r>
    </w:p>
    <w:p w14:paraId="4E4EF386" w14:textId="77777777" w:rsidR="00363873" w:rsidRDefault="00000000">
      <w:r>
        <w:t>The matrix below is a structured prioritization starting point, using qualitative likelihood and impact ratings from 1 to 5. It is not a measured risk probability and should be discussed and adjusted with people who know the specific site, contract, schedule, and safety plan.</w:t>
      </w:r>
    </w:p>
    <w:p w14:paraId="45E13418" w14:textId="77777777" w:rsidR="00363873" w:rsidRDefault="00000000">
      <w:pPr>
        <w:spacing w:after="40"/>
        <w:jc w:val="center"/>
      </w:pPr>
      <w:r>
        <w:rPr>
          <w:noProof/>
        </w:rPr>
        <w:drawing>
          <wp:inline distT="0" distB="0" distL="0" distR="0" wp14:anchorId="3AFCB135" wp14:editId="0B271C71">
            <wp:extent cx="5806440" cy="55423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07_qualitative_risk_priority_matrix.png"/>
                    <pic:cNvPicPr/>
                  </pic:nvPicPr>
                  <pic:blipFill>
                    <a:blip r:embed="rId14"/>
                    <a:stretch>
                      <a:fillRect/>
                    </a:stretch>
                  </pic:blipFill>
                  <pic:spPr>
                    <a:xfrm>
                      <a:off x="0" y="0"/>
                      <a:ext cx="5806440" cy="5542314"/>
                    </a:xfrm>
                    <a:prstGeom prst="rect">
                      <a:avLst/>
                    </a:prstGeom>
                  </pic:spPr>
                </pic:pic>
              </a:graphicData>
            </a:graphic>
          </wp:inline>
        </w:drawing>
      </w:r>
    </w:p>
    <w:p w14:paraId="6B986371" w14:textId="77777777" w:rsidR="00363873" w:rsidRDefault="00000000">
      <w:pPr>
        <w:spacing w:after="120"/>
        <w:jc w:val="center"/>
      </w:pPr>
      <w:r>
        <w:rPr>
          <w:i/>
          <w:color w:val="5B6573"/>
          <w:sz w:val="16"/>
        </w:rPr>
        <w:t>Figure 7. Qualitative likelihood-impact matrix. Rating positions are proposed for stakeholder review.</w:t>
      </w:r>
    </w:p>
    <w:tbl>
      <w:tblPr>
        <w:tblStyle w:val="TableGrid"/>
        <w:tblW w:w="0" w:type="auto"/>
        <w:jc w:val="center"/>
        <w:tblLook w:val="04A0" w:firstRow="1" w:lastRow="0" w:firstColumn="1" w:lastColumn="0" w:noHBand="0" w:noVBand="1"/>
      </w:tblPr>
      <w:tblGrid>
        <w:gridCol w:w="1800"/>
        <w:gridCol w:w="936"/>
        <w:gridCol w:w="1296"/>
        <w:gridCol w:w="1800"/>
        <w:gridCol w:w="2880"/>
      </w:tblGrid>
      <w:tr w:rsidR="00363873" w14:paraId="1F857584" w14:textId="77777777">
        <w:trPr>
          <w:cantSplit/>
          <w:tblHeader/>
          <w:jc w:val="center"/>
        </w:trPr>
        <w:tc>
          <w:tcPr>
            <w:tcW w:w="1800" w:type="dxa"/>
            <w:shd w:val="clear" w:color="auto" w:fill="17324D"/>
            <w:tcMar>
              <w:top w:w="90" w:type="dxa"/>
              <w:left w:w="100" w:type="dxa"/>
              <w:bottom w:w="90" w:type="dxa"/>
              <w:right w:w="100" w:type="dxa"/>
            </w:tcMar>
            <w:vAlign w:val="center"/>
          </w:tcPr>
          <w:p w14:paraId="502BE760" w14:textId="77777777" w:rsidR="00363873" w:rsidRDefault="00000000">
            <w:pPr>
              <w:spacing w:after="0"/>
            </w:pPr>
            <w:r>
              <w:rPr>
                <w:b/>
                <w:color w:val="FFFFFF"/>
                <w:sz w:val="14"/>
              </w:rPr>
              <w:t>Risk area</w:t>
            </w:r>
          </w:p>
        </w:tc>
        <w:tc>
          <w:tcPr>
            <w:tcW w:w="936" w:type="dxa"/>
            <w:shd w:val="clear" w:color="auto" w:fill="17324D"/>
            <w:tcMar>
              <w:top w:w="90" w:type="dxa"/>
              <w:left w:w="100" w:type="dxa"/>
              <w:bottom w:w="90" w:type="dxa"/>
              <w:right w:w="100" w:type="dxa"/>
            </w:tcMar>
            <w:vAlign w:val="center"/>
          </w:tcPr>
          <w:p w14:paraId="3F583B7F" w14:textId="77777777" w:rsidR="00363873" w:rsidRDefault="00000000">
            <w:pPr>
              <w:spacing w:after="0"/>
            </w:pPr>
            <w:r>
              <w:rPr>
                <w:b/>
                <w:color w:val="FFFFFF"/>
                <w:sz w:val="14"/>
              </w:rPr>
              <w:t>L x I</w:t>
            </w:r>
          </w:p>
        </w:tc>
        <w:tc>
          <w:tcPr>
            <w:tcW w:w="1296" w:type="dxa"/>
            <w:shd w:val="clear" w:color="auto" w:fill="17324D"/>
            <w:tcMar>
              <w:top w:w="90" w:type="dxa"/>
              <w:left w:w="100" w:type="dxa"/>
              <w:bottom w:w="90" w:type="dxa"/>
              <w:right w:w="100" w:type="dxa"/>
            </w:tcMar>
            <w:vAlign w:val="center"/>
          </w:tcPr>
          <w:p w14:paraId="36EF4703" w14:textId="77777777" w:rsidR="00363873" w:rsidRDefault="00000000">
            <w:pPr>
              <w:spacing w:after="0"/>
            </w:pPr>
            <w:r>
              <w:rPr>
                <w:b/>
                <w:color w:val="FFFFFF"/>
                <w:sz w:val="14"/>
              </w:rPr>
              <w:t>Priority</w:t>
            </w:r>
          </w:p>
        </w:tc>
        <w:tc>
          <w:tcPr>
            <w:tcW w:w="1800" w:type="dxa"/>
            <w:shd w:val="clear" w:color="auto" w:fill="17324D"/>
            <w:tcMar>
              <w:top w:w="90" w:type="dxa"/>
              <w:left w:w="100" w:type="dxa"/>
              <w:bottom w:w="90" w:type="dxa"/>
              <w:right w:w="100" w:type="dxa"/>
            </w:tcMar>
            <w:vAlign w:val="center"/>
          </w:tcPr>
          <w:p w14:paraId="148409B2" w14:textId="77777777" w:rsidR="00363873" w:rsidRDefault="00000000">
            <w:pPr>
              <w:spacing w:after="0"/>
            </w:pPr>
            <w:r>
              <w:rPr>
                <w:b/>
                <w:color w:val="FFFFFF"/>
                <w:sz w:val="14"/>
              </w:rPr>
              <w:t>Accountable owner</w:t>
            </w:r>
          </w:p>
        </w:tc>
        <w:tc>
          <w:tcPr>
            <w:tcW w:w="2880" w:type="dxa"/>
            <w:shd w:val="clear" w:color="auto" w:fill="17324D"/>
            <w:tcMar>
              <w:top w:w="90" w:type="dxa"/>
              <w:left w:w="100" w:type="dxa"/>
              <w:bottom w:w="90" w:type="dxa"/>
              <w:right w:w="100" w:type="dxa"/>
            </w:tcMar>
            <w:vAlign w:val="center"/>
          </w:tcPr>
          <w:p w14:paraId="2874AFB5" w14:textId="77777777" w:rsidR="00363873" w:rsidRDefault="00000000">
            <w:pPr>
              <w:spacing w:after="0"/>
            </w:pPr>
            <w:r>
              <w:rPr>
                <w:b/>
                <w:color w:val="FFFFFF"/>
                <w:sz w:val="14"/>
              </w:rPr>
              <w:t>First response</w:t>
            </w:r>
          </w:p>
        </w:tc>
      </w:tr>
      <w:tr w:rsidR="00363873" w14:paraId="581A1384" w14:textId="77777777">
        <w:trPr>
          <w:cantSplit/>
          <w:jc w:val="center"/>
        </w:trPr>
        <w:tc>
          <w:tcPr>
            <w:tcW w:w="1800" w:type="dxa"/>
            <w:tcMar>
              <w:top w:w="90" w:type="dxa"/>
              <w:left w:w="100" w:type="dxa"/>
              <w:bottom w:w="90" w:type="dxa"/>
              <w:right w:w="100" w:type="dxa"/>
            </w:tcMar>
            <w:vAlign w:val="center"/>
          </w:tcPr>
          <w:p w14:paraId="5DFA1CB9" w14:textId="77777777" w:rsidR="00363873" w:rsidRDefault="00000000">
            <w:pPr>
              <w:spacing w:after="0"/>
            </w:pPr>
            <w:r>
              <w:rPr>
                <w:color w:val="28323C"/>
                <w:sz w:val="14"/>
              </w:rPr>
              <w:t>Schedule / adverse weather</w:t>
            </w:r>
          </w:p>
        </w:tc>
        <w:tc>
          <w:tcPr>
            <w:tcW w:w="936" w:type="dxa"/>
            <w:tcMar>
              <w:top w:w="90" w:type="dxa"/>
              <w:left w:w="100" w:type="dxa"/>
              <w:bottom w:w="90" w:type="dxa"/>
              <w:right w:w="100" w:type="dxa"/>
            </w:tcMar>
            <w:vAlign w:val="center"/>
          </w:tcPr>
          <w:p w14:paraId="5F2CC1E4" w14:textId="77777777" w:rsidR="00363873" w:rsidRDefault="00000000">
            <w:pPr>
              <w:spacing w:after="0"/>
            </w:pPr>
            <w:r>
              <w:rPr>
                <w:color w:val="28323C"/>
                <w:sz w:val="14"/>
              </w:rPr>
              <w:t>4 x 5 = 20</w:t>
            </w:r>
          </w:p>
        </w:tc>
        <w:tc>
          <w:tcPr>
            <w:tcW w:w="1296" w:type="dxa"/>
            <w:tcMar>
              <w:top w:w="90" w:type="dxa"/>
              <w:left w:w="100" w:type="dxa"/>
              <w:bottom w:w="90" w:type="dxa"/>
              <w:right w:w="100" w:type="dxa"/>
            </w:tcMar>
            <w:vAlign w:val="center"/>
          </w:tcPr>
          <w:p w14:paraId="53173C1E" w14:textId="77777777" w:rsidR="00363873" w:rsidRDefault="00000000">
            <w:pPr>
              <w:spacing w:after="0"/>
            </w:pPr>
            <w:r>
              <w:rPr>
                <w:color w:val="28323C"/>
                <w:sz w:val="14"/>
              </w:rPr>
              <w:t>Critical</w:t>
            </w:r>
          </w:p>
        </w:tc>
        <w:tc>
          <w:tcPr>
            <w:tcW w:w="1800" w:type="dxa"/>
            <w:tcMar>
              <w:top w:w="90" w:type="dxa"/>
              <w:left w:w="100" w:type="dxa"/>
              <w:bottom w:w="90" w:type="dxa"/>
              <w:right w:w="100" w:type="dxa"/>
            </w:tcMar>
            <w:vAlign w:val="center"/>
          </w:tcPr>
          <w:p w14:paraId="3D6A2124" w14:textId="77777777" w:rsidR="00363873" w:rsidRDefault="00000000">
            <w:pPr>
              <w:spacing w:after="0"/>
            </w:pPr>
            <w:r>
              <w:rPr>
                <w:color w:val="28323C"/>
                <w:sz w:val="14"/>
              </w:rPr>
              <w:t>Project planner + site manager</w:t>
            </w:r>
          </w:p>
        </w:tc>
        <w:tc>
          <w:tcPr>
            <w:tcW w:w="2880" w:type="dxa"/>
            <w:tcMar>
              <w:top w:w="90" w:type="dxa"/>
              <w:left w:w="100" w:type="dxa"/>
              <w:bottom w:w="90" w:type="dxa"/>
              <w:right w:w="100" w:type="dxa"/>
            </w:tcMar>
            <w:vAlign w:val="center"/>
          </w:tcPr>
          <w:p w14:paraId="2B863E8B" w14:textId="77777777" w:rsidR="00363873" w:rsidRDefault="00000000">
            <w:pPr>
              <w:spacing w:after="0"/>
            </w:pPr>
            <w:r>
              <w:rPr>
                <w:color w:val="28323C"/>
                <w:sz w:val="14"/>
              </w:rPr>
              <w:t>Seasonal work plan, phase look-ahead, recovery actions and protected schedule buffer</w:t>
            </w:r>
          </w:p>
        </w:tc>
      </w:tr>
      <w:tr w:rsidR="00363873" w14:paraId="37619132" w14:textId="77777777">
        <w:trPr>
          <w:cantSplit/>
          <w:jc w:val="center"/>
        </w:trPr>
        <w:tc>
          <w:tcPr>
            <w:tcW w:w="1800" w:type="dxa"/>
            <w:shd w:val="clear" w:color="auto" w:fill="F4F7FA"/>
            <w:tcMar>
              <w:top w:w="90" w:type="dxa"/>
              <w:left w:w="100" w:type="dxa"/>
              <w:bottom w:w="90" w:type="dxa"/>
              <w:right w:w="100" w:type="dxa"/>
            </w:tcMar>
            <w:vAlign w:val="center"/>
          </w:tcPr>
          <w:p w14:paraId="7B6B918E" w14:textId="77777777" w:rsidR="00363873" w:rsidRDefault="00000000">
            <w:pPr>
              <w:spacing w:after="0"/>
            </w:pPr>
            <w:r>
              <w:rPr>
                <w:color w:val="28323C"/>
                <w:sz w:val="14"/>
              </w:rPr>
              <w:t>Supplier / procurement delays</w:t>
            </w:r>
          </w:p>
        </w:tc>
        <w:tc>
          <w:tcPr>
            <w:tcW w:w="936" w:type="dxa"/>
            <w:shd w:val="clear" w:color="auto" w:fill="F4F7FA"/>
            <w:tcMar>
              <w:top w:w="90" w:type="dxa"/>
              <w:left w:w="100" w:type="dxa"/>
              <w:bottom w:w="90" w:type="dxa"/>
              <w:right w:w="100" w:type="dxa"/>
            </w:tcMar>
            <w:vAlign w:val="center"/>
          </w:tcPr>
          <w:p w14:paraId="68BBF649" w14:textId="77777777" w:rsidR="00363873" w:rsidRDefault="00000000">
            <w:pPr>
              <w:spacing w:after="0"/>
            </w:pPr>
            <w:r>
              <w:rPr>
                <w:color w:val="28323C"/>
                <w:sz w:val="14"/>
              </w:rPr>
              <w:t>5 x 4 = 20</w:t>
            </w:r>
          </w:p>
        </w:tc>
        <w:tc>
          <w:tcPr>
            <w:tcW w:w="1296" w:type="dxa"/>
            <w:shd w:val="clear" w:color="auto" w:fill="F4F7FA"/>
            <w:tcMar>
              <w:top w:w="90" w:type="dxa"/>
              <w:left w:w="100" w:type="dxa"/>
              <w:bottom w:w="90" w:type="dxa"/>
              <w:right w:w="100" w:type="dxa"/>
            </w:tcMar>
            <w:vAlign w:val="center"/>
          </w:tcPr>
          <w:p w14:paraId="0DE4388C" w14:textId="77777777" w:rsidR="00363873" w:rsidRDefault="00000000">
            <w:pPr>
              <w:spacing w:after="0"/>
            </w:pPr>
            <w:r>
              <w:rPr>
                <w:color w:val="28323C"/>
                <w:sz w:val="14"/>
              </w:rPr>
              <w:t>Critical</w:t>
            </w:r>
          </w:p>
        </w:tc>
        <w:tc>
          <w:tcPr>
            <w:tcW w:w="1800" w:type="dxa"/>
            <w:shd w:val="clear" w:color="auto" w:fill="F4F7FA"/>
            <w:tcMar>
              <w:top w:w="90" w:type="dxa"/>
              <w:left w:w="100" w:type="dxa"/>
              <w:bottom w:w="90" w:type="dxa"/>
              <w:right w:w="100" w:type="dxa"/>
            </w:tcMar>
            <w:vAlign w:val="center"/>
          </w:tcPr>
          <w:p w14:paraId="075A072A" w14:textId="77777777" w:rsidR="00363873" w:rsidRDefault="00000000">
            <w:pPr>
              <w:spacing w:after="0"/>
            </w:pPr>
            <w:r>
              <w:rPr>
                <w:color w:val="28323C"/>
                <w:sz w:val="14"/>
              </w:rPr>
              <w:t>Procurement lead</w:t>
            </w:r>
          </w:p>
        </w:tc>
        <w:tc>
          <w:tcPr>
            <w:tcW w:w="2880" w:type="dxa"/>
            <w:shd w:val="clear" w:color="auto" w:fill="F4F7FA"/>
            <w:tcMar>
              <w:top w:w="90" w:type="dxa"/>
              <w:left w:w="100" w:type="dxa"/>
              <w:bottom w:w="90" w:type="dxa"/>
              <w:right w:w="100" w:type="dxa"/>
            </w:tcMar>
            <w:vAlign w:val="center"/>
          </w:tcPr>
          <w:p w14:paraId="23D1817E" w14:textId="77777777" w:rsidR="00363873" w:rsidRDefault="00000000">
            <w:pPr>
              <w:spacing w:after="0"/>
            </w:pPr>
            <w:r>
              <w:rPr>
                <w:color w:val="28323C"/>
                <w:sz w:val="14"/>
              </w:rPr>
              <w:t>Long-lead tracker, confirmed promise dates, escalation rules and alternate suppliers</w:t>
            </w:r>
          </w:p>
        </w:tc>
      </w:tr>
      <w:tr w:rsidR="00363873" w14:paraId="2CE5304A" w14:textId="77777777">
        <w:trPr>
          <w:cantSplit/>
          <w:jc w:val="center"/>
        </w:trPr>
        <w:tc>
          <w:tcPr>
            <w:tcW w:w="1800" w:type="dxa"/>
            <w:tcMar>
              <w:top w:w="90" w:type="dxa"/>
              <w:left w:w="100" w:type="dxa"/>
              <w:bottom w:w="90" w:type="dxa"/>
              <w:right w:w="100" w:type="dxa"/>
            </w:tcMar>
            <w:vAlign w:val="center"/>
          </w:tcPr>
          <w:p w14:paraId="350BFD83" w14:textId="77777777" w:rsidR="00363873" w:rsidRDefault="00000000">
            <w:pPr>
              <w:spacing w:after="0"/>
            </w:pPr>
            <w:r>
              <w:rPr>
                <w:color w:val="28323C"/>
                <w:sz w:val="14"/>
              </w:rPr>
              <w:t>Design changes / rework</w:t>
            </w:r>
          </w:p>
        </w:tc>
        <w:tc>
          <w:tcPr>
            <w:tcW w:w="936" w:type="dxa"/>
            <w:tcMar>
              <w:top w:w="90" w:type="dxa"/>
              <w:left w:w="100" w:type="dxa"/>
              <w:bottom w:w="90" w:type="dxa"/>
              <w:right w:w="100" w:type="dxa"/>
            </w:tcMar>
            <w:vAlign w:val="center"/>
          </w:tcPr>
          <w:p w14:paraId="280955F8" w14:textId="77777777" w:rsidR="00363873" w:rsidRDefault="00000000">
            <w:pPr>
              <w:spacing w:after="0"/>
            </w:pPr>
            <w:r>
              <w:rPr>
                <w:color w:val="28323C"/>
                <w:sz w:val="14"/>
              </w:rPr>
              <w:t>4 x 4 = 16</w:t>
            </w:r>
          </w:p>
        </w:tc>
        <w:tc>
          <w:tcPr>
            <w:tcW w:w="1296" w:type="dxa"/>
            <w:tcMar>
              <w:top w:w="90" w:type="dxa"/>
              <w:left w:w="100" w:type="dxa"/>
              <w:bottom w:w="90" w:type="dxa"/>
              <w:right w:w="100" w:type="dxa"/>
            </w:tcMar>
            <w:vAlign w:val="center"/>
          </w:tcPr>
          <w:p w14:paraId="0933DA99" w14:textId="77777777" w:rsidR="00363873" w:rsidRDefault="00000000">
            <w:pPr>
              <w:spacing w:after="0"/>
            </w:pPr>
            <w:r>
              <w:rPr>
                <w:color w:val="28323C"/>
                <w:sz w:val="14"/>
              </w:rPr>
              <w:t>High</w:t>
            </w:r>
          </w:p>
        </w:tc>
        <w:tc>
          <w:tcPr>
            <w:tcW w:w="1800" w:type="dxa"/>
            <w:tcMar>
              <w:top w:w="90" w:type="dxa"/>
              <w:left w:w="100" w:type="dxa"/>
              <w:bottom w:w="90" w:type="dxa"/>
              <w:right w:w="100" w:type="dxa"/>
            </w:tcMar>
            <w:vAlign w:val="center"/>
          </w:tcPr>
          <w:p w14:paraId="2555C858" w14:textId="77777777" w:rsidR="00363873" w:rsidRDefault="00000000">
            <w:pPr>
              <w:spacing w:after="0"/>
            </w:pPr>
            <w:r>
              <w:rPr>
                <w:color w:val="28323C"/>
                <w:sz w:val="14"/>
              </w:rPr>
              <w:t>Design manager + client representative</w:t>
            </w:r>
          </w:p>
        </w:tc>
        <w:tc>
          <w:tcPr>
            <w:tcW w:w="2880" w:type="dxa"/>
            <w:tcMar>
              <w:top w:w="90" w:type="dxa"/>
              <w:left w:w="100" w:type="dxa"/>
              <w:bottom w:w="90" w:type="dxa"/>
              <w:right w:w="100" w:type="dxa"/>
            </w:tcMar>
            <w:vAlign w:val="center"/>
          </w:tcPr>
          <w:p w14:paraId="66F3AA9D" w14:textId="77777777" w:rsidR="00363873" w:rsidRDefault="00000000">
            <w:pPr>
              <w:spacing w:after="0"/>
            </w:pPr>
            <w:r>
              <w:rPr>
                <w:color w:val="28323C"/>
                <w:sz w:val="14"/>
              </w:rPr>
              <w:t>Design-freeze gates, RFI ageing review and multidisciplinary clash checks</w:t>
            </w:r>
          </w:p>
        </w:tc>
      </w:tr>
      <w:tr w:rsidR="00363873" w14:paraId="686BCBC4" w14:textId="77777777">
        <w:trPr>
          <w:cantSplit/>
          <w:jc w:val="center"/>
        </w:trPr>
        <w:tc>
          <w:tcPr>
            <w:tcW w:w="1800" w:type="dxa"/>
            <w:shd w:val="clear" w:color="auto" w:fill="F4F7FA"/>
            <w:tcMar>
              <w:top w:w="90" w:type="dxa"/>
              <w:left w:w="100" w:type="dxa"/>
              <w:bottom w:w="90" w:type="dxa"/>
              <w:right w:w="100" w:type="dxa"/>
            </w:tcMar>
            <w:vAlign w:val="center"/>
          </w:tcPr>
          <w:p w14:paraId="6F7A45E5" w14:textId="77777777" w:rsidR="00363873" w:rsidRDefault="00000000">
            <w:pPr>
              <w:spacing w:after="0"/>
            </w:pPr>
            <w:r>
              <w:rPr>
                <w:color w:val="28323C"/>
                <w:sz w:val="14"/>
              </w:rPr>
              <w:t>Cost overrun / commitment drift</w:t>
            </w:r>
          </w:p>
        </w:tc>
        <w:tc>
          <w:tcPr>
            <w:tcW w:w="936" w:type="dxa"/>
            <w:shd w:val="clear" w:color="auto" w:fill="F4F7FA"/>
            <w:tcMar>
              <w:top w:w="90" w:type="dxa"/>
              <w:left w:w="100" w:type="dxa"/>
              <w:bottom w:w="90" w:type="dxa"/>
              <w:right w:w="100" w:type="dxa"/>
            </w:tcMar>
            <w:vAlign w:val="center"/>
          </w:tcPr>
          <w:p w14:paraId="40D8592E" w14:textId="77777777" w:rsidR="00363873" w:rsidRDefault="00000000">
            <w:pPr>
              <w:spacing w:after="0"/>
            </w:pPr>
            <w:r>
              <w:rPr>
                <w:color w:val="28323C"/>
                <w:sz w:val="14"/>
              </w:rPr>
              <w:t>3 x 5 = 15</w:t>
            </w:r>
          </w:p>
        </w:tc>
        <w:tc>
          <w:tcPr>
            <w:tcW w:w="1296" w:type="dxa"/>
            <w:shd w:val="clear" w:color="auto" w:fill="F4F7FA"/>
            <w:tcMar>
              <w:top w:w="90" w:type="dxa"/>
              <w:left w:w="100" w:type="dxa"/>
              <w:bottom w:w="90" w:type="dxa"/>
              <w:right w:w="100" w:type="dxa"/>
            </w:tcMar>
            <w:vAlign w:val="center"/>
          </w:tcPr>
          <w:p w14:paraId="46E1FE45" w14:textId="77777777" w:rsidR="00363873" w:rsidRDefault="00000000">
            <w:pPr>
              <w:spacing w:after="0"/>
            </w:pPr>
            <w:r>
              <w:rPr>
                <w:color w:val="28323C"/>
                <w:sz w:val="14"/>
              </w:rPr>
              <w:t>High</w:t>
            </w:r>
          </w:p>
        </w:tc>
        <w:tc>
          <w:tcPr>
            <w:tcW w:w="1800" w:type="dxa"/>
            <w:shd w:val="clear" w:color="auto" w:fill="F4F7FA"/>
            <w:tcMar>
              <w:top w:w="90" w:type="dxa"/>
              <w:left w:w="100" w:type="dxa"/>
              <w:bottom w:w="90" w:type="dxa"/>
              <w:right w:w="100" w:type="dxa"/>
            </w:tcMar>
            <w:vAlign w:val="center"/>
          </w:tcPr>
          <w:p w14:paraId="66E47E9F" w14:textId="77777777" w:rsidR="00363873" w:rsidRDefault="00000000">
            <w:pPr>
              <w:spacing w:after="0"/>
            </w:pPr>
            <w:r>
              <w:rPr>
                <w:color w:val="28323C"/>
                <w:sz w:val="14"/>
              </w:rPr>
              <w:t>Cost controller / quantity surveyor</w:t>
            </w:r>
          </w:p>
        </w:tc>
        <w:tc>
          <w:tcPr>
            <w:tcW w:w="2880" w:type="dxa"/>
            <w:shd w:val="clear" w:color="auto" w:fill="F4F7FA"/>
            <w:tcMar>
              <w:top w:w="90" w:type="dxa"/>
              <w:left w:w="100" w:type="dxa"/>
              <w:bottom w:w="90" w:type="dxa"/>
              <w:right w:w="100" w:type="dxa"/>
            </w:tcMar>
            <w:vAlign w:val="center"/>
          </w:tcPr>
          <w:p w14:paraId="66DA86A1" w14:textId="77777777" w:rsidR="00363873" w:rsidRDefault="00000000">
            <w:pPr>
              <w:spacing w:after="0"/>
            </w:pPr>
            <w:r>
              <w:rPr>
                <w:color w:val="28323C"/>
                <w:sz w:val="14"/>
              </w:rPr>
              <w:t>Monthly estimate-at-completion and reconciliation of commitments, actuals and changes</w:t>
            </w:r>
          </w:p>
        </w:tc>
      </w:tr>
      <w:tr w:rsidR="00363873" w14:paraId="2415C182" w14:textId="77777777">
        <w:trPr>
          <w:cantSplit/>
          <w:jc w:val="center"/>
        </w:trPr>
        <w:tc>
          <w:tcPr>
            <w:tcW w:w="1800" w:type="dxa"/>
            <w:tcMar>
              <w:top w:w="90" w:type="dxa"/>
              <w:left w:w="100" w:type="dxa"/>
              <w:bottom w:w="90" w:type="dxa"/>
              <w:right w:w="100" w:type="dxa"/>
            </w:tcMar>
            <w:vAlign w:val="center"/>
          </w:tcPr>
          <w:p w14:paraId="0A751305" w14:textId="77777777" w:rsidR="00363873" w:rsidRDefault="00000000">
            <w:pPr>
              <w:spacing w:after="0"/>
            </w:pPr>
            <w:r>
              <w:rPr>
                <w:color w:val="28323C"/>
                <w:sz w:val="14"/>
              </w:rPr>
              <w:lastRenderedPageBreak/>
              <w:t>Ground / site uncertainty</w:t>
            </w:r>
          </w:p>
        </w:tc>
        <w:tc>
          <w:tcPr>
            <w:tcW w:w="936" w:type="dxa"/>
            <w:tcMar>
              <w:top w:w="90" w:type="dxa"/>
              <w:left w:w="100" w:type="dxa"/>
              <w:bottom w:w="90" w:type="dxa"/>
              <w:right w:w="100" w:type="dxa"/>
            </w:tcMar>
            <w:vAlign w:val="center"/>
          </w:tcPr>
          <w:p w14:paraId="4867611C" w14:textId="77777777" w:rsidR="00363873" w:rsidRDefault="00000000">
            <w:pPr>
              <w:spacing w:after="0"/>
            </w:pPr>
            <w:r>
              <w:rPr>
                <w:color w:val="28323C"/>
                <w:sz w:val="14"/>
              </w:rPr>
              <w:t>3 x 4 = 12</w:t>
            </w:r>
          </w:p>
        </w:tc>
        <w:tc>
          <w:tcPr>
            <w:tcW w:w="1296" w:type="dxa"/>
            <w:tcMar>
              <w:top w:w="90" w:type="dxa"/>
              <w:left w:w="100" w:type="dxa"/>
              <w:bottom w:w="90" w:type="dxa"/>
              <w:right w:w="100" w:type="dxa"/>
            </w:tcMar>
            <w:vAlign w:val="center"/>
          </w:tcPr>
          <w:p w14:paraId="41055526" w14:textId="77777777" w:rsidR="00363873" w:rsidRDefault="00000000">
            <w:pPr>
              <w:spacing w:after="0"/>
            </w:pPr>
            <w:r>
              <w:rPr>
                <w:color w:val="28323C"/>
                <w:sz w:val="14"/>
              </w:rPr>
              <w:t>High</w:t>
            </w:r>
          </w:p>
        </w:tc>
        <w:tc>
          <w:tcPr>
            <w:tcW w:w="1800" w:type="dxa"/>
            <w:tcMar>
              <w:top w:w="90" w:type="dxa"/>
              <w:left w:w="100" w:type="dxa"/>
              <w:bottom w:w="90" w:type="dxa"/>
              <w:right w:w="100" w:type="dxa"/>
            </w:tcMar>
            <w:vAlign w:val="center"/>
          </w:tcPr>
          <w:p w14:paraId="04A074D1" w14:textId="77777777" w:rsidR="00363873" w:rsidRDefault="00000000">
            <w:pPr>
              <w:spacing w:after="0"/>
            </w:pPr>
            <w:r>
              <w:rPr>
                <w:color w:val="28323C"/>
                <w:sz w:val="14"/>
              </w:rPr>
              <w:t>Site engineer + geotechnical lead</w:t>
            </w:r>
          </w:p>
        </w:tc>
        <w:tc>
          <w:tcPr>
            <w:tcW w:w="2880" w:type="dxa"/>
            <w:tcMar>
              <w:top w:w="90" w:type="dxa"/>
              <w:left w:w="100" w:type="dxa"/>
              <w:bottom w:w="90" w:type="dxa"/>
              <w:right w:w="100" w:type="dxa"/>
            </w:tcMar>
            <w:vAlign w:val="center"/>
          </w:tcPr>
          <w:p w14:paraId="1AAE1985" w14:textId="77777777" w:rsidR="00363873" w:rsidRDefault="00000000">
            <w:pPr>
              <w:spacing w:after="0"/>
            </w:pPr>
            <w:r>
              <w:rPr>
                <w:color w:val="28323C"/>
                <w:sz w:val="14"/>
              </w:rPr>
              <w:t>Targeted surveys, explicit assumptions, contingency ownership and escalation</w:t>
            </w:r>
          </w:p>
        </w:tc>
      </w:tr>
      <w:tr w:rsidR="00363873" w14:paraId="52852828" w14:textId="77777777">
        <w:trPr>
          <w:cantSplit/>
          <w:jc w:val="center"/>
        </w:trPr>
        <w:tc>
          <w:tcPr>
            <w:tcW w:w="1800" w:type="dxa"/>
            <w:shd w:val="clear" w:color="auto" w:fill="F4F7FA"/>
            <w:tcMar>
              <w:top w:w="90" w:type="dxa"/>
              <w:left w:w="100" w:type="dxa"/>
              <w:bottom w:w="90" w:type="dxa"/>
              <w:right w:w="100" w:type="dxa"/>
            </w:tcMar>
            <w:vAlign w:val="center"/>
          </w:tcPr>
          <w:p w14:paraId="71AD68EC" w14:textId="77777777" w:rsidR="00363873" w:rsidRDefault="00000000">
            <w:pPr>
              <w:spacing w:after="0"/>
            </w:pPr>
            <w:r>
              <w:rPr>
                <w:color w:val="28323C"/>
                <w:sz w:val="14"/>
              </w:rPr>
              <w:t>Safety-critical activities</w:t>
            </w:r>
          </w:p>
        </w:tc>
        <w:tc>
          <w:tcPr>
            <w:tcW w:w="936" w:type="dxa"/>
            <w:shd w:val="clear" w:color="auto" w:fill="F4F7FA"/>
            <w:tcMar>
              <w:top w:w="90" w:type="dxa"/>
              <w:left w:w="100" w:type="dxa"/>
              <w:bottom w:w="90" w:type="dxa"/>
              <w:right w:w="100" w:type="dxa"/>
            </w:tcMar>
            <w:vAlign w:val="center"/>
          </w:tcPr>
          <w:p w14:paraId="249F17A1" w14:textId="77777777" w:rsidR="00363873" w:rsidRDefault="00000000">
            <w:pPr>
              <w:spacing w:after="0"/>
            </w:pPr>
            <w:r>
              <w:rPr>
                <w:color w:val="28323C"/>
                <w:sz w:val="14"/>
              </w:rPr>
              <w:t>2 x 5 = 10</w:t>
            </w:r>
          </w:p>
        </w:tc>
        <w:tc>
          <w:tcPr>
            <w:tcW w:w="1296" w:type="dxa"/>
            <w:shd w:val="clear" w:color="auto" w:fill="F4F7FA"/>
            <w:tcMar>
              <w:top w:w="90" w:type="dxa"/>
              <w:left w:w="100" w:type="dxa"/>
              <w:bottom w:w="90" w:type="dxa"/>
              <w:right w:w="100" w:type="dxa"/>
            </w:tcMar>
            <w:vAlign w:val="center"/>
          </w:tcPr>
          <w:p w14:paraId="065A3290" w14:textId="77777777" w:rsidR="00363873" w:rsidRDefault="00000000">
            <w:pPr>
              <w:spacing w:after="0"/>
            </w:pPr>
            <w:r>
              <w:rPr>
                <w:color w:val="28323C"/>
                <w:sz w:val="14"/>
              </w:rPr>
              <w:t>High - safety critical</w:t>
            </w:r>
          </w:p>
        </w:tc>
        <w:tc>
          <w:tcPr>
            <w:tcW w:w="1800" w:type="dxa"/>
            <w:shd w:val="clear" w:color="auto" w:fill="F4F7FA"/>
            <w:tcMar>
              <w:top w:w="90" w:type="dxa"/>
              <w:left w:w="100" w:type="dxa"/>
              <w:bottom w:w="90" w:type="dxa"/>
              <w:right w:w="100" w:type="dxa"/>
            </w:tcMar>
            <w:vAlign w:val="center"/>
          </w:tcPr>
          <w:p w14:paraId="4D528532" w14:textId="77777777" w:rsidR="00363873" w:rsidRDefault="00000000">
            <w:pPr>
              <w:spacing w:after="0"/>
            </w:pPr>
            <w:r>
              <w:rPr>
                <w:color w:val="28323C"/>
                <w:sz w:val="14"/>
              </w:rPr>
              <w:t>HSE officer + site leadership</w:t>
            </w:r>
          </w:p>
        </w:tc>
        <w:tc>
          <w:tcPr>
            <w:tcW w:w="2880" w:type="dxa"/>
            <w:shd w:val="clear" w:color="auto" w:fill="F4F7FA"/>
            <w:tcMar>
              <w:top w:w="90" w:type="dxa"/>
              <w:left w:w="100" w:type="dxa"/>
              <w:bottom w:w="90" w:type="dxa"/>
              <w:right w:w="100" w:type="dxa"/>
            </w:tcMar>
            <w:vAlign w:val="center"/>
          </w:tcPr>
          <w:p w14:paraId="71CCA28E" w14:textId="77777777" w:rsidR="00363873" w:rsidRDefault="00000000">
            <w:pPr>
              <w:spacing w:after="0"/>
            </w:pPr>
            <w:r>
              <w:rPr>
                <w:color w:val="28323C"/>
                <w:sz w:val="14"/>
              </w:rPr>
              <w:t>Task risk assessments, permits, toolbox talks and verified close-out of safety actions</w:t>
            </w:r>
          </w:p>
        </w:tc>
      </w:tr>
      <w:tr w:rsidR="00363873" w14:paraId="4A1D421A" w14:textId="77777777">
        <w:trPr>
          <w:cantSplit/>
          <w:jc w:val="center"/>
        </w:trPr>
        <w:tc>
          <w:tcPr>
            <w:tcW w:w="1800" w:type="dxa"/>
            <w:tcMar>
              <w:top w:w="90" w:type="dxa"/>
              <w:left w:w="100" w:type="dxa"/>
              <w:bottom w:w="90" w:type="dxa"/>
              <w:right w:w="100" w:type="dxa"/>
            </w:tcMar>
            <w:vAlign w:val="center"/>
          </w:tcPr>
          <w:p w14:paraId="59626910" w14:textId="77777777" w:rsidR="00363873" w:rsidRDefault="00000000">
            <w:pPr>
              <w:spacing w:after="0"/>
            </w:pPr>
            <w:r>
              <w:rPr>
                <w:color w:val="28323C"/>
                <w:sz w:val="14"/>
              </w:rPr>
              <w:t>Labor availability / productivity</w:t>
            </w:r>
          </w:p>
        </w:tc>
        <w:tc>
          <w:tcPr>
            <w:tcW w:w="936" w:type="dxa"/>
            <w:tcMar>
              <w:top w:w="90" w:type="dxa"/>
              <w:left w:w="100" w:type="dxa"/>
              <w:bottom w:w="90" w:type="dxa"/>
              <w:right w:w="100" w:type="dxa"/>
            </w:tcMar>
            <w:vAlign w:val="center"/>
          </w:tcPr>
          <w:p w14:paraId="2F655F2F" w14:textId="77777777" w:rsidR="00363873" w:rsidRDefault="00000000">
            <w:pPr>
              <w:spacing w:after="0"/>
            </w:pPr>
            <w:r>
              <w:rPr>
                <w:color w:val="28323C"/>
                <w:sz w:val="14"/>
              </w:rPr>
              <w:t>2 x 3 = 6</w:t>
            </w:r>
          </w:p>
        </w:tc>
        <w:tc>
          <w:tcPr>
            <w:tcW w:w="1296" w:type="dxa"/>
            <w:tcMar>
              <w:top w:w="90" w:type="dxa"/>
              <w:left w:w="100" w:type="dxa"/>
              <w:bottom w:w="90" w:type="dxa"/>
              <w:right w:w="100" w:type="dxa"/>
            </w:tcMar>
            <w:vAlign w:val="center"/>
          </w:tcPr>
          <w:p w14:paraId="5F0155C7" w14:textId="77777777" w:rsidR="00363873" w:rsidRDefault="00000000">
            <w:pPr>
              <w:spacing w:after="0"/>
            </w:pPr>
            <w:r>
              <w:rPr>
                <w:color w:val="28323C"/>
                <w:sz w:val="14"/>
              </w:rPr>
              <w:t>Moderate-high</w:t>
            </w:r>
          </w:p>
        </w:tc>
        <w:tc>
          <w:tcPr>
            <w:tcW w:w="1800" w:type="dxa"/>
            <w:tcMar>
              <w:top w:w="90" w:type="dxa"/>
              <w:left w:w="100" w:type="dxa"/>
              <w:bottom w:w="90" w:type="dxa"/>
              <w:right w:w="100" w:type="dxa"/>
            </w:tcMar>
            <w:vAlign w:val="center"/>
          </w:tcPr>
          <w:p w14:paraId="5144ACFA" w14:textId="77777777" w:rsidR="00363873" w:rsidRDefault="00000000">
            <w:pPr>
              <w:spacing w:after="0"/>
            </w:pPr>
            <w:r>
              <w:rPr>
                <w:color w:val="28323C"/>
                <w:sz w:val="14"/>
              </w:rPr>
              <w:t>Construction manager</w:t>
            </w:r>
          </w:p>
        </w:tc>
        <w:tc>
          <w:tcPr>
            <w:tcW w:w="2880" w:type="dxa"/>
            <w:tcMar>
              <w:top w:w="90" w:type="dxa"/>
              <w:left w:w="100" w:type="dxa"/>
              <w:bottom w:w="90" w:type="dxa"/>
              <w:right w:w="100" w:type="dxa"/>
            </w:tcMar>
            <w:vAlign w:val="center"/>
          </w:tcPr>
          <w:p w14:paraId="52ACCC0F" w14:textId="77777777" w:rsidR="00363873" w:rsidRDefault="00000000">
            <w:pPr>
              <w:spacing w:after="0"/>
            </w:pPr>
            <w:r>
              <w:rPr>
                <w:color w:val="28323C"/>
                <w:sz w:val="14"/>
              </w:rPr>
              <w:t>Rolling trade-wise crew forecast, subcontractor confirmation and productivity review</w:t>
            </w:r>
          </w:p>
        </w:tc>
      </w:tr>
    </w:tbl>
    <w:p w14:paraId="5F7DB370" w14:textId="77777777" w:rsidR="00363873" w:rsidRDefault="00363873">
      <w:pPr>
        <w:spacing w:after="20"/>
      </w:pPr>
    </w:p>
    <w:tbl>
      <w:tblPr>
        <w:tblW w:w="0" w:type="auto"/>
        <w:jc w:val="center"/>
        <w:tblLook w:val="04A0" w:firstRow="1" w:lastRow="0" w:firstColumn="1" w:lastColumn="0" w:noHBand="0" w:noVBand="1"/>
      </w:tblPr>
      <w:tblGrid>
        <w:gridCol w:w="9994"/>
      </w:tblGrid>
      <w:tr w:rsidR="00363873" w14:paraId="0E4D724A" w14:textId="77777777">
        <w:trPr>
          <w:jc w:val="center"/>
        </w:trPr>
        <w:tc>
          <w:tcPr>
            <w:tcW w:w="9994" w:type="dxa"/>
            <w:shd w:val="clear" w:color="auto" w:fill="FBEAEA"/>
            <w:tcMar>
              <w:top w:w="140" w:type="dxa"/>
              <w:left w:w="180" w:type="dxa"/>
              <w:bottom w:w="140" w:type="dxa"/>
              <w:right w:w="180" w:type="dxa"/>
            </w:tcMar>
          </w:tcPr>
          <w:p w14:paraId="7459C147" w14:textId="77777777" w:rsidR="00363873" w:rsidRDefault="00000000">
            <w:pPr>
              <w:spacing w:after="60"/>
            </w:pPr>
            <w:r>
              <w:rPr>
                <w:b/>
                <w:color w:val="17324D"/>
                <w:sz w:val="20"/>
              </w:rPr>
              <w:t>Safety is different</w:t>
            </w:r>
          </w:p>
          <w:p w14:paraId="3258A8B8" w14:textId="77777777" w:rsidR="00363873" w:rsidRDefault="00000000">
            <w:pPr>
              <w:spacing w:after="0"/>
            </w:pPr>
            <w:r>
              <w:rPr>
                <w:color w:val="5B6573"/>
                <w:sz w:val="18"/>
              </w:rPr>
              <w:t>A risk matrix or predictive score must not be used to relax mandated safety controls. Safety reviews, permits, competent-person checks, incident investigation, and corrective actions remain mandatory regardless of the model output.</w:t>
            </w:r>
          </w:p>
        </w:tc>
      </w:tr>
    </w:tbl>
    <w:tbl>
      <w:tblPr>
        <w:tblStyle w:val="TableGrid"/>
        <w:tblpPr w:leftFromText="180" w:rightFromText="180" w:vertAnchor="text" w:horzAnchor="margin" w:tblpY="752"/>
        <w:tblW w:w="0" w:type="auto"/>
        <w:tblLook w:val="04A0" w:firstRow="1" w:lastRow="0" w:firstColumn="1" w:lastColumn="0" w:noHBand="0" w:noVBand="1"/>
      </w:tblPr>
      <w:tblGrid>
        <w:gridCol w:w="1224"/>
        <w:gridCol w:w="3384"/>
        <w:gridCol w:w="1800"/>
        <w:gridCol w:w="2376"/>
      </w:tblGrid>
      <w:tr w:rsidR="00A60B24" w14:paraId="797CF32F" w14:textId="77777777" w:rsidTr="00A60B24">
        <w:trPr>
          <w:cantSplit/>
          <w:tblHeader/>
        </w:trPr>
        <w:tc>
          <w:tcPr>
            <w:tcW w:w="1224" w:type="dxa"/>
            <w:shd w:val="clear" w:color="auto" w:fill="17324D"/>
            <w:tcMar>
              <w:top w:w="90" w:type="dxa"/>
              <w:left w:w="100" w:type="dxa"/>
              <w:bottom w:w="90" w:type="dxa"/>
              <w:right w:w="100" w:type="dxa"/>
            </w:tcMar>
            <w:vAlign w:val="center"/>
          </w:tcPr>
          <w:p w14:paraId="2EAD2A63" w14:textId="77777777" w:rsidR="00A60B24" w:rsidRDefault="00A60B24" w:rsidP="00A60B24">
            <w:pPr>
              <w:spacing w:after="0"/>
            </w:pPr>
            <w:r>
              <w:rPr>
                <w:b/>
                <w:color w:val="FFFFFF"/>
                <w:sz w:val="14"/>
              </w:rPr>
              <w:t>Horizon</w:t>
            </w:r>
          </w:p>
        </w:tc>
        <w:tc>
          <w:tcPr>
            <w:tcW w:w="3384" w:type="dxa"/>
            <w:shd w:val="clear" w:color="auto" w:fill="17324D"/>
            <w:tcMar>
              <w:top w:w="90" w:type="dxa"/>
              <w:left w:w="100" w:type="dxa"/>
              <w:bottom w:w="90" w:type="dxa"/>
              <w:right w:w="100" w:type="dxa"/>
            </w:tcMar>
            <w:vAlign w:val="center"/>
          </w:tcPr>
          <w:p w14:paraId="443FEB5C" w14:textId="77777777" w:rsidR="00A60B24" w:rsidRDefault="00A60B24" w:rsidP="00A60B24">
            <w:pPr>
              <w:spacing w:after="0"/>
            </w:pPr>
            <w:r>
              <w:rPr>
                <w:b/>
                <w:color w:val="FFFFFF"/>
                <w:sz w:val="14"/>
              </w:rPr>
              <w:t>Action</w:t>
            </w:r>
          </w:p>
        </w:tc>
        <w:tc>
          <w:tcPr>
            <w:tcW w:w="1800" w:type="dxa"/>
            <w:shd w:val="clear" w:color="auto" w:fill="17324D"/>
            <w:tcMar>
              <w:top w:w="90" w:type="dxa"/>
              <w:left w:w="100" w:type="dxa"/>
              <w:bottom w:w="90" w:type="dxa"/>
              <w:right w:w="100" w:type="dxa"/>
            </w:tcMar>
            <w:vAlign w:val="center"/>
          </w:tcPr>
          <w:p w14:paraId="633508A1" w14:textId="77777777" w:rsidR="00A60B24" w:rsidRDefault="00A60B24" w:rsidP="00A60B24">
            <w:pPr>
              <w:spacing w:after="0"/>
            </w:pPr>
            <w:r>
              <w:rPr>
                <w:b/>
                <w:color w:val="FFFFFF"/>
                <w:sz w:val="14"/>
              </w:rPr>
              <w:t>Owner</w:t>
            </w:r>
          </w:p>
        </w:tc>
        <w:tc>
          <w:tcPr>
            <w:tcW w:w="2376" w:type="dxa"/>
            <w:shd w:val="clear" w:color="auto" w:fill="17324D"/>
            <w:tcMar>
              <w:top w:w="90" w:type="dxa"/>
              <w:left w:w="100" w:type="dxa"/>
              <w:bottom w:w="90" w:type="dxa"/>
              <w:right w:w="100" w:type="dxa"/>
            </w:tcMar>
            <w:vAlign w:val="center"/>
          </w:tcPr>
          <w:p w14:paraId="0498EB06" w14:textId="77777777" w:rsidR="00A60B24" w:rsidRDefault="00A60B24" w:rsidP="00A60B24">
            <w:pPr>
              <w:spacing w:after="0"/>
            </w:pPr>
            <w:r>
              <w:rPr>
                <w:b/>
                <w:color w:val="FFFFFF"/>
                <w:sz w:val="14"/>
              </w:rPr>
              <w:t>Evidence of progress</w:t>
            </w:r>
          </w:p>
        </w:tc>
      </w:tr>
      <w:tr w:rsidR="00A60B24" w14:paraId="24FCC492" w14:textId="77777777" w:rsidTr="00A60B24">
        <w:trPr>
          <w:cantSplit/>
        </w:trPr>
        <w:tc>
          <w:tcPr>
            <w:tcW w:w="1224" w:type="dxa"/>
            <w:tcMar>
              <w:top w:w="90" w:type="dxa"/>
              <w:left w:w="100" w:type="dxa"/>
              <w:bottom w:w="90" w:type="dxa"/>
              <w:right w:w="100" w:type="dxa"/>
            </w:tcMar>
            <w:vAlign w:val="center"/>
          </w:tcPr>
          <w:p w14:paraId="498A4025" w14:textId="77777777" w:rsidR="00A60B24" w:rsidRDefault="00A60B24" w:rsidP="00A60B24">
            <w:pPr>
              <w:spacing w:after="0"/>
            </w:pPr>
            <w:r>
              <w:rPr>
                <w:color w:val="28323C"/>
                <w:sz w:val="14"/>
              </w:rPr>
              <w:t>0-30 days</w:t>
            </w:r>
          </w:p>
        </w:tc>
        <w:tc>
          <w:tcPr>
            <w:tcW w:w="3384" w:type="dxa"/>
            <w:tcMar>
              <w:top w:w="90" w:type="dxa"/>
              <w:left w:w="100" w:type="dxa"/>
              <w:bottom w:w="90" w:type="dxa"/>
              <w:right w:w="100" w:type="dxa"/>
            </w:tcMar>
            <w:vAlign w:val="center"/>
          </w:tcPr>
          <w:p w14:paraId="57CB9ED6" w14:textId="77777777" w:rsidR="00A60B24" w:rsidRDefault="00A60B24" w:rsidP="00A60B24">
            <w:pPr>
              <w:spacing w:after="0"/>
            </w:pPr>
            <w:r>
              <w:rPr>
                <w:color w:val="28323C"/>
                <w:sz w:val="14"/>
              </w:rPr>
              <w:t>Establish a weekly control-room dashboard for schedule, procurement, cost, rework and safety indicators.</w:t>
            </w:r>
          </w:p>
        </w:tc>
        <w:tc>
          <w:tcPr>
            <w:tcW w:w="1800" w:type="dxa"/>
            <w:tcMar>
              <w:top w:w="90" w:type="dxa"/>
              <w:left w:w="100" w:type="dxa"/>
              <w:bottom w:w="90" w:type="dxa"/>
              <w:right w:w="100" w:type="dxa"/>
            </w:tcMar>
            <w:vAlign w:val="center"/>
          </w:tcPr>
          <w:p w14:paraId="399957F3" w14:textId="77777777" w:rsidR="00A60B24" w:rsidRDefault="00A60B24" w:rsidP="00A60B24">
            <w:pPr>
              <w:spacing w:after="0"/>
            </w:pPr>
            <w:r>
              <w:rPr>
                <w:color w:val="28323C"/>
                <w:sz w:val="14"/>
              </w:rPr>
              <w:t>Project controls lead</w:t>
            </w:r>
          </w:p>
        </w:tc>
        <w:tc>
          <w:tcPr>
            <w:tcW w:w="2376" w:type="dxa"/>
            <w:tcMar>
              <w:top w:w="90" w:type="dxa"/>
              <w:left w:w="100" w:type="dxa"/>
              <w:bottom w:w="90" w:type="dxa"/>
              <w:right w:w="100" w:type="dxa"/>
            </w:tcMar>
            <w:vAlign w:val="center"/>
          </w:tcPr>
          <w:p w14:paraId="4ACFE7CF" w14:textId="77777777" w:rsidR="00A60B24" w:rsidRDefault="00A60B24" w:rsidP="00A60B24">
            <w:pPr>
              <w:spacing w:after="0"/>
            </w:pPr>
            <w:r>
              <w:rPr>
                <w:color w:val="28323C"/>
                <w:sz w:val="14"/>
              </w:rPr>
              <w:t>Named owner and current status for every critical indicator; overdue actions visible</w:t>
            </w:r>
          </w:p>
        </w:tc>
      </w:tr>
      <w:tr w:rsidR="00A60B24" w14:paraId="776823F6" w14:textId="77777777" w:rsidTr="00A60B24">
        <w:trPr>
          <w:cantSplit/>
        </w:trPr>
        <w:tc>
          <w:tcPr>
            <w:tcW w:w="1224" w:type="dxa"/>
            <w:shd w:val="clear" w:color="auto" w:fill="F4F7FA"/>
            <w:tcMar>
              <w:top w:w="90" w:type="dxa"/>
              <w:left w:w="100" w:type="dxa"/>
              <w:bottom w:w="90" w:type="dxa"/>
              <w:right w:w="100" w:type="dxa"/>
            </w:tcMar>
            <w:vAlign w:val="center"/>
          </w:tcPr>
          <w:p w14:paraId="100DDCC0" w14:textId="77777777" w:rsidR="00A60B24" w:rsidRDefault="00A60B24" w:rsidP="00A60B24">
            <w:pPr>
              <w:spacing w:after="0"/>
            </w:pPr>
            <w:r>
              <w:rPr>
                <w:color w:val="28323C"/>
                <w:sz w:val="14"/>
              </w:rPr>
              <w:t>0-30 days</w:t>
            </w:r>
          </w:p>
        </w:tc>
        <w:tc>
          <w:tcPr>
            <w:tcW w:w="3384" w:type="dxa"/>
            <w:shd w:val="clear" w:color="auto" w:fill="F4F7FA"/>
            <w:tcMar>
              <w:top w:w="90" w:type="dxa"/>
              <w:left w:w="100" w:type="dxa"/>
              <w:bottom w:w="90" w:type="dxa"/>
              <w:right w:w="100" w:type="dxa"/>
            </w:tcMar>
            <w:vAlign w:val="center"/>
          </w:tcPr>
          <w:p w14:paraId="7EDA5EB4" w14:textId="77777777" w:rsidR="00A60B24" w:rsidRDefault="00A60B24" w:rsidP="00A60B24">
            <w:pPr>
              <w:spacing w:after="0"/>
            </w:pPr>
            <w:r>
              <w:rPr>
                <w:color w:val="28323C"/>
                <w:sz w:val="14"/>
              </w:rPr>
              <w:t>Create a long-lead procurement tracker with promise date, required-on-site date and escalation owner.</w:t>
            </w:r>
          </w:p>
        </w:tc>
        <w:tc>
          <w:tcPr>
            <w:tcW w:w="1800" w:type="dxa"/>
            <w:shd w:val="clear" w:color="auto" w:fill="F4F7FA"/>
            <w:tcMar>
              <w:top w:w="90" w:type="dxa"/>
              <w:left w:w="100" w:type="dxa"/>
              <w:bottom w:w="90" w:type="dxa"/>
              <w:right w:w="100" w:type="dxa"/>
            </w:tcMar>
            <w:vAlign w:val="center"/>
          </w:tcPr>
          <w:p w14:paraId="1A701EFF" w14:textId="77777777" w:rsidR="00A60B24" w:rsidRDefault="00A60B24" w:rsidP="00A60B24">
            <w:pPr>
              <w:spacing w:after="0"/>
            </w:pPr>
            <w:r>
              <w:rPr>
                <w:color w:val="28323C"/>
                <w:sz w:val="14"/>
              </w:rPr>
              <w:t>Procurement lead</w:t>
            </w:r>
          </w:p>
        </w:tc>
        <w:tc>
          <w:tcPr>
            <w:tcW w:w="2376" w:type="dxa"/>
            <w:shd w:val="clear" w:color="auto" w:fill="F4F7FA"/>
            <w:tcMar>
              <w:top w:w="90" w:type="dxa"/>
              <w:left w:w="100" w:type="dxa"/>
              <w:bottom w:w="90" w:type="dxa"/>
              <w:right w:w="100" w:type="dxa"/>
            </w:tcMar>
            <w:vAlign w:val="center"/>
          </w:tcPr>
          <w:p w14:paraId="5A61DD00" w14:textId="77777777" w:rsidR="00A60B24" w:rsidRDefault="00A60B24" w:rsidP="00A60B24">
            <w:pPr>
              <w:spacing w:after="0"/>
            </w:pPr>
            <w:r>
              <w:rPr>
                <w:color w:val="28323C"/>
                <w:sz w:val="14"/>
              </w:rPr>
              <w:t>All critical materials have verified dates, contingency options and escalation triggers</w:t>
            </w:r>
          </w:p>
        </w:tc>
      </w:tr>
      <w:tr w:rsidR="00A60B24" w14:paraId="570CBFBD" w14:textId="77777777" w:rsidTr="00A60B24">
        <w:trPr>
          <w:cantSplit/>
        </w:trPr>
        <w:tc>
          <w:tcPr>
            <w:tcW w:w="1224" w:type="dxa"/>
            <w:tcMar>
              <w:top w:w="90" w:type="dxa"/>
              <w:left w:w="100" w:type="dxa"/>
              <w:bottom w:w="90" w:type="dxa"/>
              <w:right w:w="100" w:type="dxa"/>
            </w:tcMar>
            <w:vAlign w:val="center"/>
          </w:tcPr>
          <w:p w14:paraId="713881D6" w14:textId="77777777" w:rsidR="00A60B24" w:rsidRDefault="00A60B24" w:rsidP="00A60B24">
            <w:pPr>
              <w:spacing w:after="0"/>
            </w:pPr>
            <w:r>
              <w:rPr>
                <w:color w:val="28323C"/>
                <w:sz w:val="14"/>
              </w:rPr>
              <w:t>31-60 days</w:t>
            </w:r>
          </w:p>
        </w:tc>
        <w:tc>
          <w:tcPr>
            <w:tcW w:w="3384" w:type="dxa"/>
            <w:tcMar>
              <w:top w:w="90" w:type="dxa"/>
              <w:left w:w="100" w:type="dxa"/>
              <w:bottom w:w="90" w:type="dxa"/>
              <w:right w:w="100" w:type="dxa"/>
            </w:tcMar>
            <w:vAlign w:val="center"/>
          </w:tcPr>
          <w:p w14:paraId="1FD9D71F" w14:textId="77777777" w:rsidR="00A60B24" w:rsidRDefault="00A60B24" w:rsidP="00A60B24">
            <w:pPr>
              <w:spacing w:after="0"/>
            </w:pPr>
            <w:r>
              <w:rPr>
                <w:color w:val="28323C"/>
                <w:sz w:val="14"/>
              </w:rPr>
              <w:t>Pilot a delay-risk score using only information available at the forecast date; review it with planners.</w:t>
            </w:r>
          </w:p>
        </w:tc>
        <w:tc>
          <w:tcPr>
            <w:tcW w:w="1800" w:type="dxa"/>
            <w:tcMar>
              <w:top w:w="90" w:type="dxa"/>
              <w:left w:w="100" w:type="dxa"/>
              <w:bottom w:w="90" w:type="dxa"/>
              <w:right w:w="100" w:type="dxa"/>
            </w:tcMar>
            <w:vAlign w:val="center"/>
          </w:tcPr>
          <w:p w14:paraId="031E74CA" w14:textId="77777777" w:rsidR="00A60B24" w:rsidRDefault="00A60B24" w:rsidP="00A60B24">
            <w:pPr>
              <w:spacing w:after="0"/>
            </w:pPr>
            <w:r>
              <w:rPr>
                <w:color w:val="28323C"/>
                <w:sz w:val="14"/>
              </w:rPr>
              <w:t>Data analyst + project planner</w:t>
            </w:r>
          </w:p>
        </w:tc>
        <w:tc>
          <w:tcPr>
            <w:tcW w:w="2376" w:type="dxa"/>
            <w:tcMar>
              <w:top w:w="90" w:type="dxa"/>
              <w:left w:w="100" w:type="dxa"/>
              <w:bottom w:w="90" w:type="dxa"/>
              <w:right w:w="100" w:type="dxa"/>
            </w:tcMar>
            <w:vAlign w:val="center"/>
          </w:tcPr>
          <w:p w14:paraId="42732986" w14:textId="77777777" w:rsidR="00A60B24" w:rsidRDefault="00A60B24" w:rsidP="00A60B24">
            <w:pPr>
              <w:spacing w:after="0"/>
            </w:pPr>
            <w:r>
              <w:rPr>
                <w:color w:val="28323C"/>
                <w:sz w:val="14"/>
              </w:rPr>
              <w:t>Back-tested error, recall and false-alert rate documented on held-out real projects</w:t>
            </w:r>
          </w:p>
        </w:tc>
      </w:tr>
      <w:tr w:rsidR="00A60B24" w14:paraId="3264BA44" w14:textId="77777777" w:rsidTr="00A60B24">
        <w:trPr>
          <w:cantSplit/>
        </w:trPr>
        <w:tc>
          <w:tcPr>
            <w:tcW w:w="1224" w:type="dxa"/>
            <w:shd w:val="clear" w:color="auto" w:fill="F4F7FA"/>
            <w:tcMar>
              <w:top w:w="90" w:type="dxa"/>
              <w:left w:w="100" w:type="dxa"/>
              <w:bottom w:w="90" w:type="dxa"/>
              <w:right w:w="100" w:type="dxa"/>
            </w:tcMar>
            <w:vAlign w:val="center"/>
          </w:tcPr>
          <w:p w14:paraId="1F24A023" w14:textId="77777777" w:rsidR="00A60B24" w:rsidRDefault="00A60B24" w:rsidP="00A60B24">
            <w:pPr>
              <w:spacing w:after="0"/>
            </w:pPr>
            <w:r>
              <w:rPr>
                <w:color w:val="28323C"/>
                <w:sz w:val="14"/>
              </w:rPr>
              <w:t>31-60 days</w:t>
            </w:r>
          </w:p>
        </w:tc>
        <w:tc>
          <w:tcPr>
            <w:tcW w:w="3384" w:type="dxa"/>
            <w:shd w:val="clear" w:color="auto" w:fill="F4F7FA"/>
            <w:tcMar>
              <w:top w:w="90" w:type="dxa"/>
              <w:left w:w="100" w:type="dxa"/>
              <w:bottom w:w="90" w:type="dxa"/>
              <w:right w:w="100" w:type="dxa"/>
            </w:tcMar>
            <w:vAlign w:val="center"/>
          </w:tcPr>
          <w:p w14:paraId="5B201676" w14:textId="77777777" w:rsidR="00A60B24" w:rsidRDefault="00A60B24" w:rsidP="00A60B24">
            <w:pPr>
              <w:spacing w:after="0"/>
            </w:pPr>
            <w:r>
              <w:rPr>
                <w:color w:val="28323C"/>
                <w:sz w:val="14"/>
              </w:rPr>
              <w:t>Introduce design-freeze and RFI-ageing checkpoints for packages on the critical path.</w:t>
            </w:r>
          </w:p>
        </w:tc>
        <w:tc>
          <w:tcPr>
            <w:tcW w:w="1800" w:type="dxa"/>
            <w:shd w:val="clear" w:color="auto" w:fill="F4F7FA"/>
            <w:tcMar>
              <w:top w:w="90" w:type="dxa"/>
              <w:left w:w="100" w:type="dxa"/>
              <w:bottom w:w="90" w:type="dxa"/>
              <w:right w:w="100" w:type="dxa"/>
            </w:tcMar>
            <w:vAlign w:val="center"/>
          </w:tcPr>
          <w:p w14:paraId="790A8C19" w14:textId="77777777" w:rsidR="00A60B24" w:rsidRDefault="00A60B24" w:rsidP="00A60B24">
            <w:pPr>
              <w:spacing w:after="0"/>
            </w:pPr>
            <w:r>
              <w:rPr>
                <w:color w:val="28323C"/>
                <w:sz w:val="14"/>
              </w:rPr>
              <w:t>Design manager</w:t>
            </w:r>
          </w:p>
        </w:tc>
        <w:tc>
          <w:tcPr>
            <w:tcW w:w="2376" w:type="dxa"/>
            <w:shd w:val="clear" w:color="auto" w:fill="F4F7FA"/>
            <w:tcMar>
              <w:top w:w="90" w:type="dxa"/>
              <w:left w:w="100" w:type="dxa"/>
              <w:bottom w:w="90" w:type="dxa"/>
              <w:right w:w="100" w:type="dxa"/>
            </w:tcMar>
            <w:vAlign w:val="center"/>
          </w:tcPr>
          <w:p w14:paraId="24AD961E" w14:textId="77777777" w:rsidR="00A60B24" w:rsidRDefault="00A60B24" w:rsidP="00A60B24">
            <w:pPr>
              <w:spacing w:after="0"/>
            </w:pPr>
            <w:r>
              <w:rPr>
                <w:color w:val="28323C"/>
                <w:sz w:val="14"/>
              </w:rPr>
              <w:t>Open critical RFIs and unapproved changes are reviewed at each weekly meeting</w:t>
            </w:r>
          </w:p>
        </w:tc>
      </w:tr>
      <w:tr w:rsidR="00A60B24" w14:paraId="0C143D89" w14:textId="77777777" w:rsidTr="00A60B24">
        <w:trPr>
          <w:cantSplit/>
        </w:trPr>
        <w:tc>
          <w:tcPr>
            <w:tcW w:w="1224" w:type="dxa"/>
            <w:tcMar>
              <w:top w:w="90" w:type="dxa"/>
              <w:left w:w="100" w:type="dxa"/>
              <w:bottom w:w="90" w:type="dxa"/>
              <w:right w:w="100" w:type="dxa"/>
            </w:tcMar>
            <w:vAlign w:val="center"/>
          </w:tcPr>
          <w:p w14:paraId="5D4A9379" w14:textId="77777777" w:rsidR="00A60B24" w:rsidRDefault="00A60B24" w:rsidP="00A60B24">
            <w:pPr>
              <w:spacing w:after="0"/>
            </w:pPr>
            <w:r>
              <w:rPr>
                <w:color w:val="28323C"/>
                <w:sz w:val="14"/>
              </w:rPr>
              <w:t>61-90 days</w:t>
            </w:r>
          </w:p>
        </w:tc>
        <w:tc>
          <w:tcPr>
            <w:tcW w:w="3384" w:type="dxa"/>
            <w:tcMar>
              <w:top w:w="90" w:type="dxa"/>
              <w:left w:w="100" w:type="dxa"/>
              <w:bottom w:w="90" w:type="dxa"/>
              <w:right w:w="100" w:type="dxa"/>
            </w:tcMar>
            <w:vAlign w:val="center"/>
          </w:tcPr>
          <w:p w14:paraId="110881D2" w14:textId="77777777" w:rsidR="00A60B24" w:rsidRDefault="00A60B24" w:rsidP="00A60B24">
            <w:pPr>
              <w:spacing w:after="0"/>
            </w:pPr>
            <w:r>
              <w:rPr>
                <w:color w:val="28323C"/>
                <w:sz w:val="14"/>
              </w:rPr>
              <w:t>Run a controlled pilot across multiple real projects and compare forecast quality by project type and phase.</w:t>
            </w:r>
          </w:p>
        </w:tc>
        <w:tc>
          <w:tcPr>
            <w:tcW w:w="1800" w:type="dxa"/>
            <w:tcMar>
              <w:top w:w="90" w:type="dxa"/>
              <w:left w:w="100" w:type="dxa"/>
              <w:bottom w:w="90" w:type="dxa"/>
              <w:right w:w="100" w:type="dxa"/>
            </w:tcMar>
            <w:vAlign w:val="center"/>
          </w:tcPr>
          <w:p w14:paraId="0E69083E" w14:textId="77777777" w:rsidR="00A60B24" w:rsidRDefault="00A60B24" w:rsidP="00A60B24">
            <w:pPr>
              <w:spacing w:after="0"/>
            </w:pPr>
            <w:r>
              <w:rPr>
                <w:color w:val="28323C"/>
                <w:sz w:val="14"/>
              </w:rPr>
              <w:t>PMO / project controls</w:t>
            </w:r>
          </w:p>
        </w:tc>
        <w:tc>
          <w:tcPr>
            <w:tcW w:w="2376" w:type="dxa"/>
            <w:tcMar>
              <w:top w:w="90" w:type="dxa"/>
              <w:left w:w="100" w:type="dxa"/>
              <w:bottom w:w="90" w:type="dxa"/>
              <w:right w:w="100" w:type="dxa"/>
            </w:tcMar>
            <w:vAlign w:val="center"/>
          </w:tcPr>
          <w:p w14:paraId="6E6DF9C7" w14:textId="77777777" w:rsidR="00A60B24" w:rsidRDefault="00A60B24" w:rsidP="00A60B24">
            <w:pPr>
              <w:spacing w:after="0"/>
            </w:pPr>
            <w:r>
              <w:rPr>
                <w:color w:val="28323C"/>
                <w:sz w:val="14"/>
              </w:rPr>
              <w:t>Time-based or project-group validation completed; model limits and escalation rules approved</w:t>
            </w:r>
          </w:p>
        </w:tc>
      </w:tr>
      <w:tr w:rsidR="00A60B24" w14:paraId="14A329B2" w14:textId="77777777" w:rsidTr="00A60B24">
        <w:trPr>
          <w:cantSplit/>
        </w:trPr>
        <w:tc>
          <w:tcPr>
            <w:tcW w:w="1224" w:type="dxa"/>
            <w:shd w:val="clear" w:color="auto" w:fill="F4F7FA"/>
            <w:tcMar>
              <w:top w:w="90" w:type="dxa"/>
              <w:left w:w="100" w:type="dxa"/>
              <w:bottom w:w="90" w:type="dxa"/>
              <w:right w:w="100" w:type="dxa"/>
            </w:tcMar>
            <w:vAlign w:val="center"/>
          </w:tcPr>
          <w:p w14:paraId="7F895628" w14:textId="77777777" w:rsidR="00A60B24" w:rsidRDefault="00A60B24" w:rsidP="00A60B24">
            <w:pPr>
              <w:spacing w:after="0"/>
            </w:pPr>
            <w:r>
              <w:rPr>
                <w:color w:val="28323C"/>
                <w:sz w:val="14"/>
              </w:rPr>
              <w:t>Ongoing</w:t>
            </w:r>
          </w:p>
        </w:tc>
        <w:tc>
          <w:tcPr>
            <w:tcW w:w="3384" w:type="dxa"/>
            <w:shd w:val="clear" w:color="auto" w:fill="F4F7FA"/>
            <w:tcMar>
              <w:top w:w="90" w:type="dxa"/>
              <w:left w:w="100" w:type="dxa"/>
              <w:bottom w:w="90" w:type="dxa"/>
              <w:right w:w="100" w:type="dxa"/>
            </w:tcMar>
            <w:vAlign w:val="center"/>
          </w:tcPr>
          <w:p w14:paraId="52BB2EDF" w14:textId="77777777" w:rsidR="00A60B24" w:rsidRDefault="00A60B24" w:rsidP="00A60B24">
            <w:pPr>
              <w:spacing w:after="0"/>
            </w:pPr>
            <w:r>
              <w:rPr>
                <w:color w:val="28323C"/>
                <w:sz w:val="14"/>
              </w:rPr>
              <w:t>Keep safety checks independent from the schedule/cost model; investigate incidents and near misses using formal controls.</w:t>
            </w:r>
          </w:p>
        </w:tc>
        <w:tc>
          <w:tcPr>
            <w:tcW w:w="1800" w:type="dxa"/>
            <w:shd w:val="clear" w:color="auto" w:fill="F4F7FA"/>
            <w:tcMar>
              <w:top w:w="90" w:type="dxa"/>
              <w:left w:w="100" w:type="dxa"/>
              <w:bottom w:w="90" w:type="dxa"/>
              <w:right w:w="100" w:type="dxa"/>
            </w:tcMar>
            <w:vAlign w:val="center"/>
          </w:tcPr>
          <w:p w14:paraId="7202020B" w14:textId="77777777" w:rsidR="00A60B24" w:rsidRDefault="00A60B24" w:rsidP="00A60B24">
            <w:pPr>
              <w:spacing w:after="0"/>
            </w:pPr>
            <w:r>
              <w:rPr>
                <w:color w:val="28323C"/>
                <w:sz w:val="14"/>
              </w:rPr>
              <w:t>HSE lead + site management</w:t>
            </w:r>
          </w:p>
        </w:tc>
        <w:tc>
          <w:tcPr>
            <w:tcW w:w="2376" w:type="dxa"/>
            <w:shd w:val="clear" w:color="auto" w:fill="F4F7FA"/>
            <w:tcMar>
              <w:top w:w="90" w:type="dxa"/>
              <w:left w:w="100" w:type="dxa"/>
              <w:bottom w:w="90" w:type="dxa"/>
              <w:right w:w="100" w:type="dxa"/>
            </w:tcMar>
            <w:vAlign w:val="center"/>
          </w:tcPr>
          <w:p w14:paraId="52154273" w14:textId="77777777" w:rsidR="00A60B24" w:rsidRDefault="00A60B24" w:rsidP="00A60B24">
            <w:pPr>
              <w:spacing w:after="0"/>
            </w:pPr>
            <w:r>
              <w:rPr>
                <w:color w:val="28323C"/>
                <w:sz w:val="14"/>
              </w:rPr>
              <w:t>Required safety actions closed on time; no model score used to relax a safety control</w:t>
            </w:r>
          </w:p>
        </w:tc>
      </w:tr>
    </w:tbl>
    <w:p w14:paraId="11474AAF" w14:textId="2AB6AC12" w:rsidR="00A60B24" w:rsidRPr="00A60B24" w:rsidRDefault="00A60B24" w:rsidP="00A60B24">
      <w:pPr>
        <w:pStyle w:val="Heading1"/>
      </w:pPr>
      <w:r>
        <w:t>7. 30-60-90 Day Implementation Roadmap</w:t>
      </w:r>
    </w:p>
    <w:p w14:paraId="41B96F21" w14:textId="77777777" w:rsidR="002C2CBF" w:rsidRDefault="002C2CBF">
      <w:pPr>
        <w:pStyle w:val="Heading2"/>
      </w:pPr>
    </w:p>
    <w:p w14:paraId="669884F6" w14:textId="77777777" w:rsidR="002C2CBF" w:rsidRDefault="002C2CBF">
      <w:pPr>
        <w:pStyle w:val="Heading2"/>
      </w:pPr>
    </w:p>
    <w:p w14:paraId="05787FC5" w14:textId="77777777" w:rsidR="002C2CBF" w:rsidRDefault="002C2CBF">
      <w:pPr>
        <w:pStyle w:val="Heading2"/>
      </w:pPr>
    </w:p>
    <w:p w14:paraId="41C971B1" w14:textId="77777777" w:rsidR="002C2CBF" w:rsidRDefault="002C2CBF">
      <w:pPr>
        <w:pStyle w:val="Heading2"/>
      </w:pPr>
    </w:p>
    <w:p w14:paraId="7F8D0BDE" w14:textId="77777777" w:rsidR="002C2CBF" w:rsidRDefault="002C2CBF">
      <w:pPr>
        <w:pStyle w:val="Heading2"/>
      </w:pPr>
    </w:p>
    <w:p w14:paraId="5397E376" w14:textId="77777777" w:rsidR="002C2CBF" w:rsidRDefault="002C2CBF">
      <w:pPr>
        <w:pStyle w:val="Heading2"/>
      </w:pPr>
    </w:p>
    <w:p w14:paraId="1FA0B06B" w14:textId="77777777" w:rsidR="002C2CBF" w:rsidRDefault="002C2CBF">
      <w:pPr>
        <w:pStyle w:val="Heading2"/>
      </w:pPr>
    </w:p>
    <w:p w14:paraId="70E9789C" w14:textId="77777777" w:rsidR="002C2CBF" w:rsidRDefault="002C2CBF">
      <w:pPr>
        <w:pStyle w:val="Heading2"/>
      </w:pPr>
    </w:p>
    <w:p w14:paraId="685BF443" w14:textId="77777777" w:rsidR="002C2CBF" w:rsidRDefault="002C2CBF">
      <w:pPr>
        <w:pStyle w:val="Heading2"/>
      </w:pPr>
    </w:p>
    <w:p w14:paraId="4ABF719B" w14:textId="47C4EA43" w:rsidR="00363873" w:rsidRDefault="00000000">
      <w:pPr>
        <w:pStyle w:val="Heading2"/>
      </w:pPr>
      <w:r>
        <w:t>Proposed weekly dashboard cadence</w:t>
      </w:r>
    </w:p>
    <w:p w14:paraId="2D76263F" w14:textId="77777777" w:rsidR="00363873" w:rsidRDefault="00000000">
      <w:pPr>
        <w:pStyle w:val="ListBullet"/>
        <w:spacing w:after="60"/>
      </w:pPr>
      <w:r>
        <w:t>Before the meeting: data owners refresh actuals, commitments, forecasts, critical procurement items, open changes, labor plan, constraints, rework, and safety actions; include a timestamp and data-quality status.</w:t>
      </w:r>
    </w:p>
    <w:p w14:paraId="28A5F7AF" w14:textId="77777777" w:rsidR="00363873" w:rsidRDefault="00000000">
      <w:pPr>
        <w:pStyle w:val="ListBullet"/>
        <w:spacing w:after="60"/>
      </w:pPr>
      <w:r>
        <w:t>During the meeting: review exceptions first, assign owner and due date, record the decision, and note the expected effect on cost, finish date, quality, and safety.</w:t>
      </w:r>
    </w:p>
    <w:p w14:paraId="021BC247" w14:textId="77777777" w:rsidR="00363873" w:rsidRDefault="00000000">
      <w:pPr>
        <w:pStyle w:val="ListBullet"/>
        <w:spacing w:after="60"/>
      </w:pPr>
      <w:r>
        <w:t>After the meeting: track open actions to closure and preserve forecast snapshots so prediction quality and management response can be evaluated later.</w:t>
      </w:r>
    </w:p>
    <w:p w14:paraId="7DF8DF21" w14:textId="77777777" w:rsidR="00363873" w:rsidRDefault="00000000">
      <w:pPr>
        <w:pStyle w:val="Heading1"/>
      </w:pPr>
      <w:r>
        <w:t>8. Explaining the Python workflow to non-technical users</w:t>
      </w:r>
    </w:p>
    <w:p w14:paraId="4F94DDD1" w14:textId="77777777" w:rsidR="00363873" w:rsidRDefault="00000000">
      <w:r>
        <w:t>Python acts as a repeatable workbench. pandas reads the project tables and groups observations by type or risk condition. NumPy supports calculations used in the indicators and charts. Matplotlib turns the summaries into plots that help a meeting focus on differences and exceptions. scikit-learn prepares input columns, fits candidate models on a training subset, and evaluates them on held-out records. Cross-validation repeats the model check across several folds to show whether results are unusually dependent on one split.</w:t>
      </w:r>
    </w:p>
    <w:p w14:paraId="1D0E69D4" w14:textId="77777777" w:rsidR="00363873" w:rsidRDefault="00000000">
      <w:r>
        <w:lastRenderedPageBreak/>
        <w:t>The KPI dashboard is a descriptive snapshot; the scatterplots show associations; the regression model estimates a numeric delay; the classifier estimates the probability of a threshold-based risk label; and scenario analysis shows how predictions change when inputs are modified. These outputs answer different questions and should not be conflated. Model scores do not prove root cause, and a scenario result is not a guaranteed saving.</w:t>
      </w:r>
    </w:p>
    <w:p w14:paraId="4CFEA7C2" w14:textId="77777777" w:rsidR="00363873" w:rsidRDefault="00000000">
      <w:pPr>
        <w:pStyle w:val="Heading1"/>
      </w:pPr>
      <w:r>
        <w:t>9. Limitations and Governance</w:t>
      </w:r>
    </w:p>
    <w:p w14:paraId="60768ABA" w14:textId="77777777" w:rsidR="00363873" w:rsidRDefault="00000000">
      <w:pPr>
        <w:pStyle w:val="ListBullet"/>
        <w:spacing w:after="60"/>
      </w:pPr>
      <w:r>
        <w:t>All datasets in this internship portfolio are simulated. There are no verified real construction-site observations in the report, so findings are demonstration results only.</w:t>
      </w:r>
    </w:p>
    <w:p w14:paraId="3EB4E5D3" w14:textId="77777777" w:rsidR="00363873" w:rsidRDefault="00000000">
      <w:pPr>
        <w:pStyle w:val="ListBullet"/>
        <w:spacing w:after="60"/>
      </w:pPr>
      <w:r>
        <w:t>The Week 1, Week 2 and Week 3 datasets have different rows and generation assumptions. Their rates should not be combined or treated as a before/after series.</w:t>
      </w:r>
    </w:p>
    <w:p w14:paraId="3CE1AAD7" w14:textId="77777777" w:rsidR="00363873" w:rsidRDefault="00000000">
      <w:pPr>
        <w:pStyle w:val="ListBullet"/>
        <w:spacing w:after="60"/>
      </w:pPr>
      <w:r>
        <w:t>Model metrics can be optimistic or unstable when features encode synthetic rules. Real deployment needs representative historic data, consistent definitions, quality controls and external validation.</w:t>
      </w:r>
    </w:p>
    <w:p w14:paraId="3863D61E" w14:textId="77777777" w:rsidR="00363873" w:rsidRDefault="00000000">
      <w:pPr>
        <w:pStyle w:val="ListBullet"/>
        <w:spacing w:after="60"/>
      </w:pPr>
      <w:r>
        <w:t>The scenario analysis is model-based what-if testing, not a causal experiment. Cost, feasibility, contractual terms, and unintended consequences must be reviewed by project experts.</w:t>
      </w:r>
    </w:p>
    <w:p w14:paraId="691A18D5" w14:textId="77777777" w:rsidR="00363873" w:rsidRDefault="00000000">
      <w:pPr>
        <w:pStyle w:val="ListBullet"/>
        <w:spacing w:after="60"/>
      </w:pPr>
      <w:r>
        <w:t>Real data access should be authorized; personally or commercially sensitive fields should be minimized; model changes, exclusions and decisions should be logged; and a named owner should monitor performance.</w:t>
      </w:r>
    </w:p>
    <w:p w14:paraId="29379EB6" w14:textId="77777777" w:rsidR="00363873" w:rsidRDefault="00000000">
      <w:pPr>
        <w:pStyle w:val="Heading1"/>
      </w:pPr>
      <w:r>
        <w:t>Conclusion</w:t>
      </w:r>
    </w:p>
    <w:p w14:paraId="55D08535" w14:textId="77777777" w:rsidR="00363873" w:rsidRDefault="00000000">
      <w:r>
        <w:t>The four-week workflow demonstrates a practical path from data acquisition planning and quality checks to descriptive analysis, risk forecasting, visualization, and management action. Within the synthetic samples, procurement delay was positively associated with schedule delay, project-type delay varied, and simple baseline models provided useful examples of how delay and cost-overrun screening can be evaluated. The most important deliverable is the proposed operating discipline: maintain reliable data, discuss exceptions with accountable owners, measure forecast errors on real held-out projects before operational use, and keep safety and professional judgement central to every decision.</w:t>
      </w:r>
    </w:p>
    <w:p w14:paraId="3B931AF8" w14:textId="77777777" w:rsidR="00363873" w:rsidRDefault="00000000">
      <w:pPr>
        <w:pStyle w:val="Heading1"/>
      </w:pPr>
      <w:r>
        <w:t>Appendix A. Key metric definitions</w:t>
      </w:r>
    </w:p>
    <w:tbl>
      <w:tblPr>
        <w:tblStyle w:val="TableGrid"/>
        <w:tblW w:w="0" w:type="auto"/>
        <w:jc w:val="center"/>
        <w:tblLook w:val="04A0" w:firstRow="1" w:lastRow="0" w:firstColumn="1" w:lastColumn="0" w:noHBand="0" w:noVBand="1"/>
      </w:tblPr>
      <w:tblGrid>
        <w:gridCol w:w="1800"/>
        <w:gridCol w:w="3816"/>
        <w:gridCol w:w="3312"/>
      </w:tblGrid>
      <w:tr w:rsidR="00363873" w14:paraId="5F4F47C1" w14:textId="77777777">
        <w:trPr>
          <w:cantSplit/>
          <w:tblHeader/>
          <w:jc w:val="center"/>
        </w:trPr>
        <w:tc>
          <w:tcPr>
            <w:tcW w:w="1800" w:type="dxa"/>
            <w:shd w:val="clear" w:color="auto" w:fill="17324D"/>
            <w:tcMar>
              <w:top w:w="90" w:type="dxa"/>
              <w:left w:w="100" w:type="dxa"/>
              <w:bottom w:w="90" w:type="dxa"/>
              <w:right w:w="100" w:type="dxa"/>
            </w:tcMar>
            <w:vAlign w:val="center"/>
          </w:tcPr>
          <w:p w14:paraId="157E7855" w14:textId="77777777" w:rsidR="00363873" w:rsidRDefault="00000000">
            <w:pPr>
              <w:spacing w:after="0"/>
            </w:pPr>
            <w:r>
              <w:rPr>
                <w:b/>
                <w:color w:val="FFFFFF"/>
                <w:sz w:val="15"/>
              </w:rPr>
              <w:t>Metric</w:t>
            </w:r>
          </w:p>
        </w:tc>
        <w:tc>
          <w:tcPr>
            <w:tcW w:w="3816" w:type="dxa"/>
            <w:shd w:val="clear" w:color="auto" w:fill="17324D"/>
            <w:tcMar>
              <w:top w:w="90" w:type="dxa"/>
              <w:left w:w="100" w:type="dxa"/>
              <w:bottom w:w="90" w:type="dxa"/>
              <w:right w:w="100" w:type="dxa"/>
            </w:tcMar>
            <w:vAlign w:val="center"/>
          </w:tcPr>
          <w:p w14:paraId="2FDB1F5C" w14:textId="77777777" w:rsidR="00363873" w:rsidRDefault="00000000">
            <w:pPr>
              <w:spacing w:after="0"/>
            </w:pPr>
            <w:r>
              <w:rPr>
                <w:b/>
                <w:color w:val="FFFFFF"/>
                <w:sz w:val="15"/>
              </w:rPr>
              <w:t>Definition</w:t>
            </w:r>
          </w:p>
        </w:tc>
        <w:tc>
          <w:tcPr>
            <w:tcW w:w="3312" w:type="dxa"/>
            <w:shd w:val="clear" w:color="auto" w:fill="17324D"/>
            <w:tcMar>
              <w:top w:w="90" w:type="dxa"/>
              <w:left w:w="100" w:type="dxa"/>
              <w:bottom w:w="90" w:type="dxa"/>
              <w:right w:w="100" w:type="dxa"/>
            </w:tcMar>
            <w:vAlign w:val="center"/>
          </w:tcPr>
          <w:p w14:paraId="044ED508" w14:textId="77777777" w:rsidR="00363873" w:rsidRDefault="00000000">
            <w:pPr>
              <w:spacing w:after="0"/>
            </w:pPr>
            <w:r>
              <w:rPr>
                <w:b/>
                <w:color w:val="FFFFFF"/>
                <w:sz w:val="15"/>
              </w:rPr>
              <w:t>How a team may use it</w:t>
            </w:r>
          </w:p>
        </w:tc>
      </w:tr>
      <w:tr w:rsidR="00363873" w14:paraId="442FF84B" w14:textId="77777777">
        <w:trPr>
          <w:cantSplit/>
          <w:jc w:val="center"/>
        </w:trPr>
        <w:tc>
          <w:tcPr>
            <w:tcW w:w="1800" w:type="dxa"/>
            <w:tcMar>
              <w:top w:w="90" w:type="dxa"/>
              <w:left w:w="100" w:type="dxa"/>
              <w:bottom w:w="90" w:type="dxa"/>
              <w:right w:w="100" w:type="dxa"/>
            </w:tcMar>
            <w:vAlign w:val="center"/>
          </w:tcPr>
          <w:p w14:paraId="7F80ABA0" w14:textId="77777777" w:rsidR="00363873" w:rsidRDefault="00000000">
            <w:pPr>
              <w:spacing w:after="0"/>
            </w:pPr>
            <w:r>
              <w:rPr>
                <w:color w:val="28323C"/>
                <w:sz w:val="15"/>
              </w:rPr>
              <w:t>Schedule delay (days)</w:t>
            </w:r>
          </w:p>
        </w:tc>
        <w:tc>
          <w:tcPr>
            <w:tcW w:w="3816" w:type="dxa"/>
            <w:tcMar>
              <w:top w:w="90" w:type="dxa"/>
              <w:left w:w="100" w:type="dxa"/>
              <w:bottom w:w="90" w:type="dxa"/>
              <w:right w:w="100" w:type="dxa"/>
            </w:tcMar>
            <w:vAlign w:val="center"/>
          </w:tcPr>
          <w:p w14:paraId="06450447" w14:textId="77777777" w:rsidR="00363873" w:rsidRDefault="00000000">
            <w:pPr>
              <w:spacing w:after="0"/>
            </w:pPr>
            <w:r>
              <w:rPr>
                <w:color w:val="28323C"/>
                <w:sz w:val="15"/>
              </w:rPr>
              <w:t>Actual/forecast completion duration beyond the planned baseline in the source sample.</w:t>
            </w:r>
          </w:p>
        </w:tc>
        <w:tc>
          <w:tcPr>
            <w:tcW w:w="3312" w:type="dxa"/>
            <w:tcMar>
              <w:top w:w="90" w:type="dxa"/>
              <w:left w:w="100" w:type="dxa"/>
              <w:bottom w:w="90" w:type="dxa"/>
              <w:right w:w="100" w:type="dxa"/>
            </w:tcMar>
            <w:vAlign w:val="center"/>
          </w:tcPr>
          <w:p w14:paraId="20C1C1AE" w14:textId="77777777" w:rsidR="00363873" w:rsidRDefault="00000000">
            <w:pPr>
              <w:spacing w:after="0"/>
            </w:pPr>
            <w:r>
              <w:rPr>
                <w:color w:val="28323C"/>
                <w:sz w:val="15"/>
              </w:rPr>
              <w:t>Identify slippage and its effect on critical path and handover.</w:t>
            </w:r>
          </w:p>
        </w:tc>
      </w:tr>
      <w:tr w:rsidR="00363873" w14:paraId="7CD05BDB" w14:textId="77777777">
        <w:trPr>
          <w:cantSplit/>
          <w:jc w:val="center"/>
        </w:trPr>
        <w:tc>
          <w:tcPr>
            <w:tcW w:w="1800" w:type="dxa"/>
            <w:shd w:val="clear" w:color="auto" w:fill="F4F7FA"/>
            <w:tcMar>
              <w:top w:w="90" w:type="dxa"/>
              <w:left w:w="100" w:type="dxa"/>
              <w:bottom w:w="90" w:type="dxa"/>
              <w:right w:w="100" w:type="dxa"/>
            </w:tcMar>
            <w:vAlign w:val="center"/>
          </w:tcPr>
          <w:p w14:paraId="7F55250B" w14:textId="77777777" w:rsidR="00363873" w:rsidRDefault="00000000">
            <w:pPr>
              <w:spacing w:after="0"/>
            </w:pPr>
            <w:r>
              <w:rPr>
                <w:color w:val="28323C"/>
                <w:sz w:val="15"/>
              </w:rPr>
              <w:t>Cost overrun (%)</w:t>
            </w:r>
          </w:p>
        </w:tc>
        <w:tc>
          <w:tcPr>
            <w:tcW w:w="3816" w:type="dxa"/>
            <w:shd w:val="clear" w:color="auto" w:fill="F4F7FA"/>
            <w:tcMar>
              <w:top w:w="90" w:type="dxa"/>
              <w:left w:w="100" w:type="dxa"/>
              <w:bottom w:w="90" w:type="dxa"/>
              <w:right w:w="100" w:type="dxa"/>
            </w:tcMar>
            <w:vAlign w:val="center"/>
          </w:tcPr>
          <w:p w14:paraId="007B01FF" w14:textId="77777777" w:rsidR="00363873" w:rsidRDefault="00000000">
            <w:pPr>
              <w:spacing w:after="0"/>
            </w:pPr>
            <w:r>
              <w:rPr>
                <w:color w:val="28323C"/>
                <w:sz w:val="15"/>
              </w:rPr>
              <w:t>Percentage difference between final cost and planned budget in the Week 2 synthetic sample.</w:t>
            </w:r>
          </w:p>
        </w:tc>
        <w:tc>
          <w:tcPr>
            <w:tcW w:w="3312" w:type="dxa"/>
            <w:shd w:val="clear" w:color="auto" w:fill="F4F7FA"/>
            <w:tcMar>
              <w:top w:w="90" w:type="dxa"/>
              <w:left w:w="100" w:type="dxa"/>
              <w:bottom w:w="90" w:type="dxa"/>
              <w:right w:w="100" w:type="dxa"/>
            </w:tcMar>
            <w:vAlign w:val="center"/>
          </w:tcPr>
          <w:p w14:paraId="0A0855CD" w14:textId="77777777" w:rsidR="00363873" w:rsidRDefault="00000000">
            <w:pPr>
              <w:spacing w:after="0"/>
            </w:pPr>
            <w:r>
              <w:rPr>
                <w:color w:val="28323C"/>
                <w:sz w:val="15"/>
              </w:rPr>
              <w:t>Compare current forecast with approved baseline and understand change exposure.</w:t>
            </w:r>
          </w:p>
        </w:tc>
      </w:tr>
      <w:tr w:rsidR="00363873" w14:paraId="3BEC067A" w14:textId="77777777">
        <w:trPr>
          <w:cantSplit/>
          <w:jc w:val="center"/>
        </w:trPr>
        <w:tc>
          <w:tcPr>
            <w:tcW w:w="1800" w:type="dxa"/>
            <w:tcMar>
              <w:top w:w="90" w:type="dxa"/>
              <w:left w:w="100" w:type="dxa"/>
              <w:bottom w:w="90" w:type="dxa"/>
              <w:right w:w="100" w:type="dxa"/>
            </w:tcMar>
            <w:vAlign w:val="center"/>
          </w:tcPr>
          <w:p w14:paraId="6060E9B7" w14:textId="77777777" w:rsidR="00363873" w:rsidRDefault="00000000">
            <w:pPr>
              <w:spacing w:after="0"/>
            </w:pPr>
            <w:r>
              <w:rPr>
                <w:color w:val="28323C"/>
                <w:sz w:val="15"/>
              </w:rPr>
              <w:t>MAE</w:t>
            </w:r>
          </w:p>
        </w:tc>
        <w:tc>
          <w:tcPr>
            <w:tcW w:w="3816" w:type="dxa"/>
            <w:tcMar>
              <w:top w:w="90" w:type="dxa"/>
              <w:left w:w="100" w:type="dxa"/>
              <w:bottom w:w="90" w:type="dxa"/>
              <w:right w:w="100" w:type="dxa"/>
            </w:tcMar>
            <w:vAlign w:val="center"/>
          </w:tcPr>
          <w:p w14:paraId="00F2EB2C" w14:textId="77777777" w:rsidR="00363873" w:rsidRDefault="00000000">
            <w:pPr>
              <w:spacing w:after="0"/>
            </w:pPr>
            <w:r>
              <w:rPr>
                <w:color w:val="28323C"/>
                <w:sz w:val="15"/>
              </w:rPr>
              <w:t>Average absolute difference between predicted and observed values.</w:t>
            </w:r>
          </w:p>
        </w:tc>
        <w:tc>
          <w:tcPr>
            <w:tcW w:w="3312" w:type="dxa"/>
            <w:tcMar>
              <w:top w:w="90" w:type="dxa"/>
              <w:left w:w="100" w:type="dxa"/>
              <w:bottom w:w="90" w:type="dxa"/>
              <w:right w:w="100" w:type="dxa"/>
            </w:tcMar>
            <w:vAlign w:val="center"/>
          </w:tcPr>
          <w:p w14:paraId="0234BAB9" w14:textId="77777777" w:rsidR="00363873" w:rsidRDefault="00000000">
            <w:pPr>
              <w:spacing w:after="0"/>
            </w:pPr>
            <w:r>
              <w:rPr>
                <w:color w:val="28323C"/>
                <w:sz w:val="15"/>
              </w:rPr>
              <w:t>Express typical delay forecast error in days.</w:t>
            </w:r>
          </w:p>
        </w:tc>
      </w:tr>
      <w:tr w:rsidR="00363873" w14:paraId="79237294" w14:textId="77777777">
        <w:trPr>
          <w:cantSplit/>
          <w:jc w:val="center"/>
        </w:trPr>
        <w:tc>
          <w:tcPr>
            <w:tcW w:w="1800" w:type="dxa"/>
            <w:shd w:val="clear" w:color="auto" w:fill="F4F7FA"/>
            <w:tcMar>
              <w:top w:w="90" w:type="dxa"/>
              <w:left w:w="100" w:type="dxa"/>
              <w:bottom w:w="90" w:type="dxa"/>
              <w:right w:w="100" w:type="dxa"/>
            </w:tcMar>
            <w:vAlign w:val="center"/>
          </w:tcPr>
          <w:p w14:paraId="68C14F4B" w14:textId="77777777" w:rsidR="00363873" w:rsidRDefault="00000000">
            <w:pPr>
              <w:spacing w:after="0"/>
            </w:pPr>
            <w:r>
              <w:rPr>
                <w:color w:val="28323C"/>
                <w:sz w:val="15"/>
              </w:rPr>
              <w:t>RMSE</w:t>
            </w:r>
          </w:p>
        </w:tc>
        <w:tc>
          <w:tcPr>
            <w:tcW w:w="3816" w:type="dxa"/>
            <w:shd w:val="clear" w:color="auto" w:fill="F4F7FA"/>
            <w:tcMar>
              <w:top w:w="90" w:type="dxa"/>
              <w:left w:w="100" w:type="dxa"/>
              <w:bottom w:w="90" w:type="dxa"/>
              <w:right w:w="100" w:type="dxa"/>
            </w:tcMar>
            <w:vAlign w:val="center"/>
          </w:tcPr>
          <w:p w14:paraId="5B0BE116" w14:textId="77777777" w:rsidR="00363873" w:rsidRDefault="00000000">
            <w:pPr>
              <w:spacing w:after="0"/>
            </w:pPr>
            <w:r>
              <w:rPr>
                <w:color w:val="28323C"/>
                <w:sz w:val="15"/>
              </w:rPr>
              <w:t>Square root of average squared prediction error; larger errors receive more weight.</w:t>
            </w:r>
          </w:p>
        </w:tc>
        <w:tc>
          <w:tcPr>
            <w:tcW w:w="3312" w:type="dxa"/>
            <w:shd w:val="clear" w:color="auto" w:fill="F4F7FA"/>
            <w:tcMar>
              <w:top w:w="90" w:type="dxa"/>
              <w:left w:w="100" w:type="dxa"/>
              <w:bottom w:w="90" w:type="dxa"/>
              <w:right w:w="100" w:type="dxa"/>
            </w:tcMar>
            <w:vAlign w:val="center"/>
          </w:tcPr>
          <w:p w14:paraId="71C6F7F5" w14:textId="77777777" w:rsidR="00363873" w:rsidRDefault="00000000">
            <w:pPr>
              <w:spacing w:after="0"/>
            </w:pPr>
            <w:r>
              <w:rPr>
                <w:color w:val="28323C"/>
                <w:sz w:val="15"/>
              </w:rPr>
              <w:t>Understand whether some large forecast misses are occurring.</w:t>
            </w:r>
          </w:p>
        </w:tc>
      </w:tr>
      <w:tr w:rsidR="00363873" w14:paraId="31C27DB4" w14:textId="77777777">
        <w:trPr>
          <w:cantSplit/>
          <w:jc w:val="center"/>
        </w:trPr>
        <w:tc>
          <w:tcPr>
            <w:tcW w:w="1800" w:type="dxa"/>
            <w:tcMar>
              <w:top w:w="90" w:type="dxa"/>
              <w:left w:w="100" w:type="dxa"/>
              <w:bottom w:w="90" w:type="dxa"/>
              <w:right w:w="100" w:type="dxa"/>
            </w:tcMar>
            <w:vAlign w:val="center"/>
          </w:tcPr>
          <w:p w14:paraId="5FEF8C47" w14:textId="77777777" w:rsidR="00363873" w:rsidRDefault="00000000">
            <w:pPr>
              <w:spacing w:after="0"/>
            </w:pPr>
            <w:r>
              <w:rPr>
                <w:color w:val="28323C"/>
                <w:sz w:val="15"/>
              </w:rPr>
              <w:t>R²</w:t>
            </w:r>
          </w:p>
        </w:tc>
        <w:tc>
          <w:tcPr>
            <w:tcW w:w="3816" w:type="dxa"/>
            <w:tcMar>
              <w:top w:w="90" w:type="dxa"/>
              <w:left w:w="100" w:type="dxa"/>
              <w:bottom w:w="90" w:type="dxa"/>
              <w:right w:w="100" w:type="dxa"/>
            </w:tcMar>
            <w:vAlign w:val="center"/>
          </w:tcPr>
          <w:p w14:paraId="03E56B05" w14:textId="77777777" w:rsidR="00363873" w:rsidRDefault="00000000">
            <w:pPr>
              <w:spacing w:after="0"/>
            </w:pPr>
            <w:r>
              <w:rPr>
                <w:color w:val="28323C"/>
                <w:sz w:val="15"/>
              </w:rPr>
              <w:t>Fraction of target variation explained by a fitted model relative to a mean baseline, under the evaluation setup.</w:t>
            </w:r>
          </w:p>
        </w:tc>
        <w:tc>
          <w:tcPr>
            <w:tcW w:w="3312" w:type="dxa"/>
            <w:tcMar>
              <w:top w:w="90" w:type="dxa"/>
              <w:left w:w="100" w:type="dxa"/>
              <w:bottom w:w="90" w:type="dxa"/>
              <w:right w:w="100" w:type="dxa"/>
            </w:tcMar>
            <w:vAlign w:val="center"/>
          </w:tcPr>
          <w:p w14:paraId="13474F86" w14:textId="77777777" w:rsidR="00363873" w:rsidRDefault="00000000">
            <w:pPr>
              <w:spacing w:after="0"/>
            </w:pPr>
            <w:r>
              <w:rPr>
                <w:color w:val="28323C"/>
                <w:sz w:val="15"/>
              </w:rPr>
              <w:t>Compare baseline fit, not a guarantee of accuracy for an individual project.</w:t>
            </w:r>
          </w:p>
        </w:tc>
      </w:tr>
      <w:tr w:rsidR="00363873" w14:paraId="1A048CE7" w14:textId="77777777">
        <w:trPr>
          <w:cantSplit/>
          <w:jc w:val="center"/>
        </w:trPr>
        <w:tc>
          <w:tcPr>
            <w:tcW w:w="1800" w:type="dxa"/>
            <w:shd w:val="clear" w:color="auto" w:fill="F4F7FA"/>
            <w:tcMar>
              <w:top w:w="90" w:type="dxa"/>
              <w:left w:w="100" w:type="dxa"/>
              <w:bottom w:w="90" w:type="dxa"/>
              <w:right w:w="100" w:type="dxa"/>
            </w:tcMar>
            <w:vAlign w:val="center"/>
          </w:tcPr>
          <w:p w14:paraId="0D5D3ACF" w14:textId="77777777" w:rsidR="00363873" w:rsidRDefault="00000000">
            <w:pPr>
              <w:spacing w:after="0"/>
            </w:pPr>
            <w:r>
              <w:rPr>
                <w:color w:val="28323C"/>
                <w:sz w:val="15"/>
              </w:rPr>
              <w:t>Precision / recall</w:t>
            </w:r>
          </w:p>
        </w:tc>
        <w:tc>
          <w:tcPr>
            <w:tcW w:w="3816" w:type="dxa"/>
            <w:shd w:val="clear" w:color="auto" w:fill="F4F7FA"/>
            <w:tcMar>
              <w:top w:w="90" w:type="dxa"/>
              <w:left w:w="100" w:type="dxa"/>
              <w:bottom w:w="90" w:type="dxa"/>
              <w:right w:w="100" w:type="dxa"/>
            </w:tcMar>
            <w:vAlign w:val="center"/>
          </w:tcPr>
          <w:p w14:paraId="4CA5D790" w14:textId="77777777" w:rsidR="00363873" w:rsidRDefault="00000000">
            <w:pPr>
              <w:spacing w:after="0"/>
            </w:pPr>
            <w:r>
              <w:rPr>
                <w:color w:val="28323C"/>
                <w:sz w:val="15"/>
              </w:rPr>
              <w:t>Precision: share of predicted risk flags that are true; recall: share of actual risk cases detected.</w:t>
            </w:r>
          </w:p>
        </w:tc>
        <w:tc>
          <w:tcPr>
            <w:tcW w:w="3312" w:type="dxa"/>
            <w:shd w:val="clear" w:color="auto" w:fill="F4F7FA"/>
            <w:tcMar>
              <w:top w:w="90" w:type="dxa"/>
              <w:left w:w="100" w:type="dxa"/>
              <w:bottom w:w="90" w:type="dxa"/>
              <w:right w:w="100" w:type="dxa"/>
            </w:tcMar>
            <w:vAlign w:val="center"/>
          </w:tcPr>
          <w:p w14:paraId="114B8A47" w14:textId="77777777" w:rsidR="00363873" w:rsidRDefault="00000000">
            <w:pPr>
              <w:spacing w:after="0"/>
            </w:pPr>
            <w:r>
              <w:rPr>
                <w:color w:val="28323C"/>
                <w:sz w:val="15"/>
              </w:rPr>
              <w:t>Balance false alarms against missed high-risk cases.</w:t>
            </w:r>
          </w:p>
        </w:tc>
      </w:tr>
      <w:tr w:rsidR="00363873" w14:paraId="36827DB5" w14:textId="77777777">
        <w:trPr>
          <w:cantSplit/>
          <w:jc w:val="center"/>
        </w:trPr>
        <w:tc>
          <w:tcPr>
            <w:tcW w:w="1800" w:type="dxa"/>
            <w:tcMar>
              <w:top w:w="90" w:type="dxa"/>
              <w:left w:w="100" w:type="dxa"/>
              <w:bottom w:w="90" w:type="dxa"/>
              <w:right w:w="100" w:type="dxa"/>
            </w:tcMar>
            <w:vAlign w:val="center"/>
          </w:tcPr>
          <w:p w14:paraId="3B9E3BDB" w14:textId="77777777" w:rsidR="00363873" w:rsidRDefault="00000000">
            <w:pPr>
              <w:spacing w:after="0"/>
            </w:pPr>
            <w:r>
              <w:rPr>
                <w:color w:val="28323C"/>
                <w:sz w:val="15"/>
              </w:rPr>
              <w:t>ROC-AUC</w:t>
            </w:r>
          </w:p>
        </w:tc>
        <w:tc>
          <w:tcPr>
            <w:tcW w:w="3816" w:type="dxa"/>
            <w:tcMar>
              <w:top w:w="90" w:type="dxa"/>
              <w:left w:w="100" w:type="dxa"/>
              <w:bottom w:w="90" w:type="dxa"/>
              <w:right w:w="100" w:type="dxa"/>
            </w:tcMar>
            <w:vAlign w:val="center"/>
          </w:tcPr>
          <w:p w14:paraId="406B1467" w14:textId="77777777" w:rsidR="00363873" w:rsidRDefault="00000000">
            <w:pPr>
              <w:spacing w:after="0"/>
            </w:pPr>
            <w:r>
              <w:rPr>
                <w:color w:val="28323C"/>
                <w:sz w:val="15"/>
              </w:rPr>
              <w:t>Measures how well a classifier ranks positive cases above negative cases across thresholds.</w:t>
            </w:r>
          </w:p>
        </w:tc>
        <w:tc>
          <w:tcPr>
            <w:tcW w:w="3312" w:type="dxa"/>
            <w:tcMar>
              <w:top w:w="90" w:type="dxa"/>
              <w:left w:w="100" w:type="dxa"/>
              <w:bottom w:w="90" w:type="dxa"/>
              <w:right w:w="100" w:type="dxa"/>
            </w:tcMar>
            <w:vAlign w:val="center"/>
          </w:tcPr>
          <w:p w14:paraId="66FA9712" w14:textId="77777777" w:rsidR="00363873" w:rsidRDefault="00000000">
            <w:pPr>
              <w:spacing w:after="0"/>
            </w:pPr>
            <w:r>
              <w:rPr>
                <w:color w:val="28323C"/>
                <w:sz w:val="15"/>
              </w:rPr>
              <w:t>Compare ranking ability; it does not choose the operational threshold.</w:t>
            </w:r>
          </w:p>
        </w:tc>
      </w:tr>
    </w:tbl>
    <w:p w14:paraId="471D5F5F" w14:textId="77777777" w:rsidR="00363873" w:rsidRDefault="00363873">
      <w:pPr>
        <w:spacing w:after="20"/>
      </w:pPr>
    </w:p>
    <w:p w14:paraId="4CE09873" w14:textId="77777777" w:rsidR="00363873" w:rsidRDefault="00000000">
      <w:r>
        <w:rPr>
          <w:i/>
          <w:color w:val="5B6573"/>
          <w:sz w:val="17"/>
        </w:rPr>
        <w:t>Prepared from the project files generated for Weeks 1-3. No external operational dataset was introduced into this final synthesis.</w:t>
      </w:r>
    </w:p>
    <w:sectPr w:rsidR="00363873" w:rsidSect="00034616">
      <w:headerReference w:type="default" r:id="rId15"/>
      <w:footerReference w:type="default" r:id="rId16"/>
      <w:pgSz w:w="12240" w:h="15840"/>
      <w:pgMar w:top="979" w:right="1123" w:bottom="979"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291FA" w14:textId="77777777" w:rsidR="00013139" w:rsidRDefault="00013139">
      <w:pPr>
        <w:spacing w:after="0" w:line="240" w:lineRule="auto"/>
      </w:pPr>
      <w:r>
        <w:separator/>
      </w:r>
    </w:p>
  </w:endnote>
  <w:endnote w:type="continuationSeparator" w:id="0">
    <w:p w14:paraId="7AF64C41" w14:textId="77777777" w:rsidR="00013139" w:rsidRDefault="00013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B7AF" w14:textId="77777777" w:rsidR="00363873" w:rsidRDefault="00000000">
    <w:pPr>
      <w:pStyle w:val="Footer"/>
      <w:jc w:val="right"/>
    </w:pPr>
    <w:r>
      <w:rPr>
        <w:color w:val="5B6573"/>
        <w:sz w:val="16"/>
      </w:rPr>
      <w:t xml:space="preserve">Synthetic-data portfolio </w:t>
    </w:r>
    <w:proofErr w:type="gramStart"/>
    <w:r>
      <w:rPr>
        <w:color w:val="5B6573"/>
        <w:sz w:val="16"/>
      </w:rPr>
      <w:t>exercise  |</w:t>
    </w:r>
    <w:proofErr w:type="gramEnd"/>
    <w:r>
      <w:rPr>
        <w:color w:val="5B6573"/>
        <w:sz w:val="16"/>
      </w:rPr>
      <w:t xml:space="preserve">  </w:t>
    </w:r>
    <w:r>
      <w:t xml:space="preserve">Page </w:t>
    </w:r>
    <w:r>
      <w:fldChar w:fldCharType="begin"/>
    </w:r>
    <w:r>
      <w:instrText xml:space="preserve"> PAGE </w:instrText>
    </w:r>
    <w:r w:rsidR="00A60B24">
      <w:fldChar w:fldCharType="separate"/>
    </w:r>
    <w:r w:rsidR="00A60B2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E21A6" w14:textId="77777777" w:rsidR="00013139" w:rsidRDefault="00013139">
      <w:pPr>
        <w:spacing w:after="0" w:line="240" w:lineRule="auto"/>
      </w:pPr>
      <w:r>
        <w:separator/>
      </w:r>
    </w:p>
  </w:footnote>
  <w:footnote w:type="continuationSeparator" w:id="0">
    <w:p w14:paraId="2640C458" w14:textId="77777777" w:rsidR="00013139" w:rsidRDefault="00013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CCBF6" w14:textId="77777777" w:rsidR="00363873" w:rsidRDefault="00000000">
    <w:pPr>
      <w:pStyle w:val="Header"/>
    </w:pPr>
    <w:r>
      <w:rPr>
        <w:b/>
        <w:color w:val="2E75B6"/>
        <w:sz w:val="16"/>
      </w:rPr>
      <w:t xml:space="preserve">CONSTRUCTION PROJECT DATA </w:t>
    </w:r>
    <w:proofErr w:type="gramStart"/>
    <w:r>
      <w:rPr>
        <w:b/>
        <w:color w:val="2E75B6"/>
        <w:sz w:val="16"/>
      </w:rPr>
      <w:t>SCIENCE  |</w:t>
    </w:r>
    <w:proofErr w:type="gramEnd"/>
    <w:r>
      <w:rPr>
        <w:b/>
        <w:color w:val="2E75B6"/>
        <w:sz w:val="16"/>
      </w:rPr>
      <w:t xml:space="preserve">  WEEK 4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827091">
    <w:abstractNumId w:val="8"/>
  </w:num>
  <w:num w:numId="2" w16cid:durableId="1663923790">
    <w:abstractNumId w:val="6"/>
  </w:num>
  <w:num w:numId="3" w16cid:durableId="506796309">
    <w:abstractNumId w:val="5"/>
  </w:num>
  <w:num w:numId="4" w16cid:durableId="1068457542">
    <w:abstractNumId w:val="4"/>
  </w:num>
  <w:num w:numId="5" w16cid:durableId="966163870">
    <w:abstractNumId w:val="7"/>
  </w:num>
  <w:num w:numId="6" w16cid:durableId="2083406329">
    <w:abstractNumId w:val="3"/>
  </w:num>
  <w:num w:numId="7" w16cid:durableId="431169669">
    <w:abstractNumId w:val="2"/>
  </w:num>
  <w:num w:numId="8" w16cid:durableId="1421219891">
    <w:abstractNumId w:val="1"/>
  </w:num>
  <w:num w:numId="9" w16cid:durableId="1668244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39"/>
    <w:rsid w:val="00034616"/>
    <w:rsid w:val="00037D38"/>
    <w:rsid w:val="0006063C"/>
    <w:rsid w:val="0015074B"/>
    <w:rsid w:val="0029639D"/>
    <w:rsid w:val="002C2CBF"/>
    <w:rsid w:val="00326F90"/>
    <w:rsid w:val="00363873"/>
    <w:rsid w:val="00A60B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B2FA9"/>
  <w14:defaultImageDpi w14:val="300"/>
  <w15:docId w15:val="{C44C00CE-E40A-4A5C-8812-C20AAB945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A323C"/>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A9D8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2745</Words>
  <Characters>15651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YADAV</cp:lastModifiedBy>
  <cp:revision>2</cp:revision>
  <dcterms:created xsi:type="dcterms:W3CDTF">2013-12-23T23:15:00Z</dcterms:created>
  <dcterms:modified xsi:type="dcterms:W3CDTF">2026-10-18T06:45:00Z</dcterms:modified>
  <cp:category/>
</cp:coreProperties>
</file>