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40"/>
      </w:pPr>
      <w:r>
        <w:rPr>
          <w:rFonts w:ascii="Arial" w:hAnsi="Arial"/>
          <w:b/>
          <w:color w:val="008C95"/>
          <w:sz w:val="19"/>
        </w:rPr>
        <w:t>WEEK 03  /  DATA ANALYSIS &amp; VISUALIZATION</w:t>
      </w:r>
    </w:p>
    <w:p>
      <w:pPr>
        <w:spacing w:before="160" w:after="200" w:line="240" w:lineRule="auto"/>
      </w:pPr>
      <w:r>
        <w:rPr>
          <w:rFonts w:ascii="Arial" w:hAnsi="Arial"/>
          <w:b/>
          <w:color w:val="17365D"/>
          <w:sz w:val="58"/>
        </w:rPr>
        <w:t>Advanced Data Analysis</w:t>
        <w:br/>
        <w:t>and Visualization in Logistics</w:t>
      </w:r>
    </w:p>
    <w:p>
      <w:pPr>
        <w:spacing w:after="400" w:line="269" w:lineRule="auto"/>
      </w:pPr>
      <w:r>
        <w:rPr>
          <w:rFonts w:ascii="Arial" w:hAnsi="Arial"/>
          <w:color w:val="687782"/>
          <w:sz w:val="28"/>
        </w:rPr>
        <w:t>An exploratory data analysis project using Python, pandas, Matplotlib and Seaborn</w:t>
      </w:r>
    </w:p>
    <w:p>
      <w:pPr>
        <w:spacing w:after="360"/>
        <w:pBdr>
          <w:bottom w:val="single" w:sz="18" w:space="1" w:color="008C95"/>
        </w:pBdr>
      </w:pPr>
    </w:p>
    <w:tbl>
      <w:tblPr>
        <w:tblW w:type="auto" w:w="0"/>
        <w:jc w:val="left"/>
        <w:tblLayout w:type="fixed"/>
        <w:tblLook w:firstColumn="1" w:firstRow="1" w:lastColumn="0" w:lastRow="0" w:noHBand="0" w:noVBand="1" w:val="04A0"/>
        <w:tblBorders>
          <w:top w:val="single" w:sz="4" w:space="0" w:color="D8E1EA"/>
          <w:left w:val="single" w:sz="4" w:space="0" w:color="D8E1EA"/>
          <w:bottom w:val="single" w:sz="4" w:space="0" w:color="D8E1EA"/>
          <w:right w:val="single" w:sz="4" w:space="0" w:color="D8E1EA"/>
          <w:insideH w:val="single" w:sz="4" w:space="0" w:color="D8E1EA"/>
          <w:insideV w:val="single" w:sz="4" w:space="0" w:color="D8E1EA"/>
        </w:tblBorders>
      </w:tblPr>
      <w:tblGrid>
        <w:gridCol w:w="4917"/>
        <w:gridCol w:w="4917"/>
      </w:tblGrid>
      <w:tr>
        <w:trPr>
          <w:cantSplit/>
        </w:trPr>
        <w:tc>
          <w:tcPr>
            <w:tcW w:type="dxa" w:w="2520"/>
            <w:vAlign w:val="center"/>
            <w:tcMar>
              <w:top w:w="80" w:type="dxa"/>
              <w:start w:w="100" w:type="dxa"/>
              <w:bottom w:w="80" w:type="dxa"/>
              <w:end w:w="100" w:type="dxa"/>
            </w:tcMar>
            <w:shd w:fill="EEF4F8"/>
          </w:tcPr>
          <w:p>
            <w:pPr>
              <w:spacing w:after="0" w:before="0" w:line="252" w:lineRule="auto"/>
            </w:pPr>
            <w:r/>
            <w:r>
              <w:rPr>
                <w:rFonts w:ascii="Arial" w:hAnsi="Arial"/>
                <w:b/>
                <w:color w:val="17365D"/>
                <w:sz w:val="18"/>
              </w:rPr>
              <w:t>Prepared by</w:t>
            </w:r>
          </w:p>
        </w:tc>
        <w:tc>
          <w:tcPr>
            <w:tcW w:type="dxa" w:w="6912"/>
            <w:vAlign w:val="center"/>
            <w:tcMar>
              <w:top w:w="80" w:type="dxa"/>
              <w:start w:w="100" w:type="dxa"/>
              <w:bottom w:w="80" w:type="dxa"/>
              <w:end w:w="100" w:type="dxa"/>
            </w:tcMar>
          </w:tcPr>
          <w:p>
            <w:pPr>
              <w:spacing w:after="0" w:before="0" w:line="252" w:lineRule="auto"/>
            </w:pPr>
            <w:r/>
            <w:r>
              <w:rPr>
                <w:rFonts w:ascii="Arial" w:hAnsi="Arial"/>
                <w:b w:val="0"/>
                <w:color w:val="243746"/>
                <w:sz w:val="18"/>
              </w:rPr>
              <w:t>Aman Yadav</w:t>
            </w:r>
          </w:p>
        </w:tc>
      </w:tr>
      <w:tr>
        <w:trPr>
          <w:cantSplit/>
        </w:trPr>
        <w:tc>
          <w:tcPr>
            <w:tcW w:type="dxa" w:w="2520"/>
            <w:vAlign w:val="center"/>
            <w:tcMar>
              <w:top w:w="80" w:type="dxa"/>
              <w:start w:w="100" w:type="dxa"/>
              <w:bottom w:w="80" w:type="dxa"/>
              <w:end w:w="100" w:type="dxa"/>
            </w:tcMar>
            <w:shd w:fill="EEF4F8"/>
          </w:tcPr>
          <w:p>
            <w:pPr>
              <w:spacing w:after="0" w:before="0" w:line="252" w:lineRule="auto"/>
            </w:pPr>
            <w:r/>
            <w:r>
              <w:rPr>
                <w:rFonts w:ascii="Arial" w:hAnsi="Arial"/>
                <w:b/>
                <w:color w:val="17365D"/>
                <w:sz w:val="18"/>
              </w:rPr>
              <w:t>Programme</w:t>
            </w:r>
          </w:p>
        </w:tc>
        <w:tc>
          <w:tcPr>
            <w:tcW w:type="dxa" w:w="6912"/>
            <w:vAlign w:val="center"/>
            <w:tcMar>
              <w:top w:w="80" w:type="dxa"/>
              <w:start w:w="100" w:type="dxa"/>
              <w:bottom w:w="80" w:type="dxa"/>
              <w:end w:w="100" w:type="dxa"/>
            </w:tcMar>
          </w:tcPr>
          <w:p>
            <w:pPr>
              <w:spacing w:after="0" w:before="0" w:line="252" w:lineRule="auto"/>
            </w:pPr>
            <w:r/>
            <w:r>
              <w:rPr>
                <w:rFonts w:ascii="Arial" w:hAnsi="Arial"/>
                <w:b w:val="0"/>
                <w:color w:val="243746"/>
                <w:sz w:val="18"/>
              </w:rPr>
              <w:t>YuvaIntern — Logistics Data Analyst Intern</w:t>
            </w:r>
          </w:p>
        </w:tc>
      </w:tr>
      <w:tr>
        <w:trPr>
          <w:cantSplit/>
        </w:trPr>
        <w:tc>
          <w:tcPr>
            <w:tcW w:type="dxa" w:w="2520"/>
            <w:vAlign w:val="center"/>
            <w:tcMar>
              <w:top w:w="80" w:type="dxa"/>
              <w:start w:w="100" w:type="dxa"/>
              <w:bottom w:w="80" w:type="dxa"/>
              <w:end w:w="100" w:type="dxa"/>
            </w:tcMar>
            <w:shd w:fill="EEF4F8"/>
          </w:tcPr>
          <w:p>
            <w:pPr>
              <w:spacing w:after="0" w:before="0" w:line="252" w:lineRule="auto"/>
            </w:pPr>
            <w:r/>
            <w:r>
              <w:rPr>
                <w:rFonts w:ascii="Arial" w:hAnsi="Arial"/>
                <w:b/>
                <w:color w:val="17365D"/>
                <w:sz w:val="18"/>
              </w:rPr>
              <w:t>Analysis dataset</w:t>
            </w:r>
          </w:p>
        </w:tc>
        <w:tc>
          <w:tcPr>
            <w:tcW w:type="dxa" w:w="6912"/>
            <w:vAlign w:val="center"/>
            <w:tcMar>
              <w:top w:w="80" w:type="dxa"/>
              <w:start w:w="100" w:type="dxa"/>
              <w:bottom w:w="80" w:type="dxa"/>
              <w:end w:w="100" w:type="dxa"/>
            </w:tcMar>
          </w:tcPr>
          <w:p>
            <w:pPr>
              <w:spacing w:after="0" w:before="0" w:line="252" w:lineRule="auto"/>
            </w:pPr>
            <w:r/>
            <w:r>
              <w:rPr>
                <w:rFonts w:ascii="Arial" w:hAnsi="Arial"/>
                <w:b w:val="0"/>
                <w:color w:val="243746"/>
                <w:sz w:val="18"/>
              </w:rPr>
              <w:t>300 synthetic shipment records</w:t>
            </w:r>
          </w:p>
        </w:tc>
      </w:tr>
      <w:tr>
        <w:trPr>
          <w:cantSplit/>
        </w:trPr>
        <w:tc>
          <w:tcPr>
            <w:tcW w:type="dxa" w:w="2520"/>
            <w:vAlign w:val="center"/>
            <w:tcMar>
              <w:top w:w="80" w:type="dxa"/>
              <w:start w:w="100" w:type="dxa"/>
              <w:bottom w:w="80" w:type="dxa"/>
              <w:end w:w="100" w:type="dxa"/>
            </w:tcMar>
            <w:shd w:fill="EEF4F8"/>
          </w:tcPr>
          <w:p>
            <w:pPr>
              <w:spacing w:after="0" w:before="0" w:line="252" w:lineRule="auto"/>
            </w:pPr>
            <w:r/>
            <w:r>
              <w:rPr>
                <w:rFonts w:ascii="Arial" w:hAnsi="Arial"/>
                <w:b/>
                <w:color w:val="17365D"/>
                <w:sz w:val="18"/>
              </w:rPr>
              <w:t>Simulated order window</w:t>
            </w:r>
          </w:p>
        </w:tc>
        <w:tc>
          <w:tcPr>
            <w:tcW w:type="dxa" w:w="6912"/>
            <w:vAlign w:val="center"/>
            <w:tcMar>
              <w:top w:w="80" w:type="dxa"/>
              <w:start w:w="100" w:type="dxa"/>
              <w:bottom w:w="80" w:type="dxa"/>
              <w:end w:w="100" w:type="dxa"/>
            </w:tcMar>
          </w:tcPr>
          <w:p>
            <w:pPr>
              <w:spacing w:after="0" w:before="0" w:line="252" w:lineRule="auto"/>
            </w:pPr>
            <w:r/>
            <w:r>
              <w:rPr>
                <w:rFonts w:ascii="Arial" w:hAnsi="Arial"/>
                <w:b w:val="0"/>
                <w:color w:val="243746"/>
                <w:sz w:val="18"/>
              </w:rPr>
              <w:t>1 July–30 September 2026</w:t>
            </w:r>
          </w:p>
        </w:tc>
      </w:tr>
      <w:tr>
        <w:trPr>
          <w:cantSplit/>
        </w:trPr>
        <w:tc>
          <w:tcPr>
            <w:tcW w:type="dxa" w:w="2520"/>
            <w:vAlign w:val="center"/>
            <w:tcMar>
              <w:top w:w="80" w:type="dxa"/>
              <w:start w:w="100" w:type="dxa"/>
              <w:bottom w:w="80" w:type="dxa"/>
              <w:end w:w="100" w:type="dxa"/>
            </w:tcMar>
            <w:shd w:fill="EEF4F8"/>
          </w:tcPr>
          <w:p>
            <w:pPr>
              <w:spacing w:after="0" w:before="0" w:line="252" w:lineRule="auto"/>
            </w:pPr>
            <w:r/>
            <w:r>
              <w:rPr>
                <w:rFonts w:ascii="Arial" w:hAnsi="Arial"/>
                <w:b/>
                <w:color w:val="17365D"/>
                <w:sz w:val="18"/>
              </w:rPr>
              <w:t>Report date</w:t>
            </w:r>
          </w:p>
        </w:tc>
        <w:tc>
          <w:tcPr>
            <w:tcW w:type="dxa" w:w="6912"/>
            <w:vAlign w:val="center"/>
            <w:tcMar>
              <w:top w:w="80" w:type="dxa"/>
              <w:start w:w="100" w:type="dxa"/>
              <w:bottom w:w="80" w:type="dxa"/>
              <w:end w:w="100" w:type="dxa"/>
            </w:tcMar>
          </w:tcPr>
          <w:p>
            <w:pPr>
              <w:spacing w:after="0" w:before="0" w:line="252" w:lineRule="auto"/>
            </w:pPr>
            <w:r/>
            <w:r>
              <w:rPr>
                <w:rFonts w:ascii="Arial" w:hAnsi="Arial"/>
                <w:b w:val="0"/>
                <w:color w:val="243746"/>
                <w:sz w:val="18"/>
              </w:rPr>
              <w:t>16 October 2026</w:t>
            </w:r>
          </w:p>
        </w:tc>
      </w:tr>
    </w:tbl>
    <w:p>
      <w:pPr>
        <w:spacing w:after="240"/>
      </w:pPr>
    </w:p>
    <w:tbl>
      <w:tblPr>
        <w:tblW w:type="auto" w:w="0"/>
        <w:jc w:val="center"/>
        <w:tblLayout w:type="fixed"/>
        <w:tblLook w:firstColumn="1" w:firstRow="1" w:lastColumn="0" w:lastRow="0" w:noHBand="0" w:noVBand="1" w:val="04A0"/>
        <w:tblBorders>
          <w:top w:val="single" w:sz="4" w:space="0" w:color="C5D7E5"/>
          <w:left w:val="single" w:sz="4" w:space="0" w:color="C5D7E5"/>
          <w:bottom w:val="single" w:sz="4" w:space="0" w:color="C5D7E5"/>
          <w:right w:val="single" w:sz="4" w:space="0" w:color="C5D7E5"/>
          <w:insideH w:val="single" w:sz="4" w:space="0" w:color="C5D7E5"/>
          <w:insideV w:val="single" w:sz="4" w:space="0" w:color="C5D7E5"/>
        </w:tblBorders>
      </w:tblPr>
      <w:tblGrid>
        <w:gridCol w:w="9835"/>
      </w:tblGrid>
      <w:tr>
        <w:tc>
          <w:tcPr>
            <w:tcW w:type="dxa" w:w="9835"/>
            <w:shd w:fill="EAF3F8"/>
            <w:tcMar>
              <w:top w:w="120" w:type="dxa"/>
              <w:start w:w="150" w:type="dxa"/>
              <w:bottom w:w="120" w:type="dxa"/>
              <w:end w:w="150" w:type="dxa"/>
            </w:tcMar>
          </w:tcPr>
          <w:p>
            <w:pPr>
              <w:spacing w:after="40"/>
            </w:pPr>
            <w:r/>
            <w:r>
              <w:rPr>
                <w:rFonts w:ascii="Arial" w:hAnsi="Arial"/>
                <w:b/>
                <w:color w:val="17365D"/>
                <w:sz w:val="18"/>
              </w:rPr>
              <w:t>DATA TRANSPARENCY NOTE</w:t>
            </w:r>
          </w:p>
          <w:p>
            <w:pPr>
              <w:spacing w:after="0" w:line="259" w:lineRule="auto"/>
            </w:pPr>
            <w:r>
              <w:rPr>
                <w:rFonts w:ascii="Arial" w:hAnsi="Arial"/>
                <w:color w:val="243746"/>
                <w:sz w:val="17"/>
              </w:rPr>
              <w:t>This report analyses a reproducibly generated hypothetical dataset. All shipment records, costs, delivery times, regional comparisons, charts and numeric findings are synthetic teaching outputs, not observations from a real company. A public dataset and logistics performance research are referenced for context only.</w:t>
            </w:r>
          </w:p>
        </w:tc>
      </w:tr>
    </w:tbl>
    <w:p>
      <w:pPr>
        <w:spacing w:after="0"/>
      </w:pPr>
    </w:p>
    <w:p>
      <w:pPr>
        <w:spacing w:before="600" w:after="0"/>
      </w:pPr>
      <w:r>
        <w:rPr>
          <w:rFonts w:ascii="Arial" w:hAnsi="Arial"/>
          <w:color w:val="687782"/>
          <w:sz w:val="18"/>
        </w:rPr>
        <w:t>Portfolio project • Reproducible analysis • No real customer or courier records</w:t>
      </w:r>
    </w:p>
    <w:p>
      <w:r>
        <w:br w:type="page"/>
      </w:r>
    </w:p>
    <w:p>
      <w:pPr>
        <w:spacing w:before="0" w:after="60"/>
      </w:pPr>
      <w:r>
        <w:rPr>
          <w:rFonts w:ascii="Arial" w:hAnsi="Arial"/>
          <w:b/>
          <w:color w:val="008C95"/>
          <w:sz w:val="16"/>
        </w:rPr>
        <w:t>01 / OVERVIEW</w:t>
      </w:r>
    </w:p>
    <w:p>
      <w:pPr>
        <w:pStyle w:val="Heading1"/>
      </w:pPr>
      <w:r>
        <w:t>Executive Summary</w:t>
      </w:r>
    </w:p>
    <w:p>
      <w:pPr>
        <w:spacing w:after="100" w:before="0" w:line="269" w:lineRule="auto"/>
      </w:pPr>
      <w:r>
        <w:rPr>
          <w:i w:val="0"/>
        </w:rPr>
        <w:t>This task applies exploratory data analysis (EDA) to a hypothetical logistics operation. A deterministic generator creates 300 synthetic shipments with order and promise timestamps, actual delivery timestamps, distance, weight, package volume, transportation cost, vehicle type, region and first-attempt outcome. Python is used to validate the analytical fields, calculate descriptive statistics and grouped KPIs, inspect pairwise correlations, and produce seven visualizations.</w:t>
      </w:r>
    </w:p>
    <w:p>
      <w:pPr>
        <w:spacing w:after="100" w:before="0" w:line="269" w:lineRule="auto"/>
      </w:pPr>
      <w:r>
        <w:rPr>
          <w:i w:val="0"/>
        </w:rPr>
        <w:t>In this simulated sample, 63.3% of shipments are on time, mean order-to-delivery time is 10.05 hours, median delivery time is 8.07 hours, and mean transport cost is INR 1,681.51 per shipment. The East region has the lowest simulated on-time rate (40.0%) and the highest average delay (1.18 hours late), while South has the highest on-time rate (76.4%). These are findings about the generated sample only, not estimates of performance for any actual logistics company.</w:t>
      </w:r>
    </w:p>
    <w:tbl>
      <w:tblPr>
        <w:tblW w:type="auto" w:w="0"/>
        <w:jc w:val="center"/>
        <w:tblLayout w:type="fixed"/>
        <w:tblLook w:firstColumn="1" w:firstRow="1" w:lastColumn="0" w:lastRow="0" w:noHBand="0" w:noVBand="1" w:val="04A0"/>
        <w:tblBorders>
          <w:top w:val="single" w:sz="4" w:space="0" w:color="D8E1EA"/>
          <w:left w:val="single" w:sz="4" w:space="0" w:color="D8E1EA"/>
          <w:bottom w:val="single" w:sz="4" w:space="0" w:color="D8E1EA"/>
          <w:right w:val="single" w:sz="4" w:space="0" w:color="D8E1EA"/>
          <w:insideH w:val="single" w:sz="4" w:space="0" w:color="D8E1EA"/>
          <w:insideV w:val="single" w:sz="4" w:space="0" w:color="D8E1EA"/>
        </w:tblBorders>
      </w:tblPr>
      <w:tblGrid>
        <w:gridCol w:w="3278"/>
        <w:gridCol w:w="3278"/>
        <w:gridCol w:w="3278"/>
      </w:tblGrid>
      <w:tr>
        <w:tc>
          <w:tcPr>
            <w:tcW w:type="dxa" w:w="3096"/>
            <w:shd w:fill="E2F3F2"/>
            <w:tcMar>
              <w:top w:w="140" w:type="dxa"/>
              <w:start w:w="120" w:type="dxa"/>
              <w:bottom w:w="140" w:type="dxa"/>
              <w:end w:w="120" w:type="dxa"/>
            </w:tcMar>
          </w:tcPr>
          <w:p>
            <w:pPr>
              <w:spacing w:after="80"/>
              <w:jc w:val="center"/>
            </w:pPr>
            <w:r/>
            <w:r>
              <w:rPr>
                <w:rFonts w:ascii="Arial" w:hAnsi="Arial"/>
                <w:b/>
                <w:color w:val="008C95"/>
                <w:sz w:val="15"/>
              </w:rPr>
              <w:t>SHIPMENTS</w:t>
            </w:r>
          </w:p>
          <w:p>
            <w:pPr>
              <w:spacing w:after="0"/>
              <w:jc w:val="center"/>
            </w:pPr>
            <w:r>
              <w:rPr>
                <w:rFonts w:ascii="Arial" w:hAnsi="Arial"/>
                <w:b/>
                <w:color w:val="17365D"/>
                <w:sz w:val="28"/>
              </w:rPr>
              <w:t>300</w:t>
            </w:r>
          </w:p>
        </w:tc>
        <w:tc>
          <w:tcPr>
            <w:tcW w:type="dxa" w:w="3096"/>
            <w:shd w:fill="EEF4F8"/>
            <w:tcMar>
              <w:top w:w="140" w:type="dxa"/>
              <w:start w:w="120" w:type="dxa"/>
              <w:bottom w:w="140" w:type="dxa"/>
              <w:end w:w="120" w:type="dxa"/>
            </w:tcMar>
          </w:tcPr>
          <w:p>
            <w:pPr>
              <w:spacing w:after="80"/>
              <w:jc w:val="center"/>
            </w:pPr>
            <w:r/>
            <w:r>
              <w:rPr>
                <w:rFonts w:ascii="Arial" w:hAnsi="Arial"/>
                <w:b/>
                <w:color w:val="008C95"/>
                <w:sz w:val="15"/>
              </w:rPr>
              <w:t>ON-TIME RATE</w:t>
            </w:r>
          </w:p>
          <w:p>
            <w:pPr>
              <w:spacing w:after="0"/>
              <w:jc w:val="center"/>
            </w:pPr>
            <w:r>
              <w:rPr>
                <w:rFonts w:ascii="Arial" w:hAnsi="Arial"/>
                <w:b/>
                <w:color w:val="17365D"/>
                <w:sz w:val="28"/>
              </w:rPr>
              <w:t>63.3%</w:t>
            </w:r>
          </w:p>
        </w:tc>
        <w:tc>
          <w:tcPr>
            <w:tcW w:type="dxa" w:w="3096"/>
            <w:shd w:fill="E2F3F2"/>
            <w:tcMar>
              <w:top w:w="140" w:type="dxa"/>
              <w:start w:w="120" w:type="dxa"/>
              <w:bottom w:w="140" w:type="dxa"/>
              <w:end w:w="120" w:type="dxa"/>
            </w:tcMar>
          </w:tcPr>
          <w:p>
            <w:pPr>
              <w:spacing w:after="80"/>
              <w:jc w:val="center"/>
            </w:pPr>
            <w:r/>
            <w:r>
              <w:rPr>
                <w:rFonts w:ascii="Arial" w:hAnsi="Arial"/>
                <w:b/>
                <w:color w:val="008C95"/>
                <w:sz w:val="15"/>
              </w:rPr>
              <w:t>MEAN DELIVERY</w:t>
            </w:r>
          </w:p>
          <w:p>
            <w:pPr>
              <w:spacing w:after="0"/>
              <w:jc w:val="center"/>
            </w:pPr>
            <w:r>
              <w:rPr>
                <w:rFonts w:ascii="Arial" w:hAnsi="Arial"/>
                <w:b/>
                <w:color w:val="17365D"/>
                <w:sz w:val="28"/>
              </w:rPr>
              <w:t>10.05 h</w:t>
            </w:r>
          </w:p>
        </w:tc>
      </w:tr>
      <w:tr>
        <w:tc>
          <w:tcPr>
            <w:tcW w:type="dxa" w:w="3096"/>
            <w:shd w:fill="EEF4F8"/>
            <w:tcMar>
              <w:top w:w="140" w:type="dxa"/>
              <w:start w:w="120" w:type="dxa"/>
              <w:bottom w:w="140" w:type="dxa"/>
              <w:end w:w="120" w:type="dxa"/>
            </w:tcMar>
          </w:tcPr>
          <w:p>
            <w:pPr>
              <w:spacing w:after="80"/>
              <w:jc w:val="center"/>
            </w:pPr>
            <w:r/>
            <w:r>
              <w:rPr>
                <w:rFonts w:ascii="Arial" w:hAnsi="Arial"/>
                <w:b/>
                <w:color w:val="008C95"/>
                <w:sz w:val="15"/>
              </w:rPr>
              <w:t>MEDIAN DELIVERY</w:t>
            </w:r>
          </w:p>
          <w:p>
            <w:pPr>
              <w:spacing w:after="0"/>
              <w:jc w:val="center"/>
            </w:pPr>
            <w:r>
              <w:rPr>
                <w:rFonts w:ascii="Arial" w:hAnsi="Arial"/>
                <w:b/>
                <w:color w:val="17365D"/>
                <w:sz w:val="28"/>
              </w:rPr>
              <w:t>8.07 h</w:t>
            </w:r>
          </w:p>
        </w:tc>
        <w:tc>
          <w:tcPr>
            <w:tcW w:type="dxa" w:w="3096"/>
            <w:shd w:fill="E2F3F2"/>
            <w:tcMar>
              <w:top w:w="140" w:type="dxa"/>
              <w:start w:w="120" w:type="dxa"/>
              <w:bottom w:w="140" w:type="dxa"/>
              <w:end w:w="120" w:type="dxa"/>
            </w:tcMar>
          </w:tcPr>
          <w:p>
            <w:pPr>
              <w:spacing w:after="80"/>
              <w:jc w:val="center"/>
            </w:pPr>
            <w:r/>
            <w:r>
              <w:rPr>
                <w:rFonts w:ascii="Arial" w:hAnsi="Arial"/>
                <w:b/>
                <w:color w:val="008C95"/>
                <w:sz w:val="15"/>
              </w:rPr>
              <w:t>MEAN COST</w:t>
            </w:r>
          </w:p>
          <w:p>
            <w:pPr>
              <w:spacing w:after="0"/>
              <w:jc w:val="center"/>
            </w:pPr>
            <w:r>
              <w:rPr>
                <w:rFonts w:ascii="Arial" w:hAnsi="Arial"/>
                <w:b/>
                <w:color w:val="17365D"/>
                <w:sz w:val="28"/>
              </w:rPr>
              <w:t>INR 1,681.51</w:t>
            </w:r>
          </w:p>
        </w:tc>
        <w:tc>
          <w:tcPr>
            <w:tcW w:type="dxa" w:w="3096"/>
            <w:shd w:fill="EEF4F8"/>
            <w:tcMar>
              <w:top w:w="140" w:type="dxa"/>
              <w:start w:w="120" w:type="dxa"/>
              <w:bottom w:w="140" w:type="dxa"/>
              <w:end w:w="120" w:type="dxa"/>
            </w:tcMar>
          </w:tcPr>
          <w:p>
            <w:pPr>
              <w:spacing w:after="80"/>
              <w:jc w:val="center"/>
            </w:pPr>
            <w:r/>
            <w:r>
              <w:rPr>
                <w:rFonts w:ascii="Arial" w:hAnsi="Arial"/>
                <w:b/>
                <w:color w:val="008C95"/>
                <w:sz w:val="15"/>
              </w:rPr>
              <w:t>FIRST-ATTEMPT SUCCESS</w:t>
            </w:r>
          </w:p>
          <w:p>
            <w:pPr>
              <w:spacing w:after="0"/>
              <w:jc w:val="center"/>
            </w:pPr>
            <w:r>
              <w:rPr>
                <w:rFonts w:ascii="Arial" w:hAnsi="Arial"/>
                <w:b/>
                <w:color w:val="17365D"/>
                <w:sz w:val="28"/>
              </w:rPr>
              <w:t>90.3%</w:t>
            </w:r>
          </w:p>
        </w:tc>
      </w:tr>
    </w:tbl>
    <w:p>
      <w:pPr>
        <w:spacing w:after="20"/>
      </w:pPr>
    </w:p>
    <w:p>
      <w:pPr>
        <w:pStyle w:val="Heading2"/>
      </w:pPr>
      <w:r>
        <w:t>Objectives and business questions</w:t>
      </w:r>
    </w:p>
    <w:p>
      <w:pPr>
        <w:pStyle w:val="ListBullet"/>
        <w:spacing w:after="40" w:line="257" w:lineRule="auto"/>
        <w:ind w:left="317" w:hanging="187"/>
      </w:pPr>
      <w:r>
        <w:rPr>
          <w:rFonts w:ascii="Arial" w:hAnsi="Arial"/>
          <w:sz w:val="18"/>
        </w:rPr>
        <w:t>Describe the distributions and central tendencies of shipment distance, weight, volume, delivery time, delivery delay and transport cost.</w:t>
      </w:r>
    </w:p>
    <w:p>
      <w:pPr>
        <w:pStyle w:val="ListBullet"/>
        <w:spacing w:after="40" w:line="257" w:lineRule="auto"/>
        <w:ind w:left="317" w:hanging="187"/>
      </w:pPr>
      <w:r>
        <w:rPr>
          <w:rFonts w:ascii="Arial" w:hAnsi="Arial"/>
          <w:sz w:val="18"/>
        </w:rPr>
        <w:t>Compare delivery reliability and cost by region and vehicle type without confusing average cost per shipment with cost efficiency.</w:t>
      </w:r>
    </w:p>
    <w:p>
      <w:pPr>
        <w:pStyle w:val="ListBullet"/>
        <w:spacing w:after="40" w:line="257" w:lineRule="auto"/>
        <w:ind w:left="317" w:hanging="187"/>
      </w:pPr>
      <w:r>
        <w:rPr>
          <w:rFonts w:ascii="Arial" w:hAnsi="Arial"/>
          <w:sz w:val="18"/>
        </w:rPr>
        <w:t>Investigate relationships among numeric variables using scatter plots and Pearson correlation.</w:t>
      </w:r>
    </w:p>
    <w:p>
      <w:pPr>
        <w:pStyle w:val="ListBullet"/>
        <w:spacing w:after="40" w:line="257" w:lineRule="auto"/>
        <w:ind w:left="317" w:hanging="187"/>
      </w:pPr>
      <w:r>
        <w:rPr>
          <w:rFonts w:ascii="Arial" w:hAnsi="Arial"/>
          <w:sz w:val="18"/>
        </w:rPr>
        <w:t>Look for weekly variation in shipment counts and on-time delivery, while treating low-volume weeks cautiously.</w:t>
      </w:r>
    </w:p>
    <w:p>
      <w:pPr>
        <w:pStyle w:val="Heading2"/>
      </w:pPr>
      <w:r>
        <w:t>Scope</w:t>
      </w:r>
    </w:p>
    <w:p>
      <w:pPr>
        <w:spacing w:after="100" w:before="0" w:line="269" w:lineRule="auto"/>
      </w:pPr>
      <w:r>
        <w:rPr>
          <w:i w:val="0"/>
        </w:rPr>
        <w:t>Included: descriptive statistics, timestamp consistency checks, grouped KPI summaries, seven static visualizations, interpretation and operational recommendations for further investigation. Excluded: real-time systems, route optimisation, causal inference, forecasting/model training, and claims of actual savings. Those require real, sufficiently documented operational data and additional evaluation.</w:t>
      </w:r>
    </w:p>
    <w:p>
      <w:pPr>
        <w:pStyle w:val="Heading2"/>
      </w:pPr>
      <w:r>
        <w:t>Data snapshot: central tendency and spread</w:t>
      </w: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1639"/>
        <w:gridCol w:w="1639"/>
        <w:gridCol w:w="1639"/>
        <w:gridCol w:w="1639"/>
        <w:gridCol w:w="1639"/>
        <w:gridCol w:w="1639"/>
      </w:tblGrid>
      <w:tr>
        <w:trPr>
          <w:tblHeader w:val="true"/>
          <w:cantSplit/>
        </w:trPr>
        <w:tc>
          <w:tcPr>
            <w:tcW w:type="dxa" w:w="252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Measure</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Median</w:t>
            </w:r>
          </w:p>
        </w:tc>
        <w:tc>
          <w:tcPr>
            <w:tcW w:type="dxa" w:w="100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Q1</w:t>
            </w:r>
          </w:p>
        </w:tc>
        <w:tc>
          <w:tcPr>
            <w:tcW w:type="dxa" w:w="100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Q3</w:t>
            </w:r>
          </w:p>
        </w:tc>
        <w:tc>
          <w:tcPr>
            <w:tcW w:type="dxa" w:w="273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Min–Max</w:t>
            </w:r>
          </w:p>
        </w:tc>
      </w:tr>
      <w:tr>
        <w:trPr>
          <w:cantSplit/>
        </w:trPr>
        <w:tc>
          <w:tcPr>
            <w:tcW w:type="dxa" w:w="2520"/>
            <w:vAlign w:val="center"/>
            <w:tcMar>
              <w:top w:w="80" w:type="dxa"/>
              <w:start w:w="100" w:type="dxa"/>
              <w:bottom w:w="80" w:type="dxa"/>
              <w:end w:w="100" w:type="dxa"/>
            </w:tcMar>
          </w:tcPr>
          <w:p>
            <w:pPr>
              <w:spacing w:after="0" w:before="0" w:line="252" w:lineRule="auto"/>
            </w:pPr>
            <w:r/>
            <w:r>
              <w:rPr>
                <w:rFonts w:ascii="Arial" w:hAnsi="Arial"/>
                <w:b/>
                <w:color w:val="17365D"/>
                <w:sz w:val="15"/>
              </w:rPr>
              <w:t>Distance (km)</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102.39</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75.00</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33.67</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128.55</w:t>
            </w:r>
          </w:p>
        </w:tc>
        <w:tc>
          <w:tcPr>
            <w:tcW w:type="dxa" w:w="2736"/>
            <w:vAlign w:val="center"/>
            <w:tcMar>
              <w:top w:w="80" w:type="dxa"/>
              <w:start w:w="100" w:type="dxa"/>
              <w:bottom w:w="80" w:type="dxa"/>
              <w:end w:w="100" w:type="dxa"/>
            </w:tcMar>
          </w:tcPr>
          <w:p>
            <w:pPr>
              <w:spacing w:after="0" w:before="0" w:line="252" w:lineRule="auto"/>
            </w:pPr>
            <w:r/>
            <w:r>
              <w:rPr>
                <w:rFonts w:ascii="Arial" w:hAnsi="Arial"/>
                <w:b w:val="0"/>
                <w:color w:val="243746"/>
                <w:sz w:val="15"/>
              </w:rPr>
              <w:t>2.40–700.00</w:t>
            </w:r>
          </w:p>
        </w:tc>
      </w:tr>
      <w:tr>
        <w:trPr>
          <w:cantSplit/>
        </w:trPr>
        <w:tc>
          <w:tcPr>
            <w:tcW w:type="dxa" w:w="2520"/>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Weight (kg)</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63.49</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22.79</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9.90</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66.31</w:t>
            </w:r>
          </w:p>
        </w:tc>
        <w:tc>
          <w:tcPr>
            <w:tcW w:type="dxa" w:w="273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0.40–751.68</w:t>
            </w:r>
          </w:p>
        </w:tc>
      </w:tr>
      <w:tr>
        <w:trPr>
          <w:cantSplit/>
        </w:trPr>
        <w:tc>
          <w:tcPr>
            <w:tcW w:type="dxa" w:w="2520"/>
            <w:vAlign w:val="center"/>
            <w:tcMar>
              <w:top w:w="80" w:type="dxa"/>
              <w:start w:w="100" w:type="dxa"/>
              <w:bottom w:w="80" w:type="dxa"/>
              <w:end w:w="100" w:type="dxa"/>
            </w:tcMar>
          </w:tcPr>
          <w:p>
            <w:pPr>
              <w:spacing w:after="0" w:before="0" w:line="252" w:lineRule="auto"/>
            </w:pPr>
            <w:r/>
            <w:r>
              <w:rPr>
                <w:rFonts w:ascii="Arial" w:hAnsi="Arial"/>
                <w:b/>
                <w:color w:val="17365D"/>
                <w:sz w:val="15"/>
              </w:rPr>
              <w:t>Volume (m³)</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0.28</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0.13</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0.07</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0.29</w:t>
            </w:r>
          </w:p>
        </w:tc>
        <w:tc>
          <w:tcPr>
            <w:tcW w:type="dxa" w:w="2736"/>
            <w:vAlign w:val="center"/>
            <w:tcMar>
              <w:top w:w="80" w:type="dxa"/>
              <w:start w:w="100" w:type="dxa"/>
              <w:bottom w:w="80" w:type="dxa"/>
              <w:end w:w="100" w:type="dxa"/>
            </w:tcMar>
          </w:tcPr>
          <w:p>
            <w:pPr>
              <w:spacing w:after="0" w:before="0" w:line="252" w:lineRule="auto"/>
            </w:pPr>
            <w:r/>
            <w:r>
              <w:rPr>
                <w:rFonts w:ascii="Arial" w:hAnsi="Arial"/>
                <w:b w:val="0"/>
                <w:color w:val="243746"/>
                <w:sz w:val="15"/>
              </w:rPr>
              <w:t>0.01–2.98</w:t>
            </w:r>
          </w:p>
        </w:tc>
      </w:tr>
      <w:tr>
        <w:trPr>
          <w:cantSplit/>
        </w:trPr>
        <w:tc>
          <w:tcPr>
            <w:tcW w:type="dxa" w:w="2520"/>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Transport cost (INR)</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1,681.51</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1,046.32</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468.33</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2,005.94</w:t>
            </w:r>
          </w:p>
        </w:tc>
        <w:tc>
          <w:tcPr>
            <w:tcW w:type="dxa" w:w="273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31.50–13,181.34</w:t>
            </w:r>
          </w:p>
        </w:tc>
      </w:tr>
      <w:tr>
        <w:trPr>
          <w:cantSplit/>
        </w:trPr>
        <w:tc>
          <w:tcPr>
            <w:tcW w:type="dxa" w:w="2520"/>
            <w:vAlign w:val="center"/>
            <w:tcMar>
              <w:top w:w="80" w:type="dxa"/>
              <w:start w:w="100" w:type="dxa"/>
              <w:bottom w:w="80" w:type="dxa"/>
              <w:end w:w="100" w:type="dxa"/>
            </w:tcMar>
          </w:tcPr>
          <w:p>
            <w:pPr>
              <w:spacing w:after="0" w:before="0" w:line="252" w:lineRule="auto"/>
            </w:pPr>
            <w:r/>
            <w:r>
              <w:rPr>
                <w:rFonts w:ascii="Arial" w:hAnsi="Arial"/>
                <w:b/>
                <w:color w:val="17365D"/>
                <w:sz w:val="15"/>
              </w:rPr>
              <w:t>Delivery time (h)</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10.05</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8.07</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2.80</w:t>
            </w:r>
          </w:p>
        </w:tc>
        <w:tc>
          <w:tcPr>
            <w:tcW w:type="dxa" w:w="1008"/>
            <w:vAlign w:val="center"/>
            <w:tcMar>
              <w:top w:w="80" w:type="dxa"/>
              <w:start w:w="100" w:type="dxa"/>
              <w:bottom w:w="80" w:type="dxa"/>
              <w:end w:w="100" w:type="dxa"/>
            </w:tcMar>
          </w:tcPr>
          <w:p>
            <w:pPr>
              <w:spacing w:after="0" w:before="0" w:line="252" w:lineRule="auto"/>
            </w:pPr>
            <w:r/>
            <w:r>
              <w:rPr>
                <w:rFonts w:ascii="Arial" w:hAnsi="Arial"/>
                <w:b w:val="0"/>
                <w:color w:val="243746"/>
                <w:sz w:val="15"/>
              </w:rPr>
              <w:t>14.15</w:t>
            </w:r>
          </w:p>
        </w:tc>
        <w:tc>
          <w:tcPr>
            <w:tcW w:type="dxa" w:w="2736"/>
            <w:vAlign w:val="center"/>
            <w:tcMar>
              <w:top w:w="80" w:type="dxa"/>
              <w:start w:w="100" w:type="dxa"/>
              <w:bottom w:w="80" w:type="dxa"/>
              <w:end w:w="100" w:type="dxa"/>
            </w:tcMar>
          </w:tcPr>
          <w:p>
            <w:pPr>
              <w:spacing w:after="0" w:before="0" w:line="252" w:lineRule="auto"/>
            </w:pPr>
            <w:r/>
            <w:r>
              <w:rPr>
                <w:rFonts w:ascii="Arial" w:hAnsi="Arial"/>
                <w:b w:val="0"/>
                <w:color w:val="243746"/>
                <w:sz w:val="15"/>
              </w:rPr>
              <w:t>0.50–55.21</w:t>
            </w:r>
          </w:p>
        </w:tc>
      </w:tr>
      <w:tr>
        <w:trPr>
          <w:cantSplit/>
        </w:trPr>
        <w:tc>
          <w:tcPr>
            <w:tcW w:type="dxa" w:w="2520"/>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Delay vs promise (h)</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-1.45</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-2.07</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-5.31</w:t>
            </w:r>
          </w:p>
        </w:tc>
        <w:tc>
          <w:tcPr>
            <w:tcW w:type="dxa" w:w="100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1.85</w:t>
            </w:r>
          </w:p>
        </w:tc>
        <w:tc>
          <w:tcPr>
            <w:tcW w:type="dxa" w:w="273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-11.90–16.21</w:t>
            </w:r>
          </w:p>
        </w:tc>
      </w:tr>
    </w:tbl>
    <w:p>
      <w:pPr>
        <w:spacing w:after="0" w:before="0"/>
      </w:pPr>
    </w:p>
    <w:p>
      <w:pPr>
        <w:spacing w:after="0" w:before="0" w:line="269" w:lineRule="auto"/>
      </w:pPr>
      <w:r>
        <w:rPr>
          <w:i w:val="0"/>
        </w:rPr>
        <w:t>Mean transport cost exceeds median cost, showing a right tail driven partly by the synthetic mix of distance and vehicle types. Negative delivery delay means the delivery occurred before the promise timestamp; positive delay means late.</w:t>
      </w:r>
    </w:p>
    <w:p>
      <w:r>
        <w:br w:type="page"/>
      </w:r>
    </w:p>
    <w:p>
      <w:pPr>
        <w:spacing w:before="0" w:after="60"/>
      </w:pPr>
      <w:r>
        <w:rPr>
          <w:rFonts w:ascii="Arial" w:hAnsi="Arial"/>
          <w:b/>
          <w:color w:val="008C95"/>
          <w:sz w:val="16"/>
        </w:rPr>
        <w:t>02 / DATA &amp; METHOD</w:t>
      </w:r>
    </w:p>
    <w:p>
      <w:pPr>
        <w:pStyle w:val="Heading1"/>
      </w:pPr>
      <w:r>
        <w:t>Dataset, Variables and Analytical Method</w:t>
      </w:r>
    </w:p>
    <w:p>
      <w:pPr>
        <w:spacing w:after="100" w:before="0" w:line="269" w:lineRule="auto"/>
      </w:pPr>
      <w:r>
        <w:rPr>
          <w:i w:val="0"/>
        </w:rPr>
        <w:t>The dataset contains 300 shipment-level rows generated locally with NumPy using a fixed random seed (20261016). Simulated order timestamps fall between 1 July and 30 September 2026. All shipments in this teaching snapshot have completed delivery, which permits consistent calculation of delivery duration and delay. A row is the unit of analysis; shipment_id is the unique key.</w:t>
      </w: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3278"/>
        <w:gridCol w:w="3278"/>
        <w:gridCol w:w="3278"/>
      </w:tblGrid>
      <w:tr>
        <w:trPr>
          <w:tblHeader w:val="true"/>
          <w:cantSplit/>
        </w:trPr>
        <w:tc>
          <w:tcPr>
            <w:tcW w:type="dxa" w:w="180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Variable group</w:t>
            </w:r>
          </w:p>
        </w:tc>
        <w:tc>
          <w:tcPr>
            <w:tcW w:type="dxa" w:w="396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Example fields</w:t>
            </w:r>
          </w:p>
        </w:tc>
        <w:tc>
          <w:tcPr>
            <w:tcW w:type="dxa" w:w="4032"/>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Purpose</w:t>
            </w:r>
          </w:p>
        </w:tc>
      </w:tr>
      <w:tr>
        <w:trPr>
          <w:cantSplit/>
        </w:trPr>
        <w:tc>
          <w:tcPr>
            <w:tcW w:type="dxa" w:w="1800"/>
            <w:vAlign w:val="center"/>
            <w:tcMar>
              <w:top w:w="80" w:type="dxa"/>
              <w:start w:w="100" w:type="dxa"/>
              <w:bottom w:w="80" w:type="dxa"/>
              <w:end w:w="100" w:type="dxa"/>
            </w:tcMar>
          </w:tcPr>
          <w:p>
            <w:pPr>
              <w:spacing w:after="0" w:before="0" w:line="252" w:lineRule="auto"/>
            </w:pPr>
            <w:r/>
            <w:r>
              <w:rPr>
                <w:rFonts w:ascii="Arial" w:hAnsi="Arial"/>
                <w:b/>
                <w:color w:val="17365D"/>
                <w:sz w:val="16"/>
              </w:rPr>
              <w:t>Identifiers &amp; timestamps</w:t>
            </w:r>
          </w:p>
        </w:tc>
        <w:tc>
          <w:tcPr>
            <w:tcW w:type="dxa" w:w="3960"/>
            <w:vAlign w:val="center"/>
            <w:tcMar>
              <w:top w:w="80" w:type="dxa"/>
              <w:start w:w="100" w:type="dxa"/>
              <w:bottom w:w="80" w:type="dxa"/>
              <w:end w:w="100" w:type="dxa"/>
            </w:tcMar>
          </w:tcPr>
          <w:p>
            <w:pPr>
              <w:spacing w:after="0" w:before="0" w:line="252" w:lineRule="auto"/>
            </w:pPr>
            <w:r/>
            <w:r>
              <w:rPr>
                <w:rFonts w:ascii="Arial" w:hAnsi="Arial"/>
                <w:b w:val="0"/>
                <w:color w:val="243746"/>
                <w:sz w:val="16"/>
              </w:rPr>
              <w:t>shipment_id, order_date, promised_delivery_at, delivered_at</w:t>
            </w:r>
          </w:p>
        </w:tc>
        <w:tc>
          <w:tcPr>
            <w:tcW w:type="dxa" w:w="4032"/>
            <w:vAlign w:val="center"/>
            <w:tcMar>
              <w:top w:w="80" w:type="dxa"/>
              <w:start w:w="100" w:type="dxa"/>
              <w:bottom w:w="80" w:type="dxa"/>
              <w:end w:w="100" w:type="dxa"/>
            </w:tcMar>
          </w:tcPr>
          <w:p>
            <w:pPr>
              <w:spacing w:after="0" w:before="0" w:line="252" w:lineRule="auto"/>
            </w:pPr>
            <w:r/>
            <w:r>
              <w:rPr>
                <w:rFonts w:ascii="Arial" w:hAnsi="Arial"/>
                <w:b w:val="0"/>
                <w:color w:val="243746"/>
                <w:sz w:val="16"/>
              </w:rPr>
              <w:t>Validate chronology; calculate delivery duration and lateness.</w:t>
            </w:r>
          </w:p>
        </w:tc>
      </w:tr>
      <w:tr>
        <w:trPr>
          <w:cantSplit/>
        </w:trPr>
        <w:tc>
          <w:tcPr>
            <w:tcW w:type="dxa" w:w="1800"/>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Shipment size</w:t>
            </w:r>
          </w:p>
        </w:tc>
        <w:tc>
          <w:tcPr>
            <w:tcW w:type="dxa" w:w="396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distance_km, shipment_weight_kg, shipment_volume_m3, shipment_units</w:t>
            </w:r>
          </w:p>
        </w:tc>
        <w:tc>
          <w:tcPr>
            <w:tcW w:type="dxa" w:w="403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Describe shipment scale and potential operating complexity.</w:t>
            </w:r>
          </w:p>
        </w:tc>
      </w:tr>
      <w:tr>
        <w:trPr>
          <w:cantSplit/>
        </w:trPr>
        <w:tc>
          <w:tcPr>
            <w:tcW w:type="dxa" w:w="1800"/>
            <w:vAlign w:val="center"/>
            <w:tcMar>
              <w:top w:w="80" w:type="dxa"/>
              <w:start w:w="100" w:type="dxa"/>
              <w:bottom w:w="80" w:type="dxa"/>
              <w:end w:w="100" w:type="dxa"/>
            </w:tcMar>
          </w:tcPr>
          <w:p>
            <w:pPr>
              <w:spacing w:after="0" w:before="0" w:line="252" w:lineRule="auto"/>
            </w:pPr>
            <w:r/>
            <w:r>
              <w:rPr>
                <w:rFonts w:ascii="Arial" w:hAnsi="Arial"/>
                <w:b/>
                <w:color w:val="17365D"/>
                <w:sz w:val="16"/>
              </w:rPr>
              <w:t>Cost &amp; service</w:t>
            </w:r>
          </w:p>
        </w:tc>
        <w:tc>
          <w:tcPr>
            <w:tcW w:type="dxa" w:w="3960"/>
            <w:vAlign w:val="center"/>
            <w:tcMar>
              <w:top w:w="80" w:type="dxa"/>
              <w:start w:w="100" w:type="dxa"/>
              <w:bottom w:w="80" w:type="dxa"/>
              <w:end w:w="100" w:type="dxa"/>
            </w:tcMar>
          </w:tcPr>
          <w:p>
            <w:pPr>
              <w:spacing w:after="0" w:before="0" w:line="252" w:lineRule="auto"/>
            </w:pPr>
            <w:r/>
            <w:r>
              <w:rPr>
                <w:rFonts w:ascii="Arial" w:hAnsi="Arial"/>
                <w:b w:val="0"/>
                <w:color w:val="243746"/>
                <w:sz w:val="16"/>
              </w:rPr>
              <w:t>transport_cost_inr, first_attempt_status</w:t>
            </w:r>
          </w:p>
        </w:tc>
        <w:tc>
          <w:tcPr>
            <w:tcW w:type="dxa" w:w="4032"/>
            <w:vAlign w:val="center"/>
            <w:tcMar>
              <w:top w:w="80" w:type="dxa"/>
              <w:start w:w="100" w:type="dxa"/>
              <w:bottom w:w="80" w:type="dxa"/>
              <w:end w:w="100" w:type="dxa"/>
            </w:tcMar>
          </w:tcPr>
          <w:p>
            <w:pPr>
              <w:spacing w:after="0" w:before="0" w:line="252" w:lineRule="auto"/>
            </w:pPr>
            <w:r/>
            <w:r>
              <w:rPr>
                <w:rFonts w:ascii="Arial" w:hAnsi="Arial"/>
                <w:b w:val="0"/>
                <w:color w:val="243746"/>
                <w:sz w:val="16"/>
              </w:rPr>
              <w:t>Compare expense and first-attempt outcomes.</w:t>
            </w:r>
          </w:p>
        </w:tc>
      </w:tr>
      <w:tr>
        <w:trPr>
          <w:cantSplit/>
        </w:trPr>
        <w:tc>
          <w:tcPr>
            <w:tcW w:type="dxa" w:w="1800"/>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Segments</w:t>
            </w:r>
          </w:p>
        </w:tc>
        <w:tc>
          <w:tcPr>
            <w:tcW w:type="dxa" w:w="396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region, vehicle_type</w:t>
            </w:r>
          </w:p>
        </w:tc>
        <w:tc>
          <w:tcPr>
            <w:tcW w:type="dxa" w:w="403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Compare operational patterns across groups.</w:t>
            </w:r>
          </w:p>
        </w:tc>
      </w:tr>
      <w:tr>
        <w:trPr>
          <w:cantSplit/>
        </w:trPr>
        <w:tc>
          <w:tcPr>
            <w:tcW w:type="dxa" w:w="1800"/>
            <w:vAlign w:val="center"/>
            <w:tcMar>
              <w:top w:w="80" w:type="dxa"/>
              <w:start w:w="100" w:type="dxa"/>
              <w:bottom w:w="80" w:type="dxa"/>
              <w:end w:w="100" w:type="dxa"/>
            </w:tcMar>
          </w:tcPr>
          <w:p>
            <w:pPr>
              <w:spacing w:after="0" w:before="0" w:line="252" w:lineRule="auto"/>
            </w:pPr>
            <w:r/>
            <w:r>
              <w:rPr>
                <w:rFonts w:ascii="Arial" w:hAnsi="Arial"/>
                <w:b/>
                <w:color w:val="17365D"/>
                <w:sz w:val="16"/>
              </w:rPr>
              <w:t>Derived metrics</w:t>
            </w:r>
          </w:p>
        </w:tc>
        <w:tc>
          <w:tcPr>
            <w:tcW w:type="dxa" w:w="3960"/>
            <w:vAlign w:val="center"/>
            <w:tcMar>
              <w:top w:w="80" w:type="dxa"/>
              <w:start w:w="100" w:type="dxa"/>
              <w:bottom w:w="80" w:type="dxa"/>
              <w:end w:w="100" w:type="dxa"/>
            </w:tcMar>
          </w:tcPr>
          <w:p>
            <w:pPr>
              <w:spacing w:after="0" w:before="0" w:line="252" w:lineRule="auto"/>
            </w:pPr>
            <w:r/>
            <w:r>
              <w:rPr>
                <w:rFonts w:ascii="Arial" w:hAnsi="Arial"/>
                <w:b w:val="0"/>
                <w:color w:val="243746"/>
                <w:sz w:val="16"/>
              </w:rPr>
              <w:t>delivery_time_hours, delivery_delay_hours, on_time_delivery</w:t>
            </w:r>
          </w:p>
        </w:tc>
        <w:tc>
          <w:tcPr>
            <w:tcW w:type="dxa" w:w="4032"/>
            <w:vAlign w:val="center"/>
            <w:tcMar>
              <w:top w:w="80" w:type="dxa"/>
              <w:start w:w="100" w:type="dxa"/>
              <w:bottom w:w="80" w:type="dxa"/>
              <w:end w:w="100" w:type="dxa"/>
            </w:tcMar>
          </w:tcPr>
          <w:p>
            <w:pPr>
              <w:spacing w:after="0" w:before="0" w:line="252" w:lineRule="auto"/>
            </w:pPr>
            <w:r/>
            <w:r>
              <w:rPr>
                <w:rFonts w:ascii="Arial" w:hAnsi="Arial"/>
                <w:b w:val="0"/>
                <w:color w:val="243746"/>
                <w:sz w:val="16"/>
              </w:rPr>
              <w:t>Make KPI definitions consistent and analysis reproducible.</w:t>
            </w:r>
          </w:p>
        </w:tc>
      </w:tr>
    </w:tbl>
    <w:p>
      <w:pPr>
        <w:spacing w:after="0" w:before="0"/>
      </w:pPr>
    </w:p>
    <w:p>
      <w:pPr>
        <w:pStyle w:val="Heading2"/>
      </w:pPr>
      <w:r>
        <w:t>Methods applied</w:t>
      </w:r>
    </w:p>
    <w:p>
      <w:pPr>
        <w:pStyle w:val="ListBullet"/>
        <w:spacing w:after="40" w:line="257" w:lineRule="auto"/>
        <w:ind w:left="317" w:hanging="187"/>
      </w:pPr>
      <w:r>
        <w:rPr>
          <w:rFonts w:ascii="Arial" w:hAnsi="Arial"/>
          <w:sz w:val="18"/>
        </w:rPr>
        <w:t>Central tendency and spread: mean, median, standard deviation, quartiles, minimum and maximum.</w:t>
      </w:r>
    </w:p>
    <w:p>
      <w:pPr>
        <w:pStyle w:val="ListBullet"/>
        <w:spacing w:after="40" w:line="257" w:lineRule="auto"/>
        <w:ind w:left="317" w:hanging="187"/>
      </w:pPr>
      <w:r>
        <w:rPr>
          <w:rFonts w:ascii="Arial" w:hAnsi="Arial"/>
          <w:sz w:val="18"/>
        </w:rPr>
        <w:t>Distributional checks: histograms for delivery duration; box plots for delivery delay across regions.</w:t>
      </w:r>
    </w:p>
    <w:p>
      <w:pPr>
        <w:pStyle w:val="ListBullet"/>
        <w:spacing w:after="40" w:line="257" w:lineRule="auto"/>
        <w:ind w:left="317" w:hanging="187"/>
      </w:pPr>
      <w:r>
        <w:rPr>
          <w:rFonts w:ascii="Arial" w:hAnsi="Arial"/>
          <w:sz w:val="18"/>
        </w:rPr>
        <w:t>Segment analysis: grouped summaries of on-time rate, mean delay, average delivery time and transportation cost by region and vehicle.</w:t>
      </w:r>
    </w:p>
    <w:p>
      <w:pPr>
        <w:pStyle w:val="ListBullet"/>
        <w:spacing w:after="40" w:line="257" w:lineRule="auto"/>
        <w:ind w:left="317" w:hanging="187"/>
      </w:pPr>
      <w:r>
        <w:rPr>
          <w:rFonts w:ascii="Arial" w:hAnsi="Arial"/>
          <w:sz w:val="18"/>
        </w:rPr>
        <w:t>Relationship analysis: scatter plot of transport cost against distance and Pearson correlation among selected numeric variables.</w:t>
      </w:r>
    </w:p>
    <w:p>
      <w:pPr>
        <w:pStyle w:val="ListBullet"/>
        <w:spacing w:after="40" w:line="257" w:lineRule="auto"/>
        <w:ind w:left="317" w:hanging="187"/>
      </w:pPr>
      <w:r>
        <w:rPr>
          <w:rFonts w:ascii="Arial" w:hAnsi="Arial"/>
          <w:sz w:val="18"/>
        </w:rPr>
        <w:t>Time aggregation: weekly shipment volume and on-time rate based on order date.</w:t>
      </w:r>
    </w:p>
    <w:p>
      <w:pPr>
        <w:pStyle w:val="Heading2"/>
      </w:pPr>
      <w:r>
        <w:t>Automated data quality checks</w:t>
      </w: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3278"/>
        <w:gridCol w:w="3278"/>
        <w:gridCol w:w="3278"/>
      </w:tblGrid>
      <w:tr>
        <w:trPr>
          <w:tblHeader w:val="true"/>
          <w:cantSplit/>
        </w:trPr>
        <w:tc>
          <w:tcPr>
            <w:tcW w:type="dxa" w:w="2952"/>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Check</w:t>
            </w:r>
          </w:p>
        </w:tc>
        <w:tc>
          <w:tcPr>
            <w:tcW w:type="dxa" w:w="108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Result</w:t>
            </w:r>
          </w:p>
        </w:tc>
        <w:tc>
          <w:tcPr>
            <w:tcW w:type="dxa" w:w="576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Interpretation</w:t>
            </w:r>
          </w:p>
        </w:tc>
      </w:tr>
      <w:tr>
        <w:trPr>
          <w:cantSplit/>
        </w:trPr>
        <w:tc>
          <w:tcPr>
            <w:tcW w:type="dxa" w:w="2952"/>
            <w:vAlign w:val="center"/>
            <w:tcMar>
              <w:top w:w="80" w:type="dxa"/>
              <w:start w:w="100" w:type="dxa"/>
              <w:bottom w:w="80" w:type="dxa"/>
              <w:end w:w="100" w:type="dxa"/>
            </w:tcMar>
          </w:tcPr>
          <w:p>
            <w:pPr>
              <w:spacing w:after="0" w:before="0" w:line="252" w:lineRule="auto"/>
            </w:pPr>
            <w:r/>
            <w:r>
              <w:rPr>
                <w:rFonts w:ascii="Arial" w:hAnsi="Arial"/>
                <w:b/>
                <w:color w:val="17365D"/>
                <w:sz w:val="16"/>
              </w:rPr>
              <w:t>Shipment rows</w:t>
            </w:r>
          </w:p>
        </w:tc>
        <w:tc>
          <w:tcPr>
            <w:tcW w:type="dxa" w:w="1080"/>
            <w:vAlign w:val="center"/>
            <w:tcMar>
              <w:top w:w="80" w:type="dxa"/>
              <w:start w:w="100" w:type="dxa"/>
              <w:bottom w:w="80" w:type="dxa"/>
              <w:end w:w="100" w:type="dxa"/>
            </w:tcMar>
          </w:tcPr>
          <w:p>
            <w:pPr>
              <w:spacing w:after="0" w:before="0" w:line="252" w:lineRule="auto"/>
            </w:pPr>
            <w:r/>
            <w:r>
              <w:rPr>
                <w:rFonts w:ascii="Arial" w:hAnsi="Arial"/>
                <w:b w:val="0"/>
                <w:color w:val="243746"/>
                <w:sz w:val="16"/>
              </w:rPr>
              <w:t>300</w:t>
            </w:r>
          </w:p>
        </w:tc>
        <w:tc>
          <w:tcPr>
            <w:tcW w:type="dxa" w:w="5760"/>
            <w:vAlign w:val="center"/>
            <w:tcMar>
              <w:top w:w="80" w:type="dxa"/>
              <w:start w:w="100" w:type="dxa"/>
              <w:bottom w:w="80" w:type="dxa"/>
              <w:end w:w="100" w:type="dxa"/>
            </w:tcMar>
          </w:tcPr>
          <w:p>
            <w:pPr>
              <w:spacing w:after="0" w:before="0" w:line="252" w:lineRule="auto"/>
            </w:pPr>
            <w:r/>
            <w:r>
              <w:rPr>
                <w:rFonts w:ascii="Arial" w:hAnsi="Arial"/>
                <w:b w:val="0"/>
                <w:color w:val="243746"/>
                <w:sz w:val="16"/>
              </w:rPr>
              <w:t>Expected synthetic row count</w:t>
            </w:r>
          </w:p>
        </w:tc>
      </w:tr>
      <w:tr>
        <w:trPr>
          <w:cantSplit/>
        </w:trPr>
        <w:tc>
          <w:tcPr>
            <w:tcW w:type="dxa" w:w="2952"/>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Duplicate shipment IDs</w:t>
            </w:r>
          </w:p>
        </w:tc>
        <w:tc>
          <w:tcPr>
            <w:tcW w:type="dxa" w:w="108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0</w:t>
            </w:r>
          </w:p>
        </w:tc>
        <w:tc>
          <w:tcPr>
            <w:tcW w:type="dxa" w:w="576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All IDs unique</w:t>
            </w:r>
          </w:p>
        </w:tc>
      </w:tr>
      <w:tr>
        <w:trPr>
          <w:cantSplit/>
        </w:trPr>
        <w:tc>
          <w:tcPr>
            <w:tcW w:type="dxa" w:w="2952"/>
            <w:vAlign w:val="center"/>
            <w:tcMar>
              <w:top w:w="80" w:type="dxa"/>
              <w:start w:w="100" w:type="dxa"/>
              <w:bottom w:w="80" w:type="dxa"/>
              <w:end w:w="100" w:type="dxa"/>
            </w:tcMar>
          </w:tcPr>
          <w:p>
            <w:pPr>
              <w:spacing w:after="0" w:before="0" w:line="252" w:lineRule="auto"/>
            </w:pPr>
            <w:r/>
            <w:r>
              <w:rPr>
                <w:rFonts w:ascii="Arial" w:hAnsi="Arial"/>
                <w:b/>
                <w:color w:val="17365D"/>
                <w:sz w:val="16"/>
              </w:rPr>
              <w:t>Missing cells</w:t>
            </w:r>
          </w:p>
        </w:tc>
        <w:tc>
          <w:tcPr>
            <w:tcW w:type="dxa" w:w="1080"/>
            <w:vAlign w:val="center"/>
            <w:tcMar>
              <w:top w:w="80" w:type="dxa"/>
              <w:start w:w="100" w:type="dxa"/>
              <w:bottom w:w="80" w:type="dxa"/>
              <w:end w:w="100" w:type="dxa"/>
            </w:tcMar>
          </w:tcPr>
          <w:p>
            <w:pPr>
              <w:spacing w:after="0" w:before="0" w:line="252" w:lineRule="auto"/>
            </w:pPr>
            <w:r/>
            <w:r>
              <w:rPr>
                <w:rFonts w:ascii="Arial" w:hAnsi="Arial"/>
                <w:b w:val="0"/>
                <w:color w:val="243746"/>
                <w:sz w:val="16"/>
              </w:rPr>
              <w:t>0</w:t>
            </w:r>
          </w:p>
        </w:tc>
        <w:tc>
          <w:tcPr>
            <w:tcW w:type="dxa" w:w="5760"/>
            <w:vAlign w:val="center"/>
            <w:tcMar>
              <w:top w:w="80" w:type="dxa"/>
              <w:start w:w="100" w:type="dxa"/>
              <w:bottom w:w="80" w:type="dxa"/>
              <w:end w:w="100" w:type="dxa"/>
            </w:tcMar>
          </w:tcPr>
          <w:p>
            <w:pPr>
              <w:spacing w:after="0" w:before="0" w:line="252" w:lineRule="auto"/>
            </w:pPr>
            <w:r/>
            <w:r>
              <w:rPr>
                <w:rFonts w:ascii="Arial" w:hAnsi="Arial"/>
                <w:b w:val="0"/>
                <w:color w:val="243746"/>
                <w:sz w:val="16"/>
              </w:rPr>
              <w:t>Generated fixture is complete by design</w:t>
            </w:r>
          </w:p>
        </w:tc>
      </w:tr>
      <w:tr>
        <w:trPr>
          <w:cantSplit/>
        </w:trPr>
        <w:tc>
          <w:tcPr>
            <w:tcW w:type="dxa" w:w="2952"/>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Non-positive distance / negative cost</w:t>
            </w:r>
          </w:p>
        </w:tc>
        <w:tc>
          <w:tcPr>
            <w:tcW w:type="dxa" w:w="108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0 / 0</w:t>
            </w:r>
          </w:p>
        </w:tc>
        <w:tc>
          <w:tcPr>
            <w:tcW w:type="dxa" w:w="576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Basic business range checks pass</w:t>
            </w:r>
          </w:p>
        </w:tc>
      </w:tr>
      <w:tr>
        <w:trPr>
          <w:cantSplit/>
        </w:trPr>
        <w:tc>
          <w:tcPr>
            <w:tcW w:type="dxa" w:w="2952"/>
            <w:vAlign w:val="center"/>
            <w:tcMar>
              <w:top w:w="80" w:type="dxa"/>
              <w:start w:w="100" w:type="dxa"/>
              <w:bottom w:w="80" w:type="dxa"/>
              <w:end w:w="100" w:type="dxa"/>
            </w:tcMar>
          </w:tcPr>
          <w:p>
            <w:pPr>
              <w:spacing w:after="0" w:before="0" w:line="252" w:lineRule="auto"/>
            </w:pPr>
            <w:r/>
            <w:r>
              <w:rPr>
                <w:rFonts w:ascii="Arial" w:hAnsi="Arial"/>
                <w:b/>
                <w:color w:val="17365D"/>
                <w:sz w:val="16"/>
              </w:rPr>
              <w:t>Timestamp-derived duration mismatches</w:t>
            </w:r>
          </w:p>
        </w:tc>
        <w:tc>
          <w:tcPr>
            <w:tcW w:type="dxa" w:w="1080"/>
            <w:vAlign w:val="center"/>
            <w:tcMar>
              <w:top w:w="80" w:type="dxa"/>
              <w:start w:w="100" w:type="dxa"/>
              <w:bottom w:w="80" w:type="dxa"/>
              <w:end w:w="100" w:type="dxa"/>
            </w:tcMar>
          </w:tcPr>
          <w:p>
            <w:pPr>
              <w:spacing w:after="0" w:before="0" w:line="252" w:lineRule="auto"/>
            </w:pPr>
            <w:r/>
            <w:r>
              <w:rPr>
                <w:rFonts w:ascii="Arial" w:hAnsi="Arial"/>
                <w:b w:val="0"/>
                <w:color w:val="243746"/>
                <w:sz w:val="16"/>
              </w:rPr>
              <w:t>0</w:t>
            </w:r>
          </w:p>
        </w:tc>
        <w:tc>
          <w:tcPr>
            <w:tcW w:type="dxa" w:w="5760"/>
            <w:vAlign w:val="center"/>
            <w:tcMar>
              <w:top w:w="80" w:type="dxa"/>
              <w:start w:w="100" w:type="dxa"/>
              <w:bottom w:w="80" w:type="dxa"/>
              <w:end w:w="100" w:type="dxa"/>
            </w:tcMar>
          </w:tcPr>
          <w:p>
            <w:pPr>
              <w:spacing w:after="0" w:before="0" w:line="252" w:lineRule="auto"/>
            </w:pPr>
            <w:r/>
            <w:r>
              <w:rPr>
                <w:rFonts w:ascii="Arial" w:hAnsi="Arial"/>
                <w:b w:val="0"/>
                <w:color w:val="243746"/>
                <w:sz w:val="16"/>
              </w:rPr>
              <w:t>Stored duration agrees with timestamps within tolerance</w:t>
            </w:r>
          </w:p>
        </w:tc>
      </w:tr>
    </w:tbl>
    <w:p>
      <w:pPr>
        <w:spacing w:after="0" w:before="0"/>
      </w:pPr>
    </w:p>
    <w:tbl>
      <w:tblPr>
        <w:tblW w:type="auto" w:w="0"/>
        <w:jc w:val="center"/>
        <w:tblLayout w:type="fixed"/>
        <w:tblLook w:firstColumn="1" w:firstRow="1" w:lastColumn="0" w:lastRow="0" w:noHBand="0" w:noVBand="1" w:val="04A0"/>
        <w:tblBorders>
          <w:top w:val="single" w:sz="4" w:space="0" w:color="C5D7E5"/>
          <w:left w:val="single" w:sz="4" w:space="0" w:color="C5D7E5"/>
          <w:bottom w:val="single" w:sz="4" w:space="0" w:color="C5D7E5"/>
          <w:right w:val="single" w:sz="4" w:space="0" w:color="C5D7E5"/>
          <w:insideH w:val="single" w:sz="4" w:space="0" w:color="C5D7E5"/>
          <w:insideV w:val="single" w:sz="4" w:space="0" w:color="C5D7E5"/>
        </w:tblBorders>
      </w:tblPr>
      <w:tblGrid>
        <w:gridCol w:w="9835"/>
      </w:tblGrid>
      <w:tr>
        <w:tc>
          <w:tcPr>
            <w:tcW w:type="dxa" w:w="9835"/>
            <w:shd w:fill="FFF4DE"/>
            <w:tcMar>
              <w:top w:w="120" w:type="dxa"/>
              <w:start w:w="150" w:type="dxa"/>
              <w:bottom w:w="120" w:type="dxa"/>
              <w:end w:w="150" w:type="dxa"/>
            </w:tcMar>
          </w:tcPr>
          <w:p>
            <w:pPr>
              <w:spacing w:after="40"/>
            </w:pPr>
            <w:r/>
            <w:r>
              <w:rPr>
                <w:rFonts w:ascii="Arial" w:hAnsi="Arial"/>
                <w:b/>
                <w:color w:val="17365D"/>
                <w:sz w:val="18"/>
              </w:rPr>
              <w:t>QUALITY LIMITATION</w:t>
            </w:r>
          </w:p>
          <w:p>
            <w:pPr>
              <w:spacing w:after="0" w:line="259" w:lineRule="auto"/>
            </w:pPr>
            <w:r>
              <w:rPr>
                <w:rFonts w:ascii="Arial" w:hAnsi="Arial"/>
                <w:color w:val="243746"/>
                <w:sz w:val="17"/>
              </w:rPr>
              <w:t>Zero missingness in this generated fixture is a property of the generator, not evidence that real logistics data are usually complete. Real datasets should additionally be assessed for missingness patterns, duplicate business keys, invalid dates, outliers, unit differences and data provenance.</w:t>
            </w:r>
          </w:p>
        </w:tc>
      </w:tr>
    </w:tbl>
    <w:p>
      <w:pPr>
        <w:spacing w:after="0"/>
      </w:pPr>
    </w:p>
    <w:p>
      <w:r>
        <w:br w:type="page"/>
      </w:r>
    </w:p>
    <w:p>
      <w:pPr>
        <w:spacing w:before="0" w:after="60"/>
      </w:pPr>
      <w:r>
        <w:rPr>
          <w:rFonts w:ascii="Arial" w:hAnsi="Arial"/>
          <w:b/>
          <w:color w:val="008C95"/>
          <w:sz w:val="16"/>
        </w:rPr>
        <w:t>03 / VISUAL ANALYSIS</w:t>
      </w:r>
    </w:p>
    <w:p>
      <w:pPr>
        <w:pStyle w:val="Heading1"/>
      </w:pPr>
      <w:r>
        <w:t>Delivery Time Distribution and Cost Drivers</w:t>
      </w:r>
    </w:p>
    <w:p>
      <w:pPr>
        <w:spacing w:before="20" w:after="20"/>
        <w:jc w:val="center"/>
      </w:pPr>
      <w:r>
        <w:drawing>
          <wp:inline xmlns:a="http://schemas.openxmlformats.org/drawingml/2006/main" xmlns:pic="http://schemas.openxmlformats.org/drawingml/2006/picture">
            <wp:extent cx="5623560" cy="3169162"/>
            <wp:docPr id="1" name="Picture 1"/>
            <wp:cNvGraphicFramePr>
              <a:graphicFrameLocks noChangeAspect="1"/>
            </wp:cNvGraphicFramePr>
            <a:graphic>
              <a:graphicData uri="http://schemas.openxmlformats.org/drawingml/2006/picture">
                <pic:pic>
                  <pic:nvPicPr>
                    <pic:cNvPr id="0" name="week3_delivery_time_distribution.png"/>
                    <pic:cNvPicPr/>
                  </pic:nvPicPr>
                  <pic:blipFill>
                    <a:blip r:embed="rId12"/>
                    <a:stretch>
                      <a:fillRect/>
                    </a:stretch>
                  </pic:blipFill>
                  <pic:spPr>
                    <a:xfrm>
                      <a:off x="0" y="0"/>
                      <a:ext cx="5623560" cy="3169162"/>
                    </a:xfrm>
                    <a:prstGeom prst="rect"/>
                  </pic:spPr>
                </pic:pic>
              </a:graphicData>
            </a:graphic>
          </wp:inline>
        </w:drawing>
      </w:r>
    </w:p>
    <w:p>
      <w:pPr>
        <w:spacing w:before="0" w:after="60"/>
        <w:jc w:val="center"/>
      </w:pPr>
      <w:r>
        <w:rPr>
          <w:rFonts w:ascii="Arial" w:hAnsi="Arial"/>
          <w:b/>
          <w:color w:val="17365D"/>
          <w:sz w:val="16"/>
        </w:rPr>
        <w:t>Figure 1. Distribution of order-to-delivery time across 300 synthetic shipments.</w:t>
      </w:r>
    </w:p>
    <w:p>
      <w:pPr>
        <w:spacing w:after="100" w:line="259" w:lineRule="auto"/>
      </w:pPr>
      <w:r>
        <w:rPr>
          <w:rFonts w:ascii="Arial" w:hAnsi="Arial"/>
          <w:b/>
          <w:color w:val="008C95"/>
          <w:sz w:val="17"/>
        </w:rPr>
        <w:t xml:space="preserve">Interpretation. </w:t>
      </w:r>
      <w:r>
        <w:rPr>
          <w:rFonts w:ascii="Arial" w:hAnsi="Arial"/>
          <w:color w:val="243746"/>
          <w:sz w:val="17"/>
        </w:rPr>
        <w:t>Mean delivery time is 10.05 hours and the median is 8.07 hours. The mean sitting above the median, together with a long upper tail, suggests that a smaller group of long-duration shipments pulls the average upward. Operational follow-up should inspect high-duration cases by route length and segment rather than relying on the mean alone.</w:t>
      </w:r>
    </w:p>
    <w:p>
      <w:pPr>
        <w:spacing w:before="20" w:after="20"/>
        <w:jc w:val="center"/>
      </w:pPr>
      <w:r>
        <w:drawing>
          <wp:inline xmlns:a="http://schemas.openxmlformats.org/drawingml/2006/main" xmlns:pic="http://schemas.openxmlformats.org/drawingml/2006/picture">
            <wp:extent cx="5623560" cy="3169162"/>
            <wp:docPr id="2" name="Picture 2"/>
            <wp:cNvGraphicFramePr>
              <a:graphicFrameLocks noChangeAspect="1"/>
            </wp:cNvGraphicFramePr>
            <a:graphic>
              <a:graphicData uri="http://schemas.openxmlformats.org/drawingml/2006/picture">
                <pic:pic>
                  <pic:nvPicPr>
                    <pic:cNvPr id="0" name="week3_cost_vs_distance.png"/>
                    <pic:cNvPicPr/>
                  </pic:nvPicPr>
                  <pic:blipFill>
                    <a:blip r:embed="rId13"/>
                    <a:stretch>
                      <a:fillRect/>
                    </a:stretch>
                  </pic:blipFill>
                  <pic:spPr>
                    <a:xfrm>
                      <a:off x="0" y="0"/>
                      <a:ext cx="5623560" cy="3169162"/>
                    </a:xfrm>
                    <a:prstGeom prst="rect"/>
                  </pic:spPr>
                </pic:pic>
              </a:graphicData>
            </a:graphic>
          </wp:inline>
        </w:drawing>
      </w:r>
    </w:p>
    <w:p>
      <w:pPr>
        <w:spacing w:before="0" w:after="60"/>
        <w:jc w:val="center"/>
      </w:pPr>
      <w:r>
        <w:rPr>
          <w:rFonts w:ascii="Arial" w:hAnsi="Arial"/>
          <w:b/>
          <w:color w:val="17365D"/>
          <w:sz w:val="16"/>
        </w:rPr>
        <w:t>Figure 2. Transport cost versus distance, with vehicle type shown by colour.</w:t>
      </w:r>
    </w:p>
    <w:p>
      <w:pPr>
        <w:spacing w:after="100" w:line="259" w:lineRule="auto"/>
      </w:pPr>
      <w:r>
        <w:rPr>
          <w:rFonts w:ascii="Arial" w:hAnsi="Arial"/>
          <w:b/>
          <w:color w:val="008C95"/>
          <w:sz w:val="17"/>
        </w:rPr>
        <w:t xml:space="preserve">Interpretation. </w:t>
      </w:r>
      <w:r>
        <w:rPr>
          <w:rFonts w:ascii="Arial" w:hAnsi="Arial"/>
          <w:color w:val="243746"/>
          <w:sz w:val="17"/>
        </w:rPr>
        <w:t>Transport cost and distance have a Pearson correlation of r = 0.983 in the generated data. This strong relationship is expected partly because distance is explicitly used in the synthetic cost formula. The chart is useful for showing how cost scales in this scenario, but it is not independent evidence of a real-world causal relationship. Vehicle, weight and package volume should also be considered.</w:t>
      </w:r>
    </w:p>
    <w:p>
      <w:r>
        <w:br w:type="page"/>
      </w:r>
    </w:p>
    <w:p>
      <w:pPr>
        <w:spacing w:before="0" w:after="60"/>
      </w:pPr>
      <w:r>
        <w:rPr>
          <w:rFonts w:ascii="Arial" w:hAnsi="Arial"/>
          <w:b/>
          <w:color w:val="008C95"/>
          <w:sz w:val="16"/>
        </w:rPr>
        <w:t>04 / SEGMENT COMPARISONS</w:t>
      </w:r>
    </w:p>
    <w:p>
      <w:pPr>
        <w:pStyle w:val="Heading1"/>
      </w:pPr>
      <w:r>
        <w:t>Regional Delay and Vehicle Cost Patterns</w:t>
      </w:r>
    </w:p>
    <w:p>
      <w:pPr>
        <w:spacing w:before="20" w:after="20"/>
        <w:jc w:val="center"/>
      </w:pPr>
      <w:r>
        <w:drawing>
          <wp:inline xmlns:a="http://schemas.openxmlformats.org/drawingml/2006/main" xmlns:pic="http://schemas.openxmlformats.org/drawingml/2006/picture">
            <wp:extent cx="5623560" cy="3169162"/>
            <wp:docPr id="3" name="Picture 3"/>
            <wp:cNvGraphicFramePr>
              <a:graphicFrameLocks noChangeAspect="1"/>
            </wp:cNvGraphicFramePr>
            <a:graphic>
              <a:graphicData uri="http://schemas.openxmlformats.org/drawingml/2006/picture">
                <pic:pic>
                  <pic:nvPicPr>
                    <pic:cNvPr id="0" name="week3_delay_by_region.png"/>
                    <pic:cNvPicPr/>
                  </pic:nvPicPr>
                  <pic:blipFill>
                    <a:blip r:embed="rId14"/>
                    <a:stretch>
                      <a:fillRect/>
                    </a:stretch>
                  </pic:blipFill>
                  <pic:spPr>
                    <a:xfrm>
                      <a:off x="0" y="0"/>
                      <a:ext cx="5623560" cy="3169162"/>
                    </a:xfrm>
                    <a:prstGeom prst="rect"/>
                  </pic:spPr>
                </pic:pic>
              </a:graphicData>
            </a:graphic>
          </wp:inline>
        </w:drawing>
      </w:r>
    </w:p>
    <w:p>
      <w:pPr>
        <w:spacing w:before="0" w:after="60"/>
        <w:jc w:val="center"/>
      </w:pPr>
      <w:r>
        <w:rPr>
          <w:rFonts w:ascii="Arial" w:hAnsi="Arial"/>
          <w:b/>
          <w:color w:val="17365D"/>
          <w:sz w:val="16"/>
        </w:rPr>
        <w:t>Figure 3. Shipment delay relative to promised delivery time, by region.</w:t>
      </w:r>
    </w:p>
    <w:p>
      <w:pPr>
        <w:spacing w:after="100" w:line="259" w:lineRule="auto"/>
      </w:pPr>
      <w:r>
        <w:rPr>
          <w:rFonts w:ascii="Arial" w:hAnsi="Arial"/>
          <w:b/>
          <w:color w:val="008C95"/>
          <w:sz w:val="17"/>
        </w:rPr>
        <w:t xml:space="preserve">Interpretation. </w:t>
      </w:r>
      <w:r>
        <w:rPr>
          <w:rFonts w:ascii="Arial" w:hAnsi="Arial"/>
          <w:color w:val="243746"/>
          <w:sz w:val="17"/>
        </w:rPr>
        <w:t>The East region has the highest mean delay (+1.18 hours) and the lowest on-time rate (40.0%). South has a negative mean delay (shipments arrive earlier than promise on average) and a 76.4% on-time rate. Box plots show spread and outlying shipment-level delays, so the difference should be investigated at route and volume level before proposing operational changes.</w:t>
      </w:r>
    </w:p>
    <w:p>
      <w:pPr>
        <w:spacing w:before="20" w:after="20"/>
        <w:jc w:val="center"/>
      </w:pPr>
      <w:r>
        <w:drawing>
          <wp:inline xmlns:a="http://schemas.openxmlformats.org/drawingml/2006/main" xmlns:pic="http://schemas.openxmlformats.org/drawingml/2006/picture">
            <wp:extent cx="5623560" cy="3169162"/>
            <wp:docPr id="4" name="Picture 4"/>
            <wp:cNvGraphicFramePr>
              <a:graphicFrameLocks noChangeAspect="1"/>
            </wp:cNvGraphicFramePr>
            <a:graphic>
              <a:graphicData uri="http://schemas.openxmlformats.org/drawingml/2006/picture">
                <pic:pic>
                  <pic:nvPicPr>
                    <pic:cNvPr id="0" name="week3_mean_cost_by_vehicle.png"/>
                    <pic:cNvPicPr/>
                  </pic:nvPicPr>
                  <pic:blipFill>
                    <a:blip r:embed="rId15"/>
                    <a:stretch>
                      <a:fillRect/>
                    </a:stretch>
                  </pic:blipFill>
                  <pic:spPr>
                    <a:xfrm>
                      <a:off x="0" y="0"/>
                      <a:ext cx="5623560" cy="3169162"/>
                    </a:xfrm>
                    <a:prstGeom prst="rect"/>
                  </pic:spPr>
                </pic:pic>
              </a:graphicData>
            </a:graphic>
          </wp:inline>
        </w:drawing>
      </w:r>
    </w:p>
    <w:p>
      <w:pPr>
        <w:spacing w:before="0" w:after="60"/>
        <w:jc w:val="center"/>
      </w:pPr>
      <w:r>
        <w:rPr>
          <w:rFonts w:ascii="Arial" w:hAnsi="Arial"/>
          <w:b/>
          <w:color w:val="17365D"/>
          <w:sz w:val="16"/>
        </w:rPr>
        <w:t>Figure 4. Mean transportation cost per shipment by vehicle type.</w:t>
      </w:r>
    </w:p>
    <w:p>
      <w:pPr>
        <w:spacing w:after="100" w:line="259" w:lineRule="auto"/>
      </w:pPr>
      <w:r>
        <w:rPr>
          <w:rFonts w:ascii="Arial" w:hAnsi="Arial"/>
          <w:b/>
          <w:color w:val="008C95"/>
          <w:sz w:val="17"/>
        </w:rPr>
        <w:t xml:space="preserve">Interpretation. </w:t>
      </w:r>
      <w:r>
        <w:rPr>
          <w:rFonts w:ascii="Arial" w:hAnsi="Arial"/>
          <w:color w:val="243746"/>
          <w:sz w:val="17"/>
        </w:rPr>
        <w:t>Trucks show the highest mean cost per shipment (INR 5,307.35) and two-wheelers the lowest (INR 234.64). The groups do not carry equivalent distances or payloads: average distance is about 266.66 km for trucks versus 22.59 km for two-wheelers. Therefore, the bar chart must not be interpreted as a direct efficiency ranking; compare cost per kilometre, cost per kilogram, service level and route suitability before making a fleet decision.</w:t>
      </w:r>
    </w:p>
    <w:p>
      <w:r>
        <w:br w:type="page"/>
      </w:r>
    </w:p>
    <w:p>
      <w:pPr>
        <w:spacing w:before="0" w:after="60"/>
      </w:pPr>
      <w:r>
        <w:rPr>
          <w:rFonts w:ascii="Arial" w:hAnsi="Arial"/>
          <w:b/>
          <w:color w:val="008C95"/>
          <w:sz w:val="16"/>
        </w:rPr>
        <w:t>05 / RELIABILITY &amp; RELATIONSHIPS</w:t>
      </w:r>
    </w:p>
    <w:p>
      <w:pPr>
        <w:pStyle w:val="Heading1"/>
      </w:pPr>
      <w:r>
        <w:t>On-Time Delivery and Correlation Analysis</w:t>
      </w:r>
    </w:p>
    <w:p>
      <w:pPr>
        <w:spacing w:before="20" w:after="20"/>
        <w:jc w:val="center"/>
      </w:pPr>
      <w:r>
        <w:drawing>
          <wp:inline xmlns:a="http://schemas.openxmlformats.org/drawingml/2006/main" xmlns:pic="http://schemas.openxmlformats.org/drawingml/2006/picture">
            <wp:extent cx="5623560" cy="3169162"/>
            <wp:docPr id="5" name="Picture 5"/>
            <wp:cNvGraphicFramePr>
              <a:graphicFrameLocks noChangeAspect="1"/>
            </wp:cNvGraphicFramePr>
            <a:graphic>
              <a:graphicData uri="http://schemas.openxmlformats.org/drawingml/2006/picture">
                <pic:pic>
                  <pic:nvPicPr>
                    <pic:cNvPr id="0" name="week3_on_time_by_region.png"/>
                    <pic:cNvPicPr/>
                  </pic:nvPicPr>
                  <pic:blipFill>
                    <a:blip r:embed="rId16"/>
                    <a:stretch>
                      <a:fillRect/>
                    </a:stretch>
                  </pic:blipFill>
                  <pic:spPr>
                    <a:xfrm>
                      <a:off x="0" y="0"/>
                      <a:ext cx="5623560" cy="3169162"/>
                    </a:xfrm>
                    <a:prstGeom prst="rect"/>
                  </pic:spPr>
                </pic:pic>
              </a:graphicData>
            </a:graphic>
          </wp:inline>
        </w:drawing>
      </w:r>
    </w:p>
    <w:p>
      <w:pPr>
        <w:spacing w:before="0" w:after="60"/>
        <w:jc w:val="center"/>
      </w:pPr>
      <w:r>
        <w:rPr>
          <w:rFonts w:ascii="Arial" w:hAnsi="Arial"/>
          <w:b/>
          <w:color w:val="17365D"/>
          <w:sz w:val="16"/>
        </w:rPr>
        <w:t>Figure 5. On-time delivery rate by region; dashed line indicates the overall synthetic rate.</w:t>
      </w:r>
    </w:p>
    <w:p>
      <w:pPr>
        <w:spacing w:after="100" w:line="259" w:lineRule="auto"/>
      </w:pPr>
      <w:r>
        <w:rPr>
          <w:rFonts w:ascii="Arial" w:hAnsi="Arial"/>
          <w:b/>
          <w:color w:val="008C95"/>
          <w:sz w:val="17"/>
        </w:rPr>
        <w:t xml:space="preserve">Interpretation. </w:t>
      </w:r>
      <w:r>
        <w:rPr>
          <w:rFonts w:ascii="Arial" w:hAnsi="Arial"/>
          <w:color w:val="243746"/>
          <w:sz w:val="17"/>
        </w:rPr>
        <w:t>The overall simulated on-time rate is 63.3% (190 of 300 shipments). South is highest at 76.4%; East is lowest at 40.0%. The difference supports an investigation priority for the East segment in this example. It does not establish why the gap occurs; promise-setting rules, route mix, delivery cut-offs and operating conditions would need validation in real data.</w:t>
      </w:r>
    </w:p>
    <w:p>
      <w:pPr>
        <w:spacing w:before="20" w:after="20"/>
        <w:jc w:val="center"/>
      </w:pPr>
      <w:r>
        <w:drawing>
          <wp:inline xmlns:a="http://schemas.openxmlformats.org/drawingml/2006/main" xmlns:pic="http://schemas.openxmlformats.org/drawingml/2006/picture">
            <wp:extent cx="4892040" cy="3922581"/>
            <wp:docPr id="6" name="Picture 6"/>
            <wp:cNvGraphicFramePr>
              <a:graphicFrameLocks noChangeAspect="1"/>
            </wp:cNvGraphicFramePr>
            <a:graphic>
              <a:graphicData uri="http://schemas.openxmlformats.org/drawingml/2006/picture">
                <pic:pic>
                  <pic:nvPicPr>
                    <pic:cNvPr id="0" name="week3_correlation_heatmap.png"/>
                    <pic:cNvPicPr/>
                  </pic:nvPicPr>
                  <pic:blipFill>
                    <a:blip r:embed="rId17"/>
                    <a:stretch>
                      <a:fillRect/>
                    </a:stretch>
                  </pic:blipFill>
                  <pic:spPr>
                    <a:xfrm>
                      <a:off x="0" y="0"/>
                      <a:ext cx="4892040" cy="3922581"/>
                    </a:xfrm>
                    <a:prstGeom prst="rect"/>
                  </pic:spPr>
                </pic:pic>
              </a:graphicData>
            </a:graphic>
          </wp:inline>
        </w:drawing>
      </w:r>
    </w:p>
    <w:p>
      <w:pPr>
        <w:spacing w:before="0" w:after="60"/>
        <w:jc w:val="center"/>
      </w:pPr>
      <w:r>
        <w:rPr>
          <w:rFonts w:ascii="Arial" w:hAnsi="Arial"/>
          <w:b/>
          <w:color w:val="17365D"/>
          <w:sz w:val="16"/>
        </w:rPr>
        <w:t>Figure 6. Pearson correlation heatmap for numeric variables.</w:t>
      </w:r>
    </w:p>
    <w:p>
      <w:pPr>
        <w:spacing w:after="100" w:line="259" w:lineRule="auto"/>
      </w:pPr>
      <w:r>
        <w:rPr>
          <w:rFonts w:ascii="Arial" w:hAnsi="Arial"/>
          <w:b/>
          <w:color w:val="008C95"/>
          <w:sz w:val="17"/>
        </w:rPr>
        <w:t xml:space="preserve">Interpretation. </w:t>
      </w:r>
      <w:r>
        <w:rPr>
          <w:rFonts w:ascii="Arial" w:hAnsi="Arial"/>
          <w:color w:val="243746"/>
          <w:sz w:val="17"/>
        </w:rPr>
        <w:t>Distance has a high correlation with transport cost (r = 0.983) and delivery time (r = 0.841). Shipment weight and volume are also highly related (r = 0.972), because volume was generated partly from weight. Delivery time and delay are related by their timestamp definitions. These designed dependencies are teaching examples; correlation alone does not prove cause and effects may be partly built into the simulation.</w:t>
      </w:r>
    </w:p>
    <w:p>
      <w:r>
        <w:br w:type="page"/>
      </w:r>
    </w:p>
    <w:p>
      <w:pPr>
        <w:spacing w:before="0" w:after="60"/>
      </w:pPr>
      <w:r>
        <w:rPr>
          <w:rFonts w:ascii="Arial" w:hAnsi="Arial"/>
          <w:b/>
          <w:color w:val="008C95"/>
          <w:sz w:val="16"/>
        </w:rPr>
        <w:t>06 / TRENDS &amp; FINDINGS</w:t>
      </w:r>
    </w:p>
    <w:p>
      <w:pPr>
        <w:pStyle w:val="Heading1"/>
      </w:pPr>
      <w:r>
        <w:t>Weekly Variation and Consolidated Findings</w:t>
      </w:r>
    </w:p>
    <w:p>
      <w:pPr>
        <w:spacing w:before="20" w:after="20"/>
        <w:jc w:val="center"/>
      </w:pPr>
      <w:r>
        <w:drawing>
          <wp:inline xmlns:a="http://schemas.openxmlformats.org/drawingml/2006/main" xmlns:pic="http://schemas.openxmlformats.org/drawingml/2006/picture">
            <wp:extent cx="5577840" cy="2932210"/>
            <wp:docPr id="7" name="Picture 7"/>
            <wp:cNvGraphicFramePr>
              <a:graphicFrameLocks noChangeAspect="1"/>
            </wp:cNvGraphicFramePr>
            <a:graphic>
              <a:graphicData uri="http://schemas.openxmlformats.org/drawingml/2006/picture">
                <pic:pic>
                  <pic:nvPicPr>
                    <pic:cNvPr id="0" name="week3_weekly_volume_ontime.png"/>
                    <pic:cNvPicPr/>
                  </pic:nvPicPr>
                  <pic:blipFill>
                    <a:blip r:embed="rId18"/>
                    <a:stretch>
                      <a:fillRect/>
                    </a:stretch>
                  </pic:blipFill>
                  <pic:spPr>
                    <a:xfrm>
                      <a:off x="0" y="0"/>
                      <a:ext cx="5577840" cy="2932210"/>
                    </a:xfrm>
                    <a:prstGeom prst="rect"/>
                  </pic:spPr>
                </pic:pic>
              </a:graphicData>
            </a:graphic>
          </wp:inline>
        </w:drawing>
      </w:r>
    </w:p>
    <w:p>
      <w:pPr>
        <w:spacing w:before="0" w:after="60"/>
        <w:jc w:val="center"/>
      </w:pPr>
      <w:r>
        <w:rPr>
          <w:rFonts w:ascii="Arial" w:hAnsi="Arial"/>
          <w:b/>
          <w:color w:val="17365D"/>
          <w:sz w:val="16"/>
        </w:rPr>
        <w:t>Figure 7. Weekly shipment count and on-time rate, grouped by order date.</w:t>
      </w:r>
    </w:p>
    <w:p>
      <w:pPr>
        <w:spacing w:after="100" w:line="259" w:lineRule="auto"/>
      </w:pPr>
      <w:r>
        <w:rPr>
          <w:rFonts w:ascii="Arial" w:hAnsi="Arial"/>
          <w:b/>
          <w:color w:val="008C95"/>
          <w:sz w:val="17"/>
        </w:rPr>
        <w:t xml:space="preserve">Interpretation. </w:t>
      </w:r>
      <w:r>
        <w:rPr>
          <w:rFonts w:ascii="Arial" w:hAnsi="Arial"/>
          <w:color w:val="243746"/>
          <w:sz w:val="17"/>
        </w:rPr>
        <w:t>The chart illustrates that weekly volume and on-time rate fluctuate in the synthetic sample. The final week bin contains only four orders because the simulated observation window ends on 30 September; its 100% on-time rate is therefore based on very few records and should not be compared with higher-volume weeks without uncertainty context.</w:t>
      </w:r>
    </w:p>
    <w:p>
      <w:pPr>
        <w:pStyle w:val="Heading2"/>
      </w:pPr>
      <w:r>
        <w:t>Main observations from the synthetic sample</w:t>
      </w: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1967"/>
        <w:gridCol w:w="1967"/>
        <w:gridCol w:w="1967"/>
        <w:gridCol w:w="1967"/>
        <w:gridCol w:w="1967"/>
      </w:tblGrid>
      <w:tr>
        <w:trPr>
          <w:tblHeader w:val="true"/>
          <w:cantSplit/>
        </w:trPr>
        <w:tc>
          <w:tcPr>
            <w:tcW w:type="dxa" w:w="172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Region</w:t>
            </w:r>
          </w:p>
        </w:tc>
        <w:tc>
          <w:tcPr>
            <w:tcW w:type="dxa" w:w="129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Shipments</w:t>
            </w:r>
          </w:p>
        </w:tc>
        <w:tc>
          <w:tcPr>
            <w:tcW w:type="dxa" w:w="129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On-time</w:t>
            </w:r>
          </w:p>
        </w:tc>
        <w:tc>
          <w:tcPr>
            <w:tcW w:type="dxa" w:w="1584"/>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 delay</w:t>
            </w:r>
          </w:p>
        </w:tc>
        <w:tc>
          <w:tcPr>
            <w:tcW w:type="dxa" w:w="360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 cost / shipment</w:t>
            </w:r>
          </w:p>
        </w:tc>
      </w:tr>
      <w:tr>
        <w:trPr>
          <w:cantSplit/>
        </w:trPr>
        <w:tc>
          <w:tcPr>
            <w:tcW w:type="dxa" w:w="1728"/>
            <w:vAlign w:val="center"/>
            <w:tcMar>
              <w:top w:w="80" w:type="dxa"/>
              <w:start w:w="100" w:type="dxa"/>
              <w:bottom w:w="80" w:type="dxa"/>
              <w:end w:w="100" w:type="dxa"/>
            </w:tcMar>
          </w:tcPr>
          <w:p>
            <w:pPr>
              <w:spacing w:after="0" w:before="0" w:line="252" w:lineRule="auto"/>
            </w:pPr>
            <w:r/>
            <w:r>
              <w:rPr>
                <w:rFonts w:ascii="Arial" w:hAnsi="Arial"/>
                <w:b/>
                <w:color w:val="17365D"/>
                <w:sz w:val="15"/>
              </w:rPr>
              <w:t>Central</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53</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66.0%</w:t>
            </w:r>
          </w:p>
        </w:tc>
        <w:tc>
          <w:tcPr>
            <w:tcW w:type="dxa" w:w="1584"/>
            <w:vAlign w:val="center"/>
            <w:tcMar>
              <w:top w:w="80" w:type="dxa"/>
              <w:start w:w="100" w:type="dxa"/>
              <w:bottom w:w="80" w:type="dxa"/>
              <w:end w:w="100" w:type="dxa"/>
            </w:tcMar>
          </w:tcPr>
          <w:p>
            <w:pPr>
              <w:spacing w:after="0" w:before="0" w:line="252" w:lineRule="auto"/>
            </w:pPr>
            <w:r/>
            <w:r>
              <w:rPr>
                <w:rFonts w:ascii="Arial" w:hAnsi="Arial"/>
                <w:b w:val="0"/>
                <w:color w:val="243746"/>
                <w:sz w:val="15"/>
              </w:rPr>
              <w:t>-1.97 h</w:t>
            </w:r>
          </w:p>
        </w:tc>
        <w:tc>
          <w:tcPr>
            <w:tcW w:type="dxa" w:w="3600"/>
            <w:vAlign w:val="center"/>
            <w:tcMar>
              <w:top w:w="80" w:type="dxa"/>
              <w:start w:w="100" w:type="dxa"/>
              <w:bottom w:w="80" w:type="dxa"/>
              <w:end w:w="100" w:type="dxa"/>
            </w:tcMar>
          </w:tcPr>
          <w:p>
            <w:pPr>
              <w:spacing w:after="0" w:before="0" w:line="252" w:lineRule="auto"/>
            </w:pPr>
            <w:r/>
            <w:r>
              <w:rPr>
                <w:rFonts w:ascii="Arial" w:hAnsi="Arial"/>
                <w:b w:val="0"/>
                <w:color w:val="243746"/>
                <w:sz w:val="15"/>
              </w:rPr>
              <w:t>INR 1,754</w:t>
            </w:r>
          </w:p>
        </w:tc>
      </w:tr>
      <w:tr>
        <w:trPr>
          <w:cantSplit/>
        </w:trPr>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East</w:t>
            </w:r>
          </w:p>
        </w:tc>
        <w:tc>
          <w:tcPr>
            <w:tcW w:type="dxa" w:w="129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50</w:t>
            </w:r>
          </w:p>
        </w:tc>
        <w:tc>
          <w:tcPr>
            <w:tcW w:type="dxa" w:w="129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40.0%</w:t>
            </w:r>
          </w:p>
        </w:tc>
        <w:tc>
          <w:tcPr>
            <w:tcW w:type="dxa" w:w="1584"/>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+1.18 h</w:t>
            </w:r>
          </w:p>
        </w:tc>
        <w:tc>
          <w:tcPr>
            <w:tcW w:type="dxa" w:w="360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2,047</w:t>
            </w:r>
          </w:p>
        </w:tc>
      </w:tr>
      <w:tr>
        <w:trPr>
          <w:cantSplit/>
        </w:trPr>
        <w:tc>
          <w:tcPr>
            <w:tcW w:type="dxa" w:w="1728"/>
            <w:vAlign w:val="center"/>
            <w:tcMar>
              <w:top w:w="80" w:type="dxa"/>
              <w:start w:w="100" w:type="dxa"/>
              <w:bottom w:w="80" w:type="dxa"/>
              <w:end w:w="100" w:type="dxa"/>
            </w:tcMar>
          </w:tcPr>
          <w:p>
            <w:pPr>
              <w:spacing w:after="0" w:before="0" w:line="252" w:lineRule="auto"/>
            </w:pPr>
            <w:r/>
            <w:r>
              <w:rPr>
                <w:rFonts w:ascii="Arial" w:hAnsi="Arial"/>
                <w:b/>
                <w:color w:val="17365D"/>
                <w:sz w:val="15"/>
              </w:rPr>
              <w:t>North</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74</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68.9%</w:t>
            </w:r>
          </w:p>
        </w:tc>
        <w:tc>
          <w:tcPr>
            <w:tcW w:type="dxa" w:w="1584"/>
            <w:vAlign w:val="center"/>
            <w:tcMar>
              <w:top w:w="80" w:type="dxa"/>
              <w:start w:w="100" w:type="dxa"/>
              <w:bottom w:w="80" w:type="dxa"/>
              <w:end w:w="100" w:type="dxa"/>
            </w:tcMar>
          </w:tcPr>
          <w:p>
            <w:pPr>
              <w:spacing w:after="0" w:before="0" w:line="252" w:lineRule="auto"/>
            </w:pPr>
            <w:r/>
            <w:r>
              <w:rPr>
                <w:rFonts w:ascii="Arial" w:hAnsi="Arial"/>
                <w:b w:val="0"/>
                <w:color w:val="243746"/>
                <w:sz w:val="15"/>
              </w:rPr>
              <w:t>-2.16 h</w:t>
            </w:r>
          </w:p>
        </w:tc>
        <w:tc>
          <w:tcPr>
            <w:tcW w:type="dxa" w:w="3600"/>
            <w:vAlign w:val="center"/>
            <w:tcMar>
              <w:top w:w="80" w:type="dxa"/>
              <w:start w:w="100" w:type="dxa"/>
              <w:bottom w:w="80" w:type="dxa"/>
              <w:end w:w="100" w:type="dxa"/>
            </w:tcMar>
          </w:tcPr>
          <w:p>
            <w:pPr>
              <w:spacing w:after="0" w:before="0" w:line="252" w:lineRule="auto"/>
            </w:pPr>
            <w:r/>
            <w:r>
              <w:rPr>
                <w:rFonts w:ascii="Arial" w:hAnsi="Arial"/>
                <w:b w:val="0"/>
                <w:color w:val="243746"/>
                <w:sz w:val="15"/>
              </w:rPr>
              <w:t>INR 1,591</w:t>
            </w:r>
          </w:p>
        </w:tc>
      </w:tr>
      <w:tr>
        <w:trPr>
          <w:cantSplit/>
        </w:trPr>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South</w:t>
            </w:r>
          </w:p>
        </w:tc>
        <w:tc>
          <w:tcPr>
            <w:tcW w:type="dxa" w:w="129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55</w:t>
            </w:r>
          </w:p>
        </w:tc>
        <w:tc>
          <w:tcPr>
            <w:tcW w:type="dxa" w:w="129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76.4%</w:t>
            </w:r>
          </w:p>
        </w:tc>
        <w:tc>
          <w:tcPr>
            <w:tcW w:type="dxa" w:w="1584"/>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-3.08 h</w:t>
            </w:r>
          </w:p>
        </w:tc>
        <w:tc>
          <w:tcPr>
            <w:tcW w:type="dxa" w:w="3600"/>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1,468</w:t>
            </w:r>
          </w:p>
        </w:tc>
      </w:tr>
      <w:tr>
        <w:trPr>
          <w:cantSplit/>
        </w:trPr>
        <w:tc>
          <w:tcPr>
            <w:tcW w:type="dxa" w:w="1728"/>
            <w:vAlign w:val="center"/>
            <w:tcMar>
              <w:top w:w="80" w:type="dxa"/>
              <w:start w:w="100" w:type="dxa"/>
              <w:bottom w:w="80" w:type="dxa"/>
              <w:end w:w="100" w:type="dxa"/>
            </w:tcMar>
          </w:tcPr>
          <w:p>
            <w:pPr>
              <w:spacing w:after="0" w:before="0" w:line="252" w:lineRule="auto"/>
            </w:pPr>
            <w:r/>
            <w:r>
              <w:rPr>
                <w:rFonts w:ascii="Arial" w:hAnsi="Arial"/>
                <w:b/>
                <w:color w:val="17365D"/>
                <w:sz w:val="15"/>
              </w:rPr>
              <w:t>West</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68</w:t>
            </w:r>
          </w:p>
        </w:tc>
        <w:tc>
          <w:tcPr>
            <w:tcW w:type="dxa" w:w="1296"/>
            <w:vAlign w:val="center"/>
            <w:tcMar>
              <w:top w:w="80" w:type="dxa"/>
              <w:start w:w="100" w:type="dxa"/>
              <w:bottom w:w="80" w:type="dxa"/>
              <w:end w:w="100" w:type="dxa"/>
            </w:tcMar>
          </w:tcPr>
          <w:p>
            <w:pPr>
              <w:spacing w:after="0" w:before="0" w:line="252" w:lineRule="auto"/>
            </w:pPr>
            <w:r/>
            <w:r>
              <w:rPr>
                <w:rFonts w:ascii="Arial" w:hAnsi="Arial"/>
                <w:b w:val="0"/>
                <w:color w:val="243746"/>
                <w:sz w:val="15"/>
              </w:rPr>
              <w:t>61.8%</w:t>
            </w:r>
          </w:p>
        </w:tc>
        <w:tc>
          <w:tcPr>
            <w:tcW w:type="dxa" w:w="1584"/>
            <w:vAlign w:val="center"/>
            <w:tcMar>
              <w:top w:w="80" w:type="dxa"/>
              <w:start w:w="100" w:type="dxa"/>
              <w:bottom w:w="80" w:type="dxa"/>
              <w:end w:w="100" w:type="dxa"/>
            </w:tcMar>
          </w:tcPr>
          <w:p>
            <w:pPr>
              <w:spacing w:after="0" w:before="0" w:line="252" w:lineRule="auto"/>
            </w:pPr>
            <w:r/>
            <w:r>
              <w:rPr>
                <w:rFonts w:ascii="Arial" w:hAnsi="Arial"/>
                <w:b w:val="0"/>
                <w:color w:val="243746"/>
                <w:sz w:val="15"/>
              </w:rPr>
              <w:t>-0.90 h</w:t>
            </w:r>
          </w:p>
        </w:tc>
        <w:tc>
          <w:tcPr>
            <w:tcW w:type="dxa" w:w="3600"/>
            <w:vAlign w:val="center"/>
            <w:tcMar>
              <w:top w:w="80" w:type="dxa"/>
              <w:start w:w="100" w:type="dxa"/>
              <w:bottom w:w="80" w:type="dxa"/>
              <w:end w:w="100" w:type="dxa"/>
            </w:tcMar>
          </w:tcPr>
          <w:p>
            <w:pPr>
              <w:spacing w:after="0" w:before="0" w:line="252" w:lineRule="auto"/>
            </w:pPr>
            <w:r/>
            <w:r>
              <w:rPr>
                <w:rFonts w:ascii="Arial" w:hAnsi="Arial"/>
                <w:b w:val="0"/>
                <w:color w:val="243746"/>
                <w:sz w:val="15"/>
              </w:rPr>
              <w:t>INR 1,627</w:t>
            </w:r>
          </w:p>
        </w:tc>
      </w:tr>
    </w:tbl>
    <w:p>
      <w:pPr>
        <w:spacing w:after="0" w:before="0"/>
      </w:pP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1639"/>
        <w:gridCol w:w="1639"/>
        <w:gridCol w:w="1639"/>
        <w:gridCol w:w="1639"/>
        <w:gridCol w:w="1639"/>
        <w:gridCol w:w="1639"/>
      </w:tblGrid>
      <w:tr>
        <w:trPr>
          <w:tblHeader w:val="true"/>
          <w:cantSplit/>
        </w:trPr>
        <w:tc>
          <w:tcPr>
            <w:tcW w:type="dxa" w:w="1800"/>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Vehicle</w:t>
            </w:r>
          </w:p>
        </w:tc>
        <w:tc>
          <w:tcPr>
            <w:tcW w:type="dxa" w:w="93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Count</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 km</w:t>
            </w:r>
          </w:p>
        </w:tc>
        <w:tc>
          <w:tcPr>
            <w:tcW w:type="dxa" w:w="165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 cost</w:t>
            </w:r>
          </w:p>
        </w:tc>
        <w:tc>
          <w:tcPr>
            <w:tcW w:type="dxa" w:w="172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Mean INR/km</w:t>
            </w:r>
          </w:p>
        </w:tc>
        <w:tc>
          <w:tcPr>
            <w:tcW w:type="dxa" w:w="172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5"/>
              </w:rPr>
              <w:t>On-time</w:t>
            </w:r>
          </w:p>
        </w:tc>
      </w:tr>
      <w:tr>
        <w:trPr>
          <w:cantSplit/>
        </w:trPr>
        <w:tc>
          <w:tcPr>
            <w:tcW w:type="dxa" w:w="1800"/>
            <w:vAlign w:val="center"/>
            <w:tcMar>
              <w:top w:w="80" w:type="dxa"/>
              <w:start w:w="100" w:type="dxa"/>
              <w:bottom w:w="80" w:type="dxa"/>
              <w:end w:w="100" w:type="dxa"/>
            </w:tcMar>
          </w:tcPr>
          <w:p>
            <w:pPr>
              <w:spacing w:after="0" w:before="0" w:line="252" w:lineRule="auto"/>
            </w:pPr>
            <w:r/>
            <w:r>
              <w:rPr>
                <w:rFonts w:ascii="Arial" w:hAnsi="Arial"/>
                <w:b/>
                <w:color w:val="17365D"/>
                <w:sz w:val="15"/>
              </w:rPr>
              <w:t>Mini-truck</w:t>
            </w:r>
          </w:p>
        </w:tc>
        <w:tc>
          <w:tcPr>
            <w:tcW w:type="dxa" w:w="936"/>
            <w:vAlign w:val="center"/>
            <w:tcMar>
              <w:top w:w="80" w:type="dxa"/>
              <w:start w:w="100" w:type="dxa"/>
              <w:bottom w:w="80" w:type="dxa"/>
              <w:end w:w="100" w:type="dxa"/>
            </w:tcMar>
          </w:tcPr>
          <w:p>
            <w:pPr>
              <w:spacing w:after="0" w:before="0" w:line="252" w:lineRule="auto"/>
            </w:pPr>
            <w:r/>
            <w:r>
              <w:rPr>
                <w:rFonts w:ascii="Arial" w:hAnsi="Arial"/>
                <w:b w:val="0"/>
                <w:color w:val="243746"/>
                <w:sz w:val="15"/>
              </w:rPr>
              <w:t>87</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119.2</w:t>
            </w:r>
          </w:p>
        </w:tc>
        <w:tc>
          <w:tcPr>
            <w:tcW w:type="dxa" w:w="1656"/>
            <w:vAlign w:val="center"/>
            <w:tcMar>
              <w:top w:w="80" w:type="dxa"/>
              <w:start w:w="100" w:type="dxa"/>
              <w:bottom w:w="80" w:type="dxa"/>
              <w:end w:w="100" w:type="dxa"/>
            </w:tcMar>
          </w:tcPr>
          <w:p>
            <w:pPr>
              <w:spacing w:after="0" w:before="0" w:line="252" w:lineRule="auto"/>
            </w:pPr>
            <w:r/>
            <w:r>
              <w:rPr>
                <w:rFonts w:ascii="Arial" w:hAnsi="Arial"/>
                <w:b w:val="0"/>
                <w:color w:val="243746"/>
                <w:sz w:val="15"/>
              </w:rPr>
              <w:t>INR 1,933</w:t>
            </w:r>
          </w:p>
        </w:tc>
        <w:tc>
          <w:tcPr>
            <w:tcW w:type="dxa" w:w="1728"/>
            <w:vAlign w:val="center"/>
            <w:tcMar>
              <w:top w:w="80" w:type="dxa"/>
              <w:start w:w="100" w:type="dxa"/>
              <w:bottom w:w="80" w:type="dxa"/>
              <w:end w:w="100" w:type="dxa"/>
            </w:tcMar>
          </w:tcPr>
          <w:p>
            <w:pPr>
              <w:spacing w:after="0" w:before="0" w:line="252" w:lineRule="auto"/>
            </w:pPr>
            <w:r/>
            <w:r>
              <w:rPr>
                <w:rFonts w:ascii="Arial" w:hAnsi="Arial"/>
                <w:b w:val="0"/>
                <w:color w:val="243746"/>
                <w:sz w:val="15"/>
              </w:rPr>
              <w:t>INR 16.99</w:t>
            </w:r>
          </w:p>
        </w:tc>
        <w:tc>
          <w:tcPr>
            <w:tcW w:type="dxa" w:w="1728"/>
            <w:vAlign w:val="center"/>
            <w:tcMar>
              <w:top w:w="80" w:type="dxa"/>
              <w:start w:w="100" w:type="dxa"/>
              <w:bottom w:w="80" w:type="dxa"/>
              <w:end w:w="100" w:type="dxa"/>
            </w:tcMar>
          </w:tcPr>
          <w:p>
            <w:pPr>
              <w:spacing w:after="0" w:before="0" w:line="252" w:lineRule="auto"/>
            </w:pPr>
            <w:r/>
            <w:r>
              <w:rPr>
                <w:rFonts w:ascii="Arial" w:hAnsi="Arial"/>
                <w:b w:val="0"/>
                <w:color w:val="243746"/>
                <w:sz w:val="15"/>
              </w:rPr>
              <w:t>52.9%</w:t>
            </w:r>
          </w:p>
        </w:tc>
      </w:tr>
      <w:tr>
        <w:trPr>
          <w:cantSplit/>
        </w:trPr>
        <w:tc>
          <w:tcPr>
            <w:tcW w:type="dxa" w:w="1800"/>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Truck</w:t>
            </w:r>
          </w:p>
        </w:tc>
        <w:tc>
          <w:tcPr>
            <w:tcW w:type="dxa" w:w="93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41</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266.7</w:t>
            </w:r>
          </w:p>
        </w:tc>
        <w:tc>
          <w:tcPr>
            <w:tcW w:type="dxa" w:w="165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5,307</w:t>
            </w:r>
          </w:p>
        </w:tc>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20.71</w:t>
            </w:r>
          </w:p>
        </w:tc>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26.8%</w:t>
            </w:r>
          </w:p>
        </w:tc>
      </w:tr>
      <w:tr>
        <w:trPr>
          <w:cantSplit/>
        </w:trPr>
        <w:tc>
          <w:tcPr>
            <w:tcW w:type="dxa" w:w="1800"/>
            <w:vAlign w:val="center"/>
            <w:tcMar>
              <w:top w:w="80" w:type="dxa"/>
              <w:start w:w="100" w:type="dxa"/>
              <w:bottom w:w="80" w:type="dxa"/>
              <w:end w:w="100" w:type="dxa"/>
            </w:tcMar>
          </w:tcPr>
          <w:p>
            <w:pPr>
              <w:spacing w:after="0" w:before="0" w:line="252" w:lineRule="auto"/>
            </w:pPr>
            <w:r/>
            <w:r>
              <w:rPr>
                <w:rFonts w:ascii="Arial" w:hAnsi="Arial"/>
                <w:b/>
                <w:color w:val="17365D"/>
                <w:sz w:val="15"/>
              </w:rPr>
              <w:t>Two-wheeler</w:t>
            </w:r>
          </w:p>
        </w:tc>
        <w:tc>
          <w:tcPr>
            <w:tcW w:type="dxa" w:w="936"/>
            <w:vAlign w:val="center"/>
            <w:tcMar>
              <w:top w:w="80" w:type="dxa"/>
              <w:start w:w="100" w:type="dxa"/>
              <w:bottom w:w="80" w:type="dxa"/>
              <w:end w:w="100" w:type="dxa"/>
            </w:tcMar>
          </w:tcPr>
          <w:p>
            <w:pPr>
              <w:spacing w:after="0" w:before="0" w:line="252" w:lineRule="auto"/>
            </w:pPr>
            <w:r/>
            <w:r>
              <w:rPr>
                <w:rFonts w:ascii="Arial" w:hAnsi="Arial"/>
                <w:b w:val="0"/>
                <w:color w:val="243746"/>
                <w:sz w:val="15"/>
              </w:rPr>
              <w:t>42</w:t>
            </w:r>
          </w:p>
        </w:tc>
        <w:tc>
          <w:tcPr>
            <w:tcW w:type="dxa" w:w="1152"/>
            <w:vAlign w:val="center"/>
            <w:tcMar>
              <w:top w:w="80" w:type="dxa"/>
              <w:start w:w="100" w:type="dxa"/>
              <w:bottom w:w="80" w:type="dxa"/>
              <w:end w:w="100" w:type="dxa"/>
            </w:tcMar>
          </w:tcPr>
          <w:p>
            <w:pPr>
              <w:spacing w:after="0" w:before="0" w:line="252" w:lineRule="auto"/>
            </w:pPr>
            <w:r/>
            <w:r>
              <w:rPr>
                <w:rFonts w:ascii="Arial" w:hAnsi="Arial"/>
                <w:b w:val="0"/>
                <w:color w:val="243746"/>
                <w:sz w:val="15"/>
              </w:rPr>
              <w:t>22.6</w:t>
            </w:r>
          </w:p>
        </w:tc>
        <w:tc>
          <w:tcPr>
            <w:tcW w:type="dxa" w:w="1656"/>
            <w:vAlign w:val="center"/>
            <w:tcMar>
              <w:top w:w="80" w:type="dxa"/>
              <w:start w:w="100" w:type="dxa"/>
              <w:bottom w:w="80" w:type="dxa"/>
              <w:end w:w="100" w:type="dxa"/>
            </w:tcMar>
          </w:tcPr>
          <w:p>
            <w:pPr>
              <w:spacing w:after="0" w:before="0" w:line="252" w:lineRule="auto"/>
            </w:pPr>
            <w:r/>
            <w:r>
              <w:rPr>
                <w:rFonts w:ascii="Arial" w:hAnsi="Arial"/>
                <w:b w:val="0"/>
                <w:color w:val="243746"/>
                <w:sz w:val="15"/>
              </w:rPr>
              <w:t>INR 235</w:t>
            </w:r>
          </w:p>
        </w:tc>
        <w:tc>
          <w:tcPr>
            <w:tcW w:type="dxa" w:w="1728"/>
            <w:vAlign w:val="center"/>
            <w:tcMar>
              <w:top w:w="80" w:type="dxa"/>
              <w:start w:w="100" w:type="dxa"/>
              <w:bottom w:w="80" w:type="dxa"/>
              <w:end w:w="100" w:type="dxa"/>
            </w:tcMar>
          </w:tcPr>
          <w:p>
            <w:pPr>
              <w:spacing w:after="0" w:before="0" w:line="252" w:lineRule="auto"/>
            </w:pPr>
            <w:r/>
            <w:r>
              <w:rPr>
                <w:rFonts w:ascii="Arial" w:hAnsi="Arial"/>
                <w:b w:val="0"/>
                <w:color w:val="243746"/>
                <w:sz w:val="15"/>
              </w:rPr>
              <w:t>INR 11.85</w:t>
            </w:r>
          </w:p>
        </w:tc>
        <w:tc>
          <w:tcPr>
            <w:tcW w:type="dxa" w:w="1728"/>
            <w:vAlign w:val="center"/>
            <w:tcMar>
              <w:top w:w="80" w:type="dxa"/>
              <w:start w:w="100" w:type="dxa"/>
              <w:bottom w:w="80" w:type="dxa"/>
              <w:end w:w="100" w:type="dxa"/>
            </w:tcMar>
          </w:tcPr>
          <w:p>
            <w:pPr>
              <w:spacing w:after="0" w:before="0" w:line="252" w:lineRule="auto"/>
            </w:pPr>
            <w:r/>
            <w:r>
              <w:rPr>
                <w:rFonts w:ascii="Arial" w:hAnsi="Arial"/>
                <w:b w:val="0"/>
                <w:color w:val="243746"/>
                <w:sz w:val="15"/>
              </w:rPr>
              <w:t>76.2%</w:t>
            </w:r>
          </w:p>
        </w:tc>
      </w:tr>
      <w:tr>
        <w:trPr>
          <w:cantSplit/>
        </w:trPr>
        <w:tc>
          <w:tcPr>
            <w:tcW w:type="dxa" w:w="1800"/>
            <w:vAlign w:val="center"/>
            <w:tcMar>
              <w:top w:w="80" w:type="dxa"/>
              <w:start w:w="100" w:type="dxa"/>
              <w:bottom w:w="80" w:type="dxa"/>
              <w:end w:w="100" w:type="dxa"/>
            </w:tcMar>
            <w:shd w:fill="F4F7FA"/>
          </w:tcPr>
          <w:p>
            <w:pPr>
              <w:spacing w:after="0" w:before="0" w:line="252" w:lineRule="auto"/>
            </w:pPr>
            <w:r/>
            <w:r>
              <w:rPr>
                <w:rFonts w:ascii="Arial" w:hAnsi="Arial"/>
                <w:b/>
                <w:color w:val="17365D"/>
                <w:sz w:val="15"/>
              </w:rPr>
              <w:t>Van</w:t>
            </w:r>
          </w:p>
        </w:tc>
        <w:tc>
          <w:tcPr>
            <w:tcW w:type="dxa" w:w="93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130</w:t>
            </w:r>
          </w:p>
        </w:tc>
        <w:tc>
          <w:tcPr>
            <w:tcW w:type="dxa" w:w="1152"/>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65.1</w:t>
            </w:r>
          </w:p>
        </w:tc>
        <w:tc>
          <w:tcPr>
            <w:tcW w:type="dxa" w:w="1656"/>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837</w:t>
            </w:r>
          </w:p>
        </w:tc>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INR 14.54</w:t>
            </w:r>
          </w:p>
        </w:tc>
        <w:tc>
          <w:tcPr>
            <w:tcW w:type="dxa" w:w="172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5"/>
              </w:rPr>
              <w:t>77.7%</w:t>
            </w:r>
          </w:p>
        </w:tc>
      </w:tr>
    </w:tbl>
    <w:p>
      <w:pPr>
        <w:spacing w:after="0" w:before="0"/>
      </w:pPr>
    </w:p>
    <w:p>
      <w:pPr>
        <w:spacing w:after="0" w:before="0" w:line="269" w:lineRule="auto"/>
      </w:pPr>
      <w:r>
        <w:rPr>
          <w:i w:val="0"/>
        </w:rPr>
        <w:t>Reading note: group sizes differ and vehicle types have intentionally different distance and load profiles. A fair operational comparison should normalize cost by distance or payload and should compare similar routes and service requirements.</w:t>
      </w:r>
    </w:p>
    <w:p>
      <w:r>
        <w:br w:type="page"/>
      </w:r>
    </w:p>
    <w:p>
      <w:pPr>
        <w:spacing w:before="0" w:after="60"/>
      </w:pPr>
      <w:r>
        <w:rPr>
          <w:rFonts w:ascii="Arial" w:hAnsi="Arial"/>
          <w:b/>
          <w:color w:val="008C95"/>
          <w:sz w:val="16"/>
        </w:rPr>
        <w:t>07 / RECOMMENDATIONS</w:t>
      </w:r>
    </w:p>
    <w:p>
      <w:pPr>
        <w:pStyle w:val="Heading1"/>
      </w:pPr>
      <w:r>
        <w:t>Actionable Recommendations for Further Investigation</w:t>
      </w:r>
    </w:p>
    <w:tbl>
      <w:tblPr>
        <w:tblW w:type="auto" w:w="0"/>
        <w:jc w:val="center"/>
        <w:tblLayout w:type="fixed"/>
        <w:tblLook w:firstColumn="1" w:firstRow="1" w:lastColumn="0" w:lastRow="0" w:noHBand="0" w:noVBand="1" w:val="04A0"/>
        <w:tblBorders>
          <w:top w:val="single" w:sz="4" w:space="0" w:color="CCD6DF"/>
          <w:left w:val="single" w:sz="4" w:space="0" w:color="CCD6DF"/>
          <w:bottom w:val="single" w:sz="4" w:space="0" w:color="CCD6DF"/>
          <w:right w:val="single" w:sz="4" w:space="0" w:color="CCD6DF"/>
          <w:insideH w:val="single" w:sz="4" w:space="0" w:color="CCD6DF"/>
          <w:insideV w:val="single" w:sz="4" w:space="0" w:color="CCD6DF"/>
        </w:tblBorders>
      </w:tblPr>
      <w:tblGrid>
        <w:gridCol w:w="4917"/>
        <w:gridCol w:w="4917"/>
      </w:tblGrid>
      <w:tr>
        <w:trPr>
          <w:tblHeader w:val="true"/>
          <w:cantSplit/>
        </w:trPr>
        <w:tc>
          <w:tcPr>
            <w:tcW w:type="dxa" w:w="2376"/>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Recommendation</w:t>
            </w:r>
          </w:p>
        </w:tc>
        <w:tc>
          <w:tcPr>
            <w:tcW w:type="dxa" w:w="7488"/>
            <w:vAlign w:val="center"/>
            <w:tcMar>
              <w:top w:w="80" w:type="dxa"/>
              <w:start w:w="100" w:type="dxa"/>
              <w:bottom w:w="80" w:type="dxa"/>
              <w:end w:w="100" w:type="dxa"/>
            </w:tcMar>
            <w:shd w:fill="17365D"/>
          </w:tcPr>
          <w:p>
            <w:pPr>
              <w:spacing w:after="0" w:before="0" w:line="252" w:lineRule="auto"/>
              <w:jc w:val="center"/>
            </w:pPr>
            <w:r/>
            <w:r>
              <w:rPr>
                <w:rFonts w:ascii="Arial" w:hAnsi="Arial"/>
                <w:b/>
                <w:color w:val="FFFFFF"/>
                <w:sz w:val="16"/>
              </w:rPr>
              <w:t>Implementation detail</w:t>
            </w:r>
          </w:p>
        </w:tc>
      </w:tr>
      <w:tr>
        <w:trPr>
          <w:cantSplit/>
        </w:trPr>
        <w:tc>
          <w:tcPr>
            <w:tcW w:type="dxa" w:w="2376"/>
            <w:vAlign w:val="center"/>
            <w:tcMar>
              <w:top w:w="80" w:type="dxa"/>
              <w:start w:w="100" w:type="dxa"/>
              <w:bottom w:w="80" w:type="dxa"/>
              <w:end w:w="100" w:type="dxa"/>
            </w:tcMar>
          </w:tcPr>
          <w:p>
            <w:pPr>
              <w:spacing w:after="0" w:before="0" w:line="252" w:lineRule="auto"/>
            </w:pPr>
            <w:r/>
            <w:r>
              <w:rPr>
                <w:rFonts w:ascii="Arial" w:hAnsi="Arial"/>
                <w:b/>
                <w:color w:val="17365D"/>
                <w:sz w:val="16"/>
              </w:rPr>
              <w:t>1. Investigate the East segment</w:t>
            </w:r>
          </w:p>
        </w:tc>
        <w:tc>
          <w:tcPr>
            <w:tcW w:type="dxa" w:w="7488"/>
            <w:vAlign w:val="center"/>
            <w:tcMar>
              <w:top w:w="80" w:type="dxa"/>
              <w:start w:w="100" w:type="dxa"/>
              <w:bottom w:w="80" w:type="dxa"/>
              <w:end w:w="100" w:type="dxa"/>
            </w:tcMar>
          </w:tcPr>
          <w:p>
            <w:pPr>
              <w:spacing w:after="0" w:before="0" w:line="252" w:lineRule="auto"/>
            </w:pPr>
            <w:r/>
            <w:r>
              <w:rPr>
                <w:rFonts w:ascii="Arial" w:hAnsi="Arial"/>
                <w:b w:val="0"/>
                <w:color w:val="243746"/>
                <w:sz w:val="16"/>
              </w:rPr>
              <w:t>Start with route-level drill-down for late shipments: compare distance bands, order cut-off, promised SLA, vehicle type, and volume. Validate whether the regional gap persists in real records.</w:t>
            </w:r>
          </w:p>
        </w:tc>
      </w:tr>
      <w:tr>
        <w:trPr>
          <w:cantSplit/>
        </w:trPr>
        <w:tc>
          <w:tcPr>
            <w:tcW w:type="dxa" w:w="2376"/>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2. Report robust delivery statistics</w:t>
            </w:r>
          </w:p>
        </w:tc>
        <w:tc>
          <w:tcPr>
            <w:tcW w:type="dxa" w:w="748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Publish median, interquartile range and upper-percentile delivery duration alongside the mean. Review extreme-duration shipments individually before excluding any observation.</w:t>
            </w:r>
          </w:p>
        </w:tc>
      </w:tr>
      <w:tr>
        <w:trPr>
          <w:cantSplit/>
        </w:trPr>
        <w:tc>
          <w:tcPr>
            <w:tcW w:type="dxa" w:w="2376"/>
            <w:vAlign w:val="center"/>
            <w:tcMar>
              <w:top w:w="80" w:type="dxa"/>
              <w:start w:w="100" w:type="dxa"/>
              <w:bottom w:w="80" w:type="dxa"/>
              <w:end w:w="100" w:type="dxa"/>
            </w:tcMar>
          </w:tcPr>
          <w:p>
            <w:pPr>
              <w:spacing w:after="0" w:before="0" w:line="252" w:lineRule="auto"/>
            </w:pPr>
            <w:r/>
            <w:r>
              <w:rPr>
                <w:rFonts w:ascii="Arial" w:hAnsi="Arial"/>
                <w:b/>
                <w:color w:val="17365D"/>
                <w:sz w:val="16"/>
              </w:rPr>
              <w:t>3. Normalize logistics cost</w:t>
            </w:r>
          </w:p>
        </w:tc>
        <w:tc>
          <w:tcPr>
            <w:tcW w:type="dxa" w:w="7488"/>
            <w:vAlign w:val="center"/>
            <w:tcMar>
              <w:top w:w="80" w:type="dxa"/>
              <w:start w:w="100" w:type="dxa"/>
              <w:bottom w:w="80" w:type="dxa"/>
              <w:end w:w="100" w:type="dxa"/>
            </w:tcMar>
          </w:tcPr>
          <w:p>
            <w:pPr>
              <w:spacing w:after="0" w:before="0" w:line="252" w:lineRule="auto"/>
            </w:pPr>
            <w:r/>
            <w:r>
              <w:rPr>
                <w:rFonts w:ascii="Arial" w:hAnsi="Arial"/>
                <w:b w:val="0"/>
                <w:color w:val="243746"/>
                <w:sz w:val="16"/>
              </w:rPr>
              <w:t>Pair cost per shipment with cost per kilometre and cost per kilogram (where weight is valid). Compare vehicle modes only across comparable route lengths, payloads and promised service levels.</w:t>
            </w:r>
          </w:p>
        </w:tc>
      </w:tr>
      <w:tr>
        <w:trPr>
          <w:cantSplit/>
        </w:trPr>
        <w:tc>
          <w:tcPr>
            <w:tcW w:type="dxa" w:w="2376"/>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4. Review promise-time definitions</w:t>
            </w:r>
          </w:p>
        </w:tc>
        <w:tc>
          <w:tcPr>
            <w:tcW w:type="dxa" w:w="748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Confirm how promised timestamps are set, including weekends, cut-off times, time zones and rescheduling. A weak promise-time definition can distort on-time KPIs.</w:t>
            </w:r>
          </w:p>
        </w:tc>
      </w:tr>
      <w:tr>
        <w:trPr>
          <w:cantSplit/>
        </w:trPr>
        <w:tc>
          <w:tcPr>
            <w:tcW w:type="dxa" w:w="2376"/>
            <w:vAlign w:val="center"/>
            <w:tcMar>
              <w:top w:w="80" w:type="dxa"/>
              <w:start w:w="100" w:type="dxa"/>
              <w:bottom w:w="80" w:type="dxa"/>
              <w:end w:w="100" w:type="dxa"/>
            </w:tcMar>
          </w:tcPr>
          <w:p>
            <w:pPr>
              <w:spacing w:after="0" w:before="0" w:line="252" w:lineRule="auto"/>
            </w:pPr>
            <w:r/>
            <w:r>
              <w:rPr>
                <w:rFonts w:ascii="Arial" w:hAnsi="Arial"/>
                <w:b/>
                <w:color w:val="17365D"/>
                <w:sz w:val="16"/>
              </w:rPr>
              <w:t>5. Monitor weekly sample size</w:t>
            </w:r>
          </w:p>
        </w:tc>
        <w:tc>
          <w:tcPr>
            <w:tcW w:type="dxa" w:w="7488"/>
            <w:vAlign w:val="center"/>
            <w:tcMar>
              <w:top w:w="80" w:type="dxa"/>
              <w:start w:w="100" w:type="dxa"/>
              <w:bottom w:w="80" w:type="dxa"/>
              <w:end w:w="100" w:type="dxa"/>
            </w:tcMar>
          </w:tcPr>
          <w:p>
            <w:pPr>
              <w:spacing w:after="0" w:before="0" w:line="252" w:lineRule="auto"/>
            </w:pPr>
            <w:r/>
            <w:r>
              <w:rPr>
                <w:rFonts w:ascii="Arial" w:hAnsi="Arial"/>
                <w:b w:val="0"/>
                <w:color w:val="243746"/>
                <w:sz w:val="16"/>
              </w:rPr>
              <w:t>Show order counts with weekly service rates and avoid interpreting small-volume weeks as stable performance. For operational use, add confidence intervals or minimum-sample flags.</w:t>
            </w:r>
          </w:p>
        </w:tc>
      </w:tr>
      <w:tr>
        <w:trPr>
          <w:cantSplit/>
        </w:trPr>
        <w:tc>
          <w:tcPr>
            <w:tcW w:type="dxa" w:w="2376"/>
            <w:vAlign w:val="center"/>
            <w:tcMar>
              <w:top w:w="80" w:type="dxa"/>
              <w:start w:w="100" w:type="dxa"/>
              <w:bottom w:w="80" w:type="dxa"/>
              <w:end w:w="100" w:type="dxa"/>
            </w:tcMar>
            <w:shd w:fill="F4F7FA"/>
          </w:tcPr>
          <w:p>
            <w:pPr>
              <w:spacing w:after="0" w:before="0" w:line="252" w:lineRule="auto"/>
            </w:pPr>
            <w:r/>
            <w:r>
              <w:rPr>
                <w:rFonts w:ascii="Arial" w:hAnsi="Arial"/>
                <w:b/>
                <w:color w:val="17365D"/>
                <w:sz w:val="16"/>
              </w:rPr>
              <w:t>6. Validate before action</w:t>
            </w:r>
          </w:p>
        </w:tc>
        <w:tc>
          <w:tcPr>
            <w:tcW w:type="dxa" w:w="7488"/>
            <w:vAlign w:val="center"/>
            <w:tcMar>
              <w:top w:w="80" w:type="dxa"/>
              <w:start w:w="100" w:type="dxa"/>
              <w:bottom w:w="80" w:type="dxa"/>
              <w:end w:w="100" w:type="dxa"/>
            </w:tcMar>
            <w:shd w:fill="F4F7FA"/>
          </w:tcPr>
          <w:p>
            <w:pPr>
              <w:spacing w:after="0" w:before="0" w:line="252" w:lineRule="auto"/>
            </w:pPr>
            <w:r/>
            <w:r>
              <w:rPr>
                <w:rFonts w:ascii="Arial" w:hAnsi="Arial"/>
                <w:b w:val="0"/>
                <w:color w:val="243746"/>
                <w:sz w:val="16"/>
              </w:rPr>
              <w:t>Re-run the same pipeline on appropriately licensed real data. Check data quality, segment sample sizes and measurement definitions before any staffing, fleet or routing recommendation.</w:t>
            </w:r>
          </w:p>
        </w:tc>
      </w:tr>
    </w:tbl>
    <w:p>
      <w:pPr>
        <w:spacing w:after="0" w:before="0"/>
      </w:pPr>
    </w:p>
    <w:p>
      <w:pPr>
        <w:pStyle w:val="Heading2"/>
      </w:pPr>
      <w:r>
        <w:t>Limitations and assumptions</w:t>
      </w:r>
    </w:p>
    <w:p>
      <w:pPr>
        <w:pStyle w:val="ListBullet"/>
        <w:spacing w:after="40" w:line="257" w:lineRule="auto"/>
        <w:ind w:left="317" w:hanging="187"/>
      </w:pPr>
      <w:r>
        <w:rPr>
          <w:rFonts w:ascii="Arial" w:hAnsi="Arial"/>
          <w:sz w:val="18"/>
        </w:rPr>
        <w:t>All 300 rows are synthetic, generated locally with a fixed seed. The KPI values describe only this teaching fixture.</w:t>
      </w:r>
    </w:p>
    <w:p>
      <w:pPr>
        <w:pStyle w:val="ListBullet"/>
        <w:spacing w:after="40" w:line="257" w:lineRule="auto"/>
        <w:ind w:left="317" w:hanging="187"/>
      </w:pPr>
      <w:r>
        <w:rPr>
          <w:rFonts w:ascii="Arial" w:hAnsi="Arial"/>
          <w:sz w:val="18"/>
        </w:rPr>
        <w:t>Cost was generated using distance, vehicle type, weight, package volume, region adjustments and random noise; therefore some correlations are intentionally embedded in the construction of the data.</w:t>
      </w:r>
    </w:p>
    <w:p>
      <w:pPr>
        <w:pStyle w:val="ListBullet"/>
        <w:spacing w:after="40" w:line="257" w:lineRule="auto"/>
        <w:ind w:left="317" w:hanging="187"/>
      </w:pPr>
      <w:r>
        <w:rPr>
          <w:rFonts w:ascii="Arial" w:hAnsi="Arial"/>
          <w:sz w:val="18"/>
        </w:rPr>
        <w:t>Only completed shipments are present. Pending, cancelled, returned, re-delivered and rescheduled orders are not modelled.</w:t>
      </w:r>
    </w:p>
    <w:p>
      <w:pPr>
        <w:pStyle w:val="ListBullet"/>
        <w:spacing w:after="40" w:line="257" w:lineRule="auto"/>
        <w:ind w:left="317" w:hanging="187"/>
      </w:pPr>
      <w:r>
        <w:rPr>
          <w:rFonts w:ascii="Arial" w:hAnsi="Arial"/>
          <w:sz w:val="18"/>
        </w:rPr>
        <w:t>The analysis is descriptive. There is no causal identification, inferential claim, forecasting model, route optimizer or estimate of potential savings.</w:t>
      </w:r>
    </w:p>
    <w:p>
      <w:pPr>
        <w:pStyle w:val="ListBullet"/>
        <w:spacing w:after="40" w:line="257" w:lineRule="auto"/>
        <w:ind w:left="317" w:hanging="187"/>
      </w:pPr>
      <w:r>
        <w:rPr>
          <w:rFonts w:ascii="Arial" w:hAnsi="Arial"/>
          <w:sz w:val="18"/>
        </w:rPr>
        <w:t>Regional and vehicle differences may be confounded by distance, weight, volume and service commitments; segment-adjusted analysis is required for real decisions.</w:t>
      </w:r>
    </w:p>
    <w:tbl>
      <w:tblPr>
        <w:tblW w:type="auto" w:w="0"/>
        <w:jc w:val="center"/>
        <w:tblLayout w:type="fixed"/>
        <w:tblLook w:firstColumn="1" w:firstRow="1" w:lastColumn="0" w:lastRow="0" w:noHBand="0" w:noVBand="1" w:val="04A0"/>
        <w:tblBorders>
          <w:top w:val="single" w:sz="4" w:space="0" w:color="C5D7E5"/>
          <w:left w:val="single" w:sz="4" w:space="0" w:color="C5D7E5"/>
          <w:bottom w:val="single" w:sz="4" w:space="0" w:color="C5D7E5"/>
          <w:right w:val="single" w:sz="4" w:space="0" w:color="C5D7E5"/>
          <w:insideH w:val="single" w:sz="4" w:space="0" w:color="C5D7E5"/>
          <w:insideV w:val="single" w:sz="4" w:space="0" w:color="C5D7E5"/>
        </w:tblBorders>
      </w:tblPr>
      <w:tblGrid>
        <w:gridCol w:w="9835"/>
      </w:tblGrid>
      <w:tr>
        <w:tc>
          <w:tcPr>
            <w:tcW w:type="dxa" w:w="9835"/>
            <w:shd w:fill="FFF4DE"/>
            <w:tcMar>
              <w:top w:w="120" w:type="dxa"/>
              <w:start w:w="150" w:type="dxa"/>
              <w:bottom w:w="120" w:type="dxa"/>
              <w:end w:w="150" w:type="dxa"/>
            </w:tcMar>
          </w:tcPr>
          <w:p>
            <w:pPr>
              <w:spacing w:after="40"/>
            </w:pPr>
            <w:r/>
            <w:r>
              <w:rPr>
                <w:rFonts w:ascii="Arial" w:hAnsi="Arial"/>
                <w:b/>
                <w:color w:val="17365D"/>
                <w:sz w:val="18"/>
              </w:rPr>
              <w:t>DECISION SAFEGUARD</w:t>
            </w:r>
          </w:p>
          <w:p>
            <w:pPr>
              <w:spacing w:after="0" w:line="259" w:lineRule="auto"/>
            </w:pPr>
            <w:r>
              <w:rPr>
                <w:rFonts w:ascii="Arial" w:hAnsi="Arial"/>
                <w:color w:val="243746"/>
                <w:sz w:val="17"/>
              </w:rPr>
              <w:t>Use the reported patterns to demonstrate an analytical workflow, not to make operational decisions about a real carrier. Any real-world recommendation requires verified source data and stakeholder validation.</w:t>
            </w:r>
          </w:p>
        </w:tc>
      </w:tr>
    </w:tbl>
    <w:p>
      <w:pPr>
        <w:spacing w:after="0"/>
      </w:pPr>
    </w:p>
    <w:p>
      <w:r>
        <w:br w:type="page"/>
      </w:r>
    </w:p>
    <w:p>
      <w:pPr>
        <w:spacing w:before="0" w:after="60"/>
      </w:pPr>
      <w:r>
        <w:rPr>
          <w:rFonts w:ascii="Arial" w:hAnsi="Arial"/>
          <w:b/>
          <w:color w:val="008C95"/>
          <w:sz w:val="16"/>
        </w:rPr>
        <w:t>08 / REPRODUCIBILITY</w:t>
      </w:r>
    </w:p>
    <w:p>
      <w:pPr>
        <w:pStyle w:val="Heading1"/>
      </w:pPr>
      <w:r>
        <w:t>Run Instructions, Code Illustration and References</w:t>
      </w:r>
    </w:p>
    <w:p>
      <w:pPr>
        <w:spacing w:after="100" w:before="0" w:line="269" w:lineRule="auto"/>
      </w:pPr>
      <w:r>
        <w:rPr>
          <w:i w:val="0"/>
        </w:rPr>
        <w:t>The scripts and outputs are included in the companion GitHub-ready project. Run commands from the repository root. Python 3.10+ is recommended; install packages from requirements.txt. The data generator uses a fixed random seed, so the dataset can be recreated deterministically in a compatible environment.</w:t>
      </w:r>
    </w:p>
    <w:tbl>
      <w:tblPr>
        <w:tblW w:type="auto" w:w="0"/>
        <w:tblLayout w:type="fixed"/>
        <w:tblLook w:firstColumn="1" w:firstRow="1" w:lastColumn="0" w:lastRow="0" w:noHBand="0" w:noVBand="1" w:val="04A0"/>
        <w:tblBorders>
          <w:top w:val="single" w:sz="4" w:space="0" w:color="D4DEE7"/>
          <w:left w:val="single" w:sz="4" w:space="0" w:color="D4DEE7"/>
          <w:bottom w:val="single" w:sz="4" w:space="0" w:color="D4DEE7"/>
          <w:right w:val="single" w:sz="4" w:space="0" w:color="D4DEE7"/>
          <w:insideH w:val="single" w:sz="4" w:space="0" w:color="D4DEE7"/>
          <w:insideV w:val="single" w:sz="4" w:space="0" w:color="D4DEE7"/>
        </w:tblBorders>
      </w:tblPr>
      <w:tblGrid>
        <w:gridCol w:w="9835"/>
      </w:tblGrid>
      <w:tr>
        <w:tc>
          <w:tcPr>
            <w:tcW w:type="dxa" w:w="9835"/>
            <w:shd w:fill="F3F6F9"/>
            <w:tcMar>
              <w:top w:w="110" w:type="dxa"/>
              <w:start w:w="150" w:type="dxa"/>
              <w:bottom w:w="110" w:type="dxa"/>
              <w:end w:w="150" w:type="dxa"/>
            </w:tcMar>
          </w:tcPr>
          <w:p>
            <w:pPr>
              <w:spacing w:after="0" w:line="245" w:lineRule="auto"/>
            </w:pPr>
            <w:r/>
            <w:r>
              <w:rPr>
                <w:rFonts w:ascii="Consolas" w:hAnsi="Consolas"/>
                <w:color w:val="243746"/>
                <w:sz w:val="15"/>
              </w:rPr>
              <w:t>pip install -r requirements.txt</w:t>
              <w:br/>
              <w:t>python src/generate_week3_hypothetical_data.py</w:t>
              <w:br/>
              <w:t>python src/eda_logistics.py</w:t>
              <w:br/>
              <w:t>python tests/test_eda_logistics.py</w:t>
            </w:r>
          </w:p>
        </w:tc>
      </w:tr>
    </w:tbl>
    <w:p>
      <w:pPr>
        <w:pStyle w:val="Heading2"/>
      </w:pPr>
      <w:r>
        <w:t>Representative code used in the analysis</w:t>
      </w:r>
    </w:p>
    <w:tbl>
      <w:tblPr>
        <w:tblW w:type="auto" w:w="0"/>
        <w:tblLayout w:type="fixed"/>
        <w:tblLook w:firstColumn="1" w:firstRow="1" w:lastColumn="0" w:lastRow="0" w:noHBand="0" w:noVBand="1" w:val="04A0"/>
        <w:tblBorders>
          <w:top w:val="single" w:sz="4" w:space="0" w:color="D4DEE7"/>
          <w:left w:val="single" w:sz="4" w:space="0" w:color="D4DEE7"/>
          <w:bottom w:val="single" w:sz="4" w:space="0" w:color="D4DEE7"/>
          <w:right w:val="single" w:sz="4" w:space="0" w:color="D4DEE7"/>
          <w:insideH w:val="single" w:sz="4" w:space="0" w:color="D4DEE7"/>
          <w:insideV w:val="single" w:sz="4" w:space="0" w:color="D4DEE7"/>
        </w:tblBorders>
      </w:tblPr>
      <w:tblGrid>
        <w:gridCol w:w="9835"/>
      </w:tblGrid>
      <w:tr>
        <w:tc>
          <w:tcPr>
            <w:tcW w:type="dxa" w:w="9835"/>
            <w:shd w:fill="F3F6F9"/>
            <w:tcMar>
              <w:top w:w="110" w:type="dxa"/>
              <w:start w:w="150" w:type="dxa"/>
              <w:bottom w:w="110" w:type="dxa"/>
              <w:end w:w="150" w:type="dxa"/>
            </w:tcMar>
          </w:tcPr>
          <w:p>
            <w:pPr>
              <w:spacing w:after="0" w:line="245" w:lineRule="auto"/>
            </w:pPr>
            <w:r/>
            <w:r>
              <w:rPr>
                <w:rFonts w:ascii="Consolas" w:hAnsi="Consolas"/>
                <w:color w:val="243746"/>
                <w:sz w:val="15"/>
              </w:rPr>
              <w:t>df["order_date"] = pd.to_datetime(df["order_date"])</w:t>
              <w:br/>
              <w:t>df["delivered_at"] = pd.to_datetime(df["delivered_at"])</w:t>
              <w:br/>
              <w:t>df["delivery_time_hours"] = (</w:t>
              <w:br/>
              <w:t xml:space="preserve">    df["delivered_at"] - df["order_date"]</w:t>
              <w:br/>
              <w:t>).dt.total_seconds() / 3600</w:t>
              <w:br/>
              <w:br/>
              <w:t>region_kpis = df.groupby("region").agg(</w:t>
              <w:br/>
              <w:t xml:space="preserve">    shipment_count=("shipment_id", "count"),</w:t>
              <w:br/>
              <w:t xml:space="preserve">    on_time_rate=("on_time_delivery", "mean"),</w:t>
              <w:br/>
              <w:t xml:space="preserve">    mean_cost_inr=("transport_cost_inr", "mean")</w:t>
              <w:br/>
              <w:t>)</w:t>
            </w:r>
          </w:p>
        </w:tc>
      </w:tr>
    </w:tbl>
    <w:p>
      <w:pPr>
        <w:pStyle w:val="Heading2"/>
      </w:pPr>
      <w:r>
        <w:t>Project outputs</w:t>
      </w:r>
    </w:p>
    <w:p>
      <w:pPr>
        <w:pStyle w:val="ListBullet"/>
        <w:spacing w:after="40" w:line="257" w:lineRule="auto"/>
        <w:ind w:left="317" w:hanging="187"/>
      </w:pPr>
      <w:r>
        <w:rPr>
          <w:rFonts w:ascii="Arial" w:hAnsi="Arial"/>
          <w:sz w:val="18"/>
        </w:rPr>
        <w:t>src/generate_week3_hypothetical_data.py — deterministic 300-row synthetic dataset generator.</w:t>
      </w:r>
    </w:p>
    <w:p>
      <w:pPr>
        <w:pStyle w:val="ListBullet"/>
        <w:spacing w:after="40" w:line="257" w:lineRule="auto"/>
        <w:ind w:left="317" w:hanging="187"/>
      </w:pPr>
      <w:r>
        <w:rPr>
          <w:rFonts w:ascii="Arial" w:hAnsi="Arial"/>
          <w:sz w:val="18"/>
        </w:rPr>
        <w:t>src/eda_logistics.py — validation, summaries, grouped KPIs, correlations and seven figures.</w:t>
      </w:r>
    </w:p>
    <w:p>
      <w:pPr>
        <w:pStyle w:val="ListBullet"/>
        <w:spacing w:after="40" w:line="257" w:lineRule="auto"/>
        <w:ind w:left="317" w:hanging="187"/>
      </w:pPr>
      <w:r>
        <w:rPr>
          <w:rFonts w:ascii="Arial" w:hAnsi="Arial"/>
          <w:sz w:val="18"/>
        </w:rPr>
        <w:t>data/analysis/week3_hypothetical_shipments.csv — generated analytical dataset.</w:t>
      </w:r>
    </w:p>
    <w:p>
      <w:pPr>
        <w:pStyle w:val="ListBullet"/>
        <w:spacing w:after="40" w:line="257" w:lineRule="auto"/>
        <w:ind w:left="317" w:hanging="187"/>
      </w:pPr>
      <w:r>
        <w:rPr>
          <w:rFonts w:ascii="Arial" w:hAnsi="Arial"/>
          <w:sz w:val="18"/>
        </w:rPr>
        <w:t>data/analysis/week3_*.csv and week3_overall_metrics.json — reproducible outputs and checks.</w:t>
      </w:r>
    </w:p>
    <w:p>
      <w:pPr>
        <w:pStyle w:val="ListBullet"/>
        <w:spacing w:after="40" w:line="257" w:lineRule="auto"/>
        <w:ind w:left="317" w:hanging="187"/>
      </w:pPr>
      <w:r>
        <w:rPr>
          <w:rFonts w:ascii="Arial" w:hAnsi="Arial"/>
          <w:sz w:val="18"/>
        </w:rPr>
        <w:t>reports/figures/week3_*.png — embedded charts also available as separate image files.</w:t>
      </w:r>
    </w:p>
    <w:p>
      <w:pPr>
        <w:pStyle w:val="ListBullet"/>
        <w:spacing w:after="40" w:line="257" w:lineRule="auto"/>
        <w:ind w:left="317" w:hanging="187"/>
      </w:pPr>
      <w:r>
        <w:rPr>
          <w:rFonts w:ascii="Arial" w:hAnsi="Arial"/>
          <w:sz w:val="18"/>
        </w:rPr>
        <w:t>tests/test_eda_logistics.py — automated checks for dataset size, ranges, time-derived fields and grouped summaries.</w:t>
      </w:r>
    </w:p>
    <w:p>
      <w:pPr>
        <w:pStyle w:val="Heading2"/>
      </w:pPr>
      <w:r>
        <w:t>References</w:t>
      </w:r>
    </w:p>
    <w:p>
      <w:pPr>
        <w:spacing w:after="100" w:line="259" w:lineRule="auto"/>
        <w:ind w:left="331" w:hanging="331"/>
      </w:pPr>
      <w:r>
        <w:rPr>
          <w:rFonts w:ascii="Arial" w:hAnsi="Arial"/>
          <w:b/>
          <w:color w:val="17365D"/>
          <w:sz w:val="17"/>
        </w:rPr>
        <w:t xml:space="preserve">[1] Constante, F., Silva, F., &amp; Pereira, A. (2019). DataCo SMART SUPPLY CHAIN FOR BIG DATA ANALYSIS, Version 5. </w:t>
      </w:r>
      <w:r>
        <w:rPr>
          <w:rFonts w:ascii="Arial" w:hAnsi="Arial"/>
          <w:sz w:val="17"/>
        </w:rPr>
        <w:t xml:space="preserve">Mendeley Data, DOI 10.17632/8gx2fvg2k6.5. Referenced as a public domain/data-structure context only; records from this dataset were not analysed in this task. </w:t>
      </w:r>
      <w:hyperlink r:id="rId19">
        <w:r>
          <w:rPr>
            <w:color w:val="2F75B5"/>
            <w:u w:val="single"/>
            <w:rFonts w:ascii="Arial" w:hAnsi="Arial"/>
            <w:sz w:val="18"/>
          </w:rPr>
          <w:t>https://data.mendeley.com/datasets/8gx2fvg2k6/5</w:t>
        </w:r>
      </w:hyperlink>
    </w:p>
    <w:p>
      <w:pPr>
        <w:spacing w:after="100" w:line="259" w:lineRule="auto"/>
        <w:ind w:left="331" w:hanging="331"/>
      </w:pPr>
      <w:r>
        <w:rPr>
          <w:rFonts w:ascii="Arial" w:hAnsi="Arial"/>
          <w:b/>
          <w:color w:val="17365D"/>
          <w:sz w:val="17"/>
        </w:rPr>
        <w:t xml:space="preserve">[2] World Bank. (2023). World Bank Releases Logistics Performance Index 2023. </w:t>
      </w:r>
      <w:r>
        <w:rPr>
          <w:rFonts w:ascii="Arial" w:hAnsi="Arial"/>
          <w:sz w:val="17"/>
        </w:rPr>
        <w:t xml:space="preserve">Context on logistics reliability, speed and supply-chain performance dimensions. </w:t>
      </w:r>
      <w:hyperlink r:id="rId20">
        <w:r>
          <w:rPr>
            <w:color w:val="2F75B5"/>
            <w:u w:val="single"/>
            <w:rFonts w:ascii="Arial" w:hAnsi="Arial"/>
            <w:sz w:val="18"/>
          </w:rPr>
          <w:t>https://www.worldbank.org/en/news/press-release/2023/04/21/world-bank-releases-logistics-performance-index-2023</w:t>
        </w:r>
      </w:hyperlink>
    </w:p>
    <w:p>
      <w:pPr>
        <w:spacing w:after="100" w:line="259" w:lineRule="auto"/>
        <w:ind w:left="331" w:hanging="331"/>
      </w:pPr>
      <w:r>
        <w:rPr>
          <w:rFonts w:ascii="Arial" w:hAnsi="Arial"/>
          <w:b/>
          <w:color w:val="17365D"/>
          <w:sz w:val="17"/>
        </w:rPr>
        <w:t xml:space="preserve">[3] Matplotlib. Plot types documentation. </w:t>
      </w:r>
      <w:r>
        <w:rPr>
          <w:rFonts w:ascii="Arial" w:hAnsi="Arial"/>
          <w:sz w:val="17"/>
        </w:rPr>
        <w:t xml:space="preserve">Reference for plotting distributions and pairwise relationships such as histograms and scatter plots. </w:t>
      </w:r>
      <w:hyperlink r:id="rId21">
        <w:r>
          <w:rPr>
            <w:color w:val="2F75B5"/>
            <w:u w:val="single"/>
            <w:rFonts w:ascii="Arial" w:hAnsi="Arial"/>
            <w:sz w:val="18"/>
          </w:rPr>
          <w:t>https://matplotlib.org/stable/plot_types/index</w:t>
        </w:r>
      </w:hyperlink>
    </w:p>
    <w:p>
      <w:pPr>
        <w:spacing w:after="100" w:line="259" w:lineRule="auto"/>
        <w:ind w:left="331" w:hanging="331"/>
      </w:pPr>
      <w:r>
        <w:rPr>
          <w:rFonts w:ascii="Arial" w:hAnsi="Arial"/>
          <w:b/>
          <w:color w:val="17365D"/>
          <w:sz w:val="17"/>
        </w:rPr>
        <w:t xml:space="preserve">[4] Seaborn. User guide and tutorial. </w:t>
      </w:r>
      <w:r>
        <w:rPr>
          <w:rFonts w:ascii="Arial" w:hAnsi="Arial"/>
          <w:sz w:val="17"/>
        </w:rPr>
        <w:t xml:space="preserve">Reference for statistical visualisation techniques including distribution, categorical and relational plots. </w:t>
      </w:r>
      <w:hyperlink r:id="rId22">
        <w:r>
          <w:rPr>
            <w:color w:val="2F75B5"/>
            <w:u w:val="single"/>
            <w:rFonts w:ascii="Arial" w:hAnsi="Arial"/>
            <w:sz w:val="18"/>
          </w:rPr>
          <w:t>https://seaborn.pydata.org/tutorial.html</w:t>
        </w:r>
      </w:hyperlink>
    </w:p>
    <w:p>
      <w:pPr>
        <w:spacing w:after="0" w:before="0" w:line="269" w:lineRule="auto"/>
      </w:pPr>
      <w:r>
        <w:rPr>
          <w:i/>
        </w:rPr>
        <w:t>Citation note: public sources contextualize the project and describe the visualisation tools; they do not validate or supply the synthetic shipment-level results shown in this report.</w:t>
      </w:r>
    </w:p>
    <w:sectPr w:rsidR="00FC693F" w:rsidRPr="0006063C" w:rsidSect="00034616">
      <w:headerReference w:type="default" r:id="rId9"/>
      <w:footerReference w:type="default" r:id="rId10"/>
      <w:footerReference w:type="first" r:id="rId11"/>
      <w:pgSz w:w="11909" w:h="16834"/>
      <w:pgMar w:top="1037" w:right="1037" w:bottom="979"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
      <w:rPr>
        <w:rFonts w:ascii="Arial" w:hAnsi="Arial"/>
        <w:color w:val="687782"/>
        <w:sz w:val="15"/>
      </w:rPr>
      <w:t>SYNTHETIC TRAINING DATA  •  NOT REAL OPERATIONAL RESULTS</w:t>
    </w:r>
    <w:r>
      <w:rPr>
        <w:rFonts w:ascii="Arial" w:hAnsi="Arial"/>
        <w:color w:val="687782"/>
        <w:sz w:val="16"/>
      </w:rPr>
      <w:t xml:space="preserve">          Page </w:t>
    </w:r>
    <w:r>
      <w:rPr>
        <w:rFonts w:ascii="Arial" w:hAnsi="Arial"/>
        <w:color w:val="687782"/>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C8D6E5"/>
      </w:pBdr>
    </w:pPr>
    <w:r/>
    <w:r>
      <w:rPr>
        <w:rFonts w:ascii="Arial" w:hAnsi="Arial"/>
        <w:b/>
        <w:color w:val="2F75B5"/>
        <w:sz w:val="16"/>
      </w:rPr>
      <w:t>LOGISTICS DATA ANALYST  /  WEEK 03</w:t>
    </w:r>
    <w:r>
      <w:rPr>
        <w:rFonts w:ascii="Arial" w:hAnsi="Arial"/>
        <w:color w:val="687782"/>
        <w:sz w:val="16"/>
      </w:rPr>
      <w:t xml:space="preserve">     ADVANCED EDA &amp;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data.mendeley.com/datasets/8gx2fvg2k6/5" TargetMode="External"/><Relationship Id="rId20" Type="http://schemas.openxmlformats.org/officeDocument/2006/relationships/hyperlink" Target="https://www.worldbank.org/en/news/press-release/2023/04/21/world-bank-releases-logistics-performance-index-2023" TargetMode="External"/><Relationship Id="rId21" Type="http://schemas.openxmlformats.org/officeDocument/2006/relationships/hyperlink" Target="https://matplotlib.org/stable/plot_types/index" TargetMode="External"/><Relationship Id="rId22" Type="http://schemas.openxmlformats.org/officeDocument/2006/relationships/hyperlink" Target="https://seaborn.pydata.org/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 — Week 3</dc:title>
  <dc:subject>YuvaIntern Logistics Data Analyst Internship Week 3 EDA report</dc:subject>
  <dc:creator>Aman Yadav</dc:creator>
  <cp:keywords>logistics, Python, EDA, pandas, Matplotlib, Seaborn, synthetic data</cp:keywords>
  <dc:description>All shipment-level values and analysis outputs are synthetic educational data.</dc:description>
  <cp:lastModifiedBy/>
  <cp:revision>1</cp:revision>
  <dcterms:created xsi:type="dcterms:W3CDTF">2013-12-23T23:15:00Z</dcterms:created>
  <dcterms:modified xsi:type="dcterms:W3CDTF">2013-12-23T23:15:00Z</dcterms:modified>
  <cp:category/>
</cp:coreProperties>
</file>