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80"/>
      </w:pPr>
      <w:r>
        <w:rPr>
          <w:rFonts w:ascii="Arial" w:hAnsi="Arial" w:eastAsia="Arial"/>
          <w:b/>
          <w:i w:val="0"/>
          <w:color w:val="168A8A"/>
          <w:sz w:val="20"/>
        </w:rPr>
        <w:t>WEEK 4  |  TECHNICAL PROJECT REPORT</w:t>
      </w:r>
    </w:p>
    <w:p>
      <w:pPr>
        <w:spacing w:after="120" w:line="240" w:lineRule="auto"/>
      </w:pPr>
      <w:r>
        <w:rPr>
          <w:rFonts w:ascii="Arial" w:hAnsi="Arial" w:eastAsia="Arial"/>
          <w:b/>
          <w:i w:val="0"/>
          <w:color w:val="17365D"/>
          <w:sz w:val="58"/>
        </w:rPr>
        <w:t>Predictive Modeling</w:t>
        <w:br/>
        <w:t>and Optimization in</w:t>
        <w:br/>
        <w:t>Logistics Systems</w:t>
      </w:r>
    </w:p>
    <w:p>
      <w:pPr>
        <w:spacing w:after="360"/>
      </w:pPr>
      <w:r>
        <w:rPr>
          <w:rFonts w:ascii="Arial" w:hAnsi="Arial" w:eastAsia="Arial"/>
          <w:b w:val="0"/>
          <w:i w:val="0"/>
          <w:color w:val="168A8A"/>
          <w:sz w:val="30"/>
        </w:rPr>
        <w:t>Delivery-time forecasting, model validation, and capacity-constrained what-if decisions</w:t>
      </w:r>
    </w:p>
    <w:p>
      <w:pPr>
        <w:spacing w:after="300"/>
      </w:pPr>
      <w:r>
        <w:rPr>
          <w:rFonts w:ascii="Arial" w:hAnsi="Arial" w:eastAsia="Arial"/>
          <w:b w:val="0"/>
          <w:i w:val="0"/>
          <w:color w:val="168A8A"/>
          <w:sz w:val="24"/>
        </w:rPr>
        <w:t>______________________________________________</w:t>
      </w:r>
    </w:p>
    <w:p>
      <w:pPr>
        <w:spacing w:after="140" w:line="269" w:lineRule="auto"/>
      </w:pPr>
      <w:r>
        <w:rPr>
          <w:rFonts w:ascii="Arial" w:hAnsi="Arial" w:eastAsia="Arial"/>
          <w:b w:val="0"/>
          <w:i w:val="0"/>
          <w:color w:val="17365D"/>
          <w:sz w:val="22"/>
        </w:rPr>
        <w:t>Prepared for: YuvaIntern — Logistics Data Analyst Intern</w:t>
      </w:r>
    </w:p>
    <w:p>
      <w:pPr>
        <w:spacing w:after="140" w:line="269" w:lineRule="auto"/>
      </w:pPr>
      <w:r>
        <w:rPr>
          <w:rFonts w:ascii="Arial" w:hAnsi="Arial" w:eastAsia="Arial"/>
          <w:b w:val="0"/>
          <w:i w:val="0"/>
          <w:color w:val="17365D"/>
          <w:sz w:val="22"/>
        </w:rPr>
        <w:t>Prepared by: Aman Yadav</w:t>
      </w:r>
    </w:p>
    <w:p>
      <w:pPr>
        <w:spacing w:after="360" w:line="269" w:lineRule="auto"/>
      </w:pPr>
      <w:r>
        <w:rPr>
          <w:rFonts w:ascii="Arial" w:hAnsi="Arial" w:eastAsia="Arial"/>
          <w:b w:val="0"/>
          <w:i w:val="0"/>
          <w:color w:val="5B6573"/>
          <w:sz w:val="20"/>
        </w:rPr>
        <w:t>Project period: 16 October 2026</w:t>
      </w:r>
    </w:p>
    <w:tbl>
      <w:tblPr>
        <w:tblW w:type="auto" w:w="0"/>
        <w:jc w:val="center"/>
        <w:tblLook w:firstColumn="1" w:firstRow="1" w:lastColumn="0" w:lastRow="0" w:noHBand="0" w:noVBand="1" w:val="04A0"/>
      </w:tblPr>
      <w:tblGrid>
        <w:gridCol w:w="9663"/>
      </w:tblGrid>
      <w:tr>
        <w:tc>
          <w:tcPr>
            <w:tcW w:type="dxa" w:w="9663"/>
            <w:shd w:fill="EAF1F8"/>
            <w:tcMar>
              <w:top w:w="140" w:type="dxa"/>
              <w:start w:w="180" w:type="dxa"/>
              <w:bottom w:w="140" w:type="dxa"/>
              <w:end w:w="180" w:type="dxa"/>
            </w:tcMar>
            <w:tcBorders>
              <w:left w:val="single" w:sz="20" w:color="168A8A"/>
            </w:tcBorders>
          </w:tcPr>
          <w:p>
            <w:pPr>
              <w:spacing w:after="80"/>
            </w:pPr>
            <w:r>
              <w:rPr>
                <w:rFonts w:ascii="Arial" w:hAnsi="Arial" w:eastAsia="Arial"/>
                <w:b/>
                <w:i w:val="0"/>
                <w:color w:val="168A8A"/>
                <w:sz w:val="20"/>
              </w:rPr>
              <w:t>DATA STATUS</w:t>
            </w:r>
          </w:p>
          <w:p>
            <w:pPr>
              <w:spacing w:after="0" w:line="259" w:lineRule="auto"/>
            </w:pPr>
            <w:r>
              <w:rPr>
                <w:rFonts w:ascii="Arial" w:hAnsi="Arial" w:eastAsia="Arial"/>
                <w:b w:val="0"/>
                <w:i w:val="0"/>
                <w:color w:val="202A35"/>
                <w:sz w:val="18"/>
              </w:rPr>
              <w:t>This report uses 1,200 deterministically generated synthetic shipment records. The data, model metrics, estimated costs, and what-if recommendations are demonstration outputs only—not records or measured results from a real logistics operator.</w:t>
            </w:r>
          </w:p>
        </w:tc>
      </w:tr>
    </w:tbl>
    <w:p>
      <w:pPr>
        <w:spacing w:after="20"/>
      </w:pPr>
    </w:p>
    <w:p>
      <w:pPr>
        <w:spacing w:before="360"/>
      </w:pPr>
      <w:r>
        <w:rPr>
          <w:rFonts w:ascii="Arial" w:hAnsi="Arial" w:eastAsia="Arial"/>
          <w:b w:val="0"/>
          <w:i/>
          <w:color w:val="5B6573"/>
          <w:sz w:val="18"/>
        </w:rPr>
        <w:t>A reproducible Python project with source code, model outputs, automated checks, figures, and a documented evaluation approach.</w:t>
      </w:r>
    </w:p>
    <w:p>
      <w:r>
        <w:br w:type="page"/>
      </w:r>
    </w:p>
    <w:p>
      <w:pPr>
        <w:pStyle w:val="Heading1"/>
      </w:pPr>
      <w:r>
        <w:t>1. Executive Summary</w:t>
      </w:r>
    </w:p>
    <w:p>
      <w:pPr>
        <w:spacing w:after="110" w:line="269" w:lineRule="auto"/>
      </w:pPr>
      <w:r>
        <w:rPr>
          <w:rFonts w:ascii="Arial" w:hAnsi="Arial" w:eastAsia="Arial"/>
          <w:b w:val="0"/>
          <w:i w:val="0"/>
          <w:color w:val="202A35"/>
          <w:sz w:val="20"/>
        </w:rPr>
        <w:t>This project develops a reproducible regression workflow to estimate delivery time in hours from shipment and dispatch-context features. It creates a synthetic dataset of 1,200 shipments, reserves 20% (240 rows) as an untouched holdout set, and compares a median baseline, Linear Regression, and a hyperparameter-tuned Random Forest. Model choice is made from training-set five-fold cross-validation MAE, not from the holdout test results.</w:t>
      </w:r>
    </w:p>
    <w:p>
      <w:pPr>
        <w:spacing w:after="110" w:line="269" w:lineRule="auto"/>
      </w:pPr>
      <w:r>
        <w:rPr>
          <w:rFonts w:ascii="Arial" w:hAnsi="Arial" w:eastAsia="Arial"/>
          <w:b w:val="0"/>
          <w:i w:val="0"/>
          <w:color w:val="202A35"/>
          <w:sz w:val="20"/>
        </w:rPr>
        <w:t>Linear Regression was selected because it achieved the lowest five-fold cross-validation MAE among the predictive candidates (0.878 hours, standard deviation 0.019). On the untouched test set, it achieved MAE 0.826 hours, RMSE 1.262 hours, and R-squared 0.955. These scores are consistent with a structured simulation in which the target is generated from known factors; they must not be presented as expected performance on real carrier data.</w:t>
      </w:r>
    </w:p>
    <w:p>
      <w:pPr>
        <w:spacing w:after="110" w:line="269" w:lineRule="auto"/>
      </w:pPr>
      <w:r>
        <w:rPr>
          <w:rFonts w:ascii="Arial" w:hAnsi="Arial" w:eastAsia="Arial"/>
          <w:b w:val="0"/>
          <w:i w:val="0"/>
          <w:color w:val="202A35"/>
          <w:sz w:val="20"/>
        </w:rPr>
        <w:t>A capacity-constrained, per-shipment what-if heuristic was also demonstrated on the 240 holdout shipments. It changed the suggested vehicle for 82 shipments (34.2%). Under illustrative cost rates and a time value of ₹85 per predicted hour, mean estimated cost fell from ₹4,583.39 to ₹3,662.20 per shipment, while predicted time changed from 8.65 to 8.71 hours. This is a scenario exercise, not actual or validated business savings.</w:t>
      </w:r>
    </w:p>
    <w:tbl>
      <w:tblPr>
        <w:tblW w:type="auto" w:w="0"/>
        <w:jc w:val="center"/>
        <w:tblLook w:firstColumn="1" w:firstRow="1" w:lastColumn="0" w:lastRow="0" w:noHBand="0" w:noVBand="1" w:val="04A0"/>
      </w:tblPr>
      <w:tblGrid>
        <w:gridCol w:w="9663"/>
      </w:tblGrid>
      <w:tr>
        <w:tc>
          <w:tcPr>
            <w:tcW w:type="dxa" w:w="9663"/>
            <w:shd w:fill="E6F4F3"/>
            <w:tcMar>
              <w:top w:w="140" w:type="dxa"/>
              <w:start w:w="180" w:type="dxa"/>
              <w:bottom w:w="140" w:type="dxa"/>
              <w:end w:w="180" w:type="dxa"/>
            </w:tcMar>
            <w:tcBorders>
              <w:left w:val="single" w:sz="20" w:color="168A8A"/>
            </w:tcBorders>
          </w:tcPr>
          <w:p>
            <w:pPr>
              <w:spacing w:after="80"/>
            </w:pPr>
            <w:r>
              <w:rPr>
                <w:rFonts w:ascii="Arial" w:hAnsi="Arial" w:eastAsia="Arial"/>
                <w:b/>
                <w:i w:val="0"/>
                <w:color w:val="168A8A"/>
                <w:sz w:val="20"/>
              </w:rPr>
              <w:t>MAIN TAKEAWAY</w:t>
            </w:r>
          </w:p>
          <w:p>
            <w:pPr>
              <w:spacing w:after="0" w:line="259" w:lineRule="auto"/>
            </w:pPr>
            <w:r>
              <w:rPr>
                <w:rFonts w:ascii="Arial" w:hAnsi="Arial" w:eastAsia="Arial"/>
                <w:b w:val="0"/>
                <w:i w:val="0"/>
                <w:color w:val="202A35"/>
                <w:sz w:val="18"/>
              </w:rPr>
              <w:t>A good analytical workflow separates training, model selection, holdout evaluation, and operational what-if analysis. Prediction quality does not itself prove that a dispatch policy will improve real-world performance.</w:t>
            </w:r>
          </w:p>
        </w:tc>
      </w:tr>
    </w:tbl>
    <w:p>
      <w:pPr>
        <w:spacing w:after="20"/>
      </w:pPr>
    </w:p>
    <w:p>
      <w:pPr>
        <w:pStyle w:val="Heading1"/>
      </w:pPr>
      <w:r>
        <w:t>2. Problem Definition and Objectives</w:t>
      </w:r>
    </w:p>
    <w:p>
      <w:pPr>
        <w:spacing w:after="110" w:line="269" w:lineRule="auto"/>
      </w:pPr>
      <w:r>
        <w:rPr>
          <w:rFonts w:ascii="Arial" w:hAnsi="Arial" w:eastAsia="Arial"/>
          <w:b w:val="0"/>
          <w:i w:val="0"/>
          <w:color w:val="202A35"/>
          <w:sz w:val="20"/>
        </w:rPr>
        <w:t>Business scenario: a fictional e-commerce logistics operator wants a dispatch-time estimate of delivery duration to help planners identify shipments that may exceed an illustrative 12-hour service threshold, compare candidate predictive models, and explore vehicle choices within payload limits.</w:t>
      </w:r>
    </w:p>
    <w:p>
      <w:pPr>
        <w:spacing w:after="110" w:line="269" w:lineRule="auto"/>
      </w:pPr>
      <w:r>
        <w:rPr>
          <w:rFonts w:ascii="Arial" w:hAnsi="Arial" w:eastAsia="Arial"/>
          <w:b w:val="0"/>
          <w:i w:val="0"/>
          <w:color w:val="202A35"/>
          <w:sz w:val="20"/>
        </w:rPr>
        <w:t>Target variable: delivery_time_hours, a positive numeric duration between dispatch and delivery. Predictors are fields assumed available at dispatch or estimated at that moment: distance, shipment payload, route stops, region, vehicle type, traffic/weather severity, warehouse load, priority, and day of week.</w:t>
      </w:r>
    </w:p>
    <w:p>
      <w:pPr>
        <w:pStyle w:val="ListBullet"/>
        <w:spacing w:after="60" w:line="259" w:lineRule="auto"/>
        <w:ind w:left="317" w:hanging="173"/>
      </w:pPr>
      <w:r>
        <w:rPr>
          <w:rFonts w:ascii="Arial" w:hAnsi="Arial" w:eastAsia="Arial"/>
          <w:b w:val="0"/>
          <w:i w:val="0"/>
          <w:color w:val="202A35"/>
          <w:sz w:val="19"/>
        </w:rPr>
        <w:t>Build a transparent benchmark and compare a linear model with a non-linear ensemble model.</w:t>
      </w:r>
    </w:p>
    <w:p>
      <w:pPr>
        <w:pStyle w:val="ListBullet"/>
        <w:spacing w:after="60" w:line="259" w:lineRule="auto"/>
        <w:ind w:left="317" w:hanging="173"/>
      </w:pPr>
      <w:r>
        <w:rPr>
          <w:rFonts w:ascii="Arial" w:hAnsi="Arial" w:eastAsia="Arial"/>
          <w:b w:val="0"/>
          <w:i w:val="0"/>
          <w:color w:val="202A35"/>
          <w:sz w:val="19"/>
        </w:rPr>
        <w:t>Evaluate with MAE, RMSE and R-squared, supported by five-fold cross-validation and an untouched test split.</w:t>
      </w:r>
    </w:p>
    <w:p>
      <w:pPr>
        <w:pStyle w:val="ListBullet"/>
        <w:spacing w:after="60" w:line="259" w:lineRule="auto"/>
        <w:ind w:left="317" w:hanging="173"/>
      </w:pPr>
      <w:r>
        <w:rPr>
          <w:rFonts w:ascii="Arial" w:hAnsi="Arial" w:eastAsia="Arial"/>
          <w:b w:val="0"/>
          <w:i w:val="0"/>
          <w:color w:val="202A35"/>
          <w:sz w:val="19"/>
        </w:rPr>
        <w:t>Use forecasts for exception triage and a capacity-constrained vehicle what-if, while explaining uncertainty and assumptions.</w:t>
      </w:r>
    </w:p>
    <w:p>
      <w:r>
        <w:br w:type="page"/>
      </w:r>
    </w:p>
    <w:p>
      <w:pPr>
        <w:pStyle w:val="Heading1"/>
      </w:pPr>
      <w:r>
        <w:t>3. Dataset, Features, and Assumptions</w:t>
      </w:r>
    </w:p>
    <w:p>
      <w:pPr>
        <w:spacing w:after="110" w:line="269" w:lineRule="auto"/>
      </w:pPr>
      <w:r>
        <w:rPr>
          <w:rFonts w:ascii="Arial" w:hAnsi="Arial" w:eastAsia="Arial"/>
          <w:b w:val="0"/>
          <w:i w:val="0"/>
          <w:color w:val="202A35"/>
          <w:sz w:val="20"/>
        </w:rPr>
        <w:t>The generator creates 1,200 rows with a fixed random seed (20261016). The dataset is reproducible, deliberately lightweight, and fully synthetic. No third-party raw shipment file is downloaded or treated as an empirical source for this task.</w:t>
      </w:r>
    </w:p>
    <w:tbl>
      <w:tblPr>
        <w:tblW w:type="auto" w:w="0"/>
        <w:jc w:val="center"/>
        <w:tblLayout w:type="fixed"/>
        <w:tblLook w:firstColumn="1" w:firstRow="1" w:lastColumn="0" w:lastRow="0" w:noHBand="0" w:noVBand="1" w:val="04A0"/>
      </w:tblPr>
      <w:tblGrid>
        <w:gridCol w:w="2088"/>
        <w:gridCol w:w="1440"/>
        <w:gridCol w:w="6192"/>
      </w:tblGrid>
      <w:tr>
        <w:trPr>
          <w:tblHeader w:val="true"/>
          <w:cantSplit/>
        </w:trPr>
        <w:tc>
          <w:tcPr>
            <w:tcW w:type="dxa" w:w="2088"/>
            <w:vAlign w:val="center"/>
            <w:shd w:fill="17365D"/>
            <w:tcMar>
              <w:top w:w="90" w:type="dxa"/>
              <w:start w:w="110" w:type="dxa"/>
              <w:bottom w:w="90" w:type="dxa"/>
              <w:end w:w="110" w:type="dxa"/>
            </w:tcMar>
            <w:tcBorders>
              <w:bottom w:val="single" w:sz="8" w:color="17365D"/>
            </w:tcBorders>
          </w:tcPr>
          <w:p>
            <w:pPr>
              <w:spacing w:after="0" w:line="240" w:lineRule="auto"/>
            </w:pPr>
            <w:r>
              <w:rPr>
                <w:rFonts w:ascii="Arial" w:hAnsi="Arial" w:eastAsia="Arial"/>
                <w:b/>
                <w:i w:val="0"/>
                <w:color w:val="FFFFFF"/>
                <w:sz w:val="16"/>
              </w:rPr>
              <w:t>Feature</w:t>
            </w:r>
          </w:p>
        </w:tc>
        <w:tc>
          <w:tcPr>
            <w:tcW w:type="dxa" w:w="1440"/>
            <w:vAlign w:val="center"/>
            <w:shd w:fill="17365D"/>
            <w:tcMar>
              <w:top w:w="90" w:type="dxa"/>
              <w:start w:w="110" w:type="dxa"/>
              <w:bottom w:w="90" w:type="dxa"/>
              <w:end w:w="110" w:type="dxa"/>
            </w:tcMar>
            <w:tcBorders>
              <w:bottom w:val="single" w:sz="8" w:color="17365D"/>
            </w:tcBorders>
          </w:tcPr>
          <w:p>
            <w:pPr>
              <w:spacing w:after="0" w:line="240" w:lineRule="auto"/>
            </w:pPr>
            <w:r>
              <w:rPr>
                <w:rFonts w:ascii="Arial" w:hAnsi="Arial" w:eastAsia="Arial"/>
                <w:b/>
                <w:i w:val="0"/>
                <w:color w:val="FFFFFF"/>
                <w:sz w:val="16"/>
              </w:rPr>
              <w:t>Type</w:t>
            </w:r>
          </w:p>
        </w:tc>
        <w:tc>
          <w:tcPr>
            <w:tcW w:type="dxa" w:w="6192"/>
            <w:vAlign w:val="center"/>
            <w:shd w:fill="17365D"/>
            <w:tcMar>
              <w:top w:w="90" w:type="dxa"/>
              <w:start w:w="110" w:type="dxa"/>
              <w:bottom w:w="90" w:type="dxa"/>
              <w:end w:w="110" w:type="dxa"/>
            </w:tcMar>
            <w:tcBorders>
              <w:bottom w:val="single" w:sz="8" w:color="17365D"/>
            </w:tcBorders>
          </w:tcPr>
          <w:p>
            <w:pPr>
              <w:spacing w:after="0" w:line="240" w:lineRule="auto"/>
            </w:pPr>
            <w:r>
              <w:rPr>
                <w:rFonts w:ascii="Arial" w:hAnsi="Arial" w:eastAsia="Arial"/>
                <w:b/>
                <w:i w:val="0"/>
                <w:color w:val="FFFFFF"/>
                <w:sz w:val="16"/>
              </w:rPr>
              <w:t>Use in model / definition</w:t>
            </w:r>
          </w:p>
        </w:tc>
      </w:tr>
      <w:tr>
        <w:trPr>
          <w:cantSplit/>
        </w:trPr>
        <w:tc>
          <w:tcPr>
            <w:tcW w:type="dxa" w:w="2088"/>
            <w:vAlign w:val="center"/>
            <w:tcMar>
              <w:top w:w="72" w:type="dxa"/>
              <w:start w:w="95" w:type="dxa"/>
              <w:bottom w:w="72" w:type="dxa"/>
              <w:end w:w="95" w:type="dxa"/>
            </w:tcMar>
            <w:tcBorders>
              <w:bottom w:val="single" w:sz="3" w:color="D9E1F2"/>
            </w:tcBorders>
          </w:tcPr>
          <w:p>
            <w:pPr>
              <w:spacing w:after="0" w:line="245" w:lineRule="auto"/>
            </w:pPr>
            <w:r>
              <w:rPr>
                <w:rFonts w:ascii="Arial" w:hAnsi="Arial" w:eastAsia="Arial"/>
                <w:b w:val="0"/>
                <w:i w:val="0"/>
                <w:color w:val="202A35"/>
                <w:sz w:val="16"/>
              </w:rPr>
              <w:t>distance_km</w:t>
            </w:r>
          </w:p>
        </w:tc>
        <w:tc>
          <w:tcPr>
            <w:tcW w:type="dxa" w:w="1440"/>
            <w:vAlign w:val="center"/>
            <w:tcMar>
              <w:top w:w="72" w:type="dxa"/>
              <w:start w:w="95" w:type="dxa"/>
              <w:bottom w:w="72" w:type="dxa"/>
              <w:end w:w="95" w:type="dxa"/>
            </w:tcMar>
            <w:tcBorders>
              <w:bottom w:val="single" w:sz="3" w:color="D9E1F2"/>
            </w:tcBorders>
          </w:tcPr>
          <w:p>
            <w:pPr>
              <w:spacing w:after="0" w:line="245" w:lineRule="auto"/>
            </w:pPr>
            <w:r>
              <w:rPr>
                <w:rFonts w:ascii="Arial" w:hAnsi="Arial" w:eastAsia="Arial"/>
                <w:b w:val="0"/>
                <w:i w:val="0"/>
                <w:color w:val="202A35"/>
                <w:sz w:val="16"/>
              </w:rPr>
              <w:t>Numeric</w:t>
            </w:r>
          </w:p>
        </w:tc>
        <w:tc>
          <w:tcPr>
            <w:tcW w:type="dxa" w:w="6192"/>
            <w:vAlign w:val="center"/>
            <w:tcMar>
              <w:top w:w="72" w:type="dxa"/>
              <w:start w:w="95" w:type="dxa"/>
              <w:bottom w:w="72" w:type="dxa"/>
              <w:end w:w="95" w:type="dxa"/>
            </w:tcMar>
            <w:tcBorders>
              <w:bottom w:val="single" w:sz="3" w:color="D9E1F2"/>
            </w:tcBorders>
          </w:tcPr>
          <w:p>
            <w:pPr>
              <w:spacing w:after="0" w:line="245" w:lineRule="auto"/>
            </w:pPr>
            <w:r>
              <w:rPr>
                <w:rFonts w:ascii="Arial" w:hAnsi="Arial" w:eastAsia="Arial"/>
                <w:b w:val="0"/>
                <w:i w:val="0"/>
                <w:color w:val="202A35"/>
                <w:sz w:val="16"/>
              </w:rPr>
              <w:t>Estimated dispatch-to-destination distance; principal duration driver in the simulation.</w:t>
            </w:r>
          </w:p>
        </w:tc>
      </w:tr>
      <w:tr>
        <w:trPr>
          <w:cantSplit/>
        </w:trPr>
        <w:tc>
          <w:tcPr>
            <w:tcW w:type="dxa" w:w="2088"/>
            <w:vAlign w:val="center"/>
            <w:tcMar>
              <w:top w:w="72" w:type="dxa"/>
              <w:start w:w="95" w:type="dxa"/>
              <w:bottom w:w="72" w:type="dxa"/>
              <w:end w:w="95" w:type="dxa"/>
            </w:tcMar>
            <w:shd w:fill="F4F6F8"/>
            <w:tcBorders>
              <w:bottom w:val="single" w:sz="3" w:color="D9E1F2"/>
            </w:tcBorders>
          </w:tcPr>
          <w:p>
            <w:pPr>
              <w:spacing w:after="0" w:line="245" w:lineRule="auto"/>
            </w:pPr>
            <w:r>
              <w:rPr>
                <w:rFonts w:ascii="Arial" w:hAnsi="Arial" w:eastAsia="Arial"/>
                <w:b w:val="0"/>
                <w:i w:val="0"/>
                <w:color w:val="202A35"/>
                <w:sz w:val="16"/>
              </w:rPr>
              <w:t>weight_kg; volume_m3</w:t>
            </w:r>
          </w:p>
        </w:tc>
        <w:tc>
          <w:tcPr>
            <w:tcW w:type="dxa" w:w="1440"/>
            <w:vAlign w:val="center"/>
            <w:tcMar>
              <w:top w:w="72" w:type="dxa"/>
              <w:start w:w="95" w:type="dxa"/>
              <w:bottom w:w="72" w:type="dxa"/>
              <w:end w:w="95" w:type="dxa"/>
            </w:tcMar>
            <w:shd w:fill="F4F6F8"/>
            <w:tcBorders>
              <w:bottom w:val="single" w:sz="3" w:color="D9E1F2"/>
            </w:tcBorders>
          </w:tcPr>
          <w:p>
            <w:pPr>
              <w:spacing w:after="0" w:line="245" w:lineRule="auto"/>
            </w:pPr>
            <w:r>
              <w:rPr>
                <w:rFonts w:ascii="Arial" w:hAnsi="Arial" w:eastAsia="Arial"/>
                <w:b w:val="0"/>
                <w:i w:val="0"/>
                <w:color w:val="202A35"/>
                <w:sz w:val="16"/>
              </w:rPr>
              <w:t>Numeric</w:t>
            </w:r>
          </w:p>
        </w:tc>
        <w:tc>
          <w:tcPr>
            <w:tcW w:type="dxa" w:w="6192"/>
            <w:vAlign w:val="center"/>
            <w:tcMar>
              <w:top w:w="72" w:type="dxa"/>
              <w:start w:w="95" w:type="dxa"/>
              <w:bottom w:w="72" w:type="dxa"/>
              <w:end w:w="95" w:type="dxa"/>
            </w:tcMar>
            <w:shd w:fill="F4F6F8"/>
            <w:tcBorders>
              <w:bottom w:val="single" w:sz="3" w:color="D9E1F2"/>
            </w:tcBorders>
          </w:tcPr>
          <w:p>
            <w:pPr>
              <w:spacing w:after="0" w:line="245" w:lineRule="auto"/>
            </w:pPr>
            <w:r>
              <w:rPr>
                <w:rFonts w:ascii="Arial" w:hAnsi="Arial" w:eastAsia="Arial"/>
                <w:b w:val="0"/>
                <w:i w:val="0"/>
                <w:color w:val="202A35"/>
                <w:sz w:val="16"/>
              </w:rPr>
              <w:t>Payload measurements used for transit modeling and vehicle-capacity checks.</w:t>
            </w:r>
          </w:p>
        </w:tc>
      </w:tr>
      <w:tr>
        <w:trPr>
          <w:cantSplit/>
        </w:trPr>
        <w:tc>
          <w:tcPr>
            <w:tcW w:type="dxa" w:w="2088"/>
            <w:vAlign w:val="center"/>
            <w:tcMar>
              <w:top w:w="72" w:type="dxa"/>
              <w:start w:w="95" w:type="dxa"/>
              <w:bottom w:w="72" w:type="dxa"/>
              <w:end w:w="95" w:type="dxa"/>
            </w:tcMar>
            <w:tcBorders>
              <w:bottom w:val="single" w:sz="3" w:color="D9E1F2"/>
            </w:tcBorders>
          </w:tcPr>
          <w:p>
            <w:pPr>
              <w:spacing w:after="0" w:line="245" w:lineRule="auto"/>
            </w:pPr>
            <w:r>
              <w:rPr>
                <w:rFonts w:ascii="Arial" w:hAnsi="Arial" w:eastAsia="Arial"/>
                <w:b w:val="0"/>
                <w:i w:val="0"/>
                <w:color w:val="202A35"/>
                <w:sz w:val="16"/>
              </w:rPr>
              <w:t>route_stops</w:t>
            </w:r>
          </w:p>
        </w:tc>
        <w:tc>
          <w:tcPr>
            <w:tcW w:type="dxa" w:w="1440"/>
            <w:vAlign w:val="center"/>
            <w:tcMar>
              <w:top w:w="72" w:type="dxa"/>
              <w:start w:w="95" w:type="dxa"/>
              <w:bottom w:w="72" w:type="dxa"/>
              <w:end w:w="95" w:type="dxa"/>
            </w:tcMar>
            <w:tcBorders>
              <w:bottom w:val="single" w:sz="3" w:color="D9E1F2"/>
            </w:tcBorders>
          </w:tcPr>
          <w:p>
            <w:pPr>
              <w:spacing w:after="0" w:line="245" w:lineRule="auto"/>
            </w:pPr>
            <w:r>
              <w:rPr>
                <w:rFonts w:ascii="Arial" w:hAnsi="Arial" w:eastAsia="Arial"/>
                <w:b w:val="0"/>
                <w:i w:val="0"/>
                <w:color w:val="202A35"/>
                <w:sz w:val="16"/>
              </w:rPr>
              <w:t>Integer</w:t>
            </w:r>
          </w:p>
        </w:tc>
        <w:tc>
          <w:tcPr>
            <w:tcW w:type="dxa" w:w="6192"/>
            <w:vAlign w:val="center"/>
            <w:tcMar>
              <w:top w:w="72" w:type="dxa"/>
              <w:start w:w="95" w:type="dxa"/>
              <w:bottom w:w="72" w:type="dxa"/>
              <w:end w:w="95" w:type="dxa"/>
            </w:tcMar>
            <w:tcBorders>
              <w:bottom w:val="single" w:sz="3" w:color="D9E1F2"/>
            </w:tcBorders>
          </w:tcPr>
          <w:p>
            <w:pPr>
              <w:spacing w:after="0" w:line="245" w:lineRule="auto"/>
            </w:pPr>
            <w:r>
              <w:rPr>
                <w:rFonts w:ascii="Arial" w:hAnsi="Arial" w:eastAsia="Arial"/>
                <w:b w:val="0"/>
                <w:i w:val="0"/>
                <w:color w:val="202A35"/>
                <w:sz w:val="16"/>
              </w:rPr>
              <w:t>Number of planned stops on the route.</w:t>
            </w:r>
          </w:p>
        </w:tc>
      </w:tr>
      <w:tr>
        <w:trPr>
          <w:cantSplit/>
        </w:trPr>
        <w:tc>
          <w:tcPr>
            <w:tcW w:type="dxa" w:w="2088"/>
            <w:vAlign w:val="center"/>
            <w:tcMar>
              <w:top w:w="72" w:type="dxa"/>
              <w:start w:w="95" w:type="dxa"/>
              <w:bottom w:w="72" w:type="dxa"/>
              <w:end w:w="95" w:type="dxa"/>
            </w:tcMar>
            <w:shd w:fill="F4F6F8"/>
            <w:tcBorders>
              <w:bottom w:val="single" w:sz="3" w:color="D9E1F2"/>
            </w:tcBorders>
          </w:tcPr>
          <w:p>
            <w:pPr>
              <w:spacing w:after="0" w:line="245" w:lineRule="auto"/>
            </w:pPr>
            <w:r>
              <w:rPr>
                <w:rFonts w:ascii="Arial" w:hAnsi="Arial" w:eastAsia="Arial"/>
                <w:b w:val="0"/>
                <w:i w:val="0"/>
                <w:color w:val="202A35"/>
                <w:sz w:val="16"/>
              </w:rPr>
              <w:t>traffic_index</w:t>
            </w:r>
          </w:p>
        </w:tc>
        <w:tc>
          <w:tcPr>
            <w:tcW w:type="dxa" w:w="1440"/>
            <w:vAlign w:val="center"/>
            <w:tcMar>
              <w:top w:w="72" w:type="dxa"/>
              <w:start w:w="95" w:type="dxa"/>
              <w:bottom w:w="72" w:type="dxa"/>
              <w:end w:w="95" w:type="dxa"/>
            </w:tcMar>
            <w:shd w:fill="F4F6F8"/>
            <w:tcBorders>
              <w:bottom w:val="single" w:sz="3" w:color="D9E1F2"/>
            </w:tcBorders>
          </w:tcPr>
          <w:p>
            <w:pPr>
              <w:spacing w:after="0" w:line="245" w:lineRule="auto"/>
            </w:pPr>
            <w:r>
              <w:rPr>
                <w:rFonts w:ascii="Arial" w:hAnsi="Arial" w:eastAsia="Arial"/>
                <w:b w:val="0"/>
                <w:i w:val="0"/>
                <w:color w:val="202A35"/>
                <w:sz w:val="16"/>
              </w:rPr>
              <w:t>Ordinal 1–5</w:t>
            </w:r>
          </w:p>
        </w:tc>
        <w:tc>
          <w:tcPr>
            <w:tcW w:type="dxa" w:w="6192"/>
            <w:vAlign w:val="center"/>
            <w:tcMar>
              <w:top w:w="72" w:type="dxa"/>
              <w:start w:w="95" w:type="dxa"/>
              <w:bottom w:w="72" w:type="dxa"/>
              <w:end w:w="95" w:type="dxa"/>
            </w:tcMar>
            <w:shd w:fill="F4F6F8"/>
            <w:tcBorders>
              <w:bottom w:val="single" w:sz="3" w:color="D9E1F2"/>
            </w:tcBorders>
          </w:tcPr>
          <w:p>
            <w:pPr>
              <w:spacing w:after="0" w:line="245" w:lineRule="auto"/>
            </w:pPr>
            <w:r>
              <w:rPr>
                <w:rFonts w:ascii="Arial" w:hAnsi="Arial" w:eastAsia="Arial"/>
                <w:b w:val="0"/>
                <w:i w:val="0"/>
                <w:color w:val="202A35"/>
                <w:sz w:val="16"/>
              </w:rPr>
              <w:t>Synthetic traffic severity available at dispatch time.</w:t>
            </w:r>
          </w:p>
        </w:tc>
      </w:tr>
      <w:tr>
        <w:trPr>
          <w:cantSplit/>
        </w:trPr>
        <w:tc>
          <w:tcPr>
            <w:tcW w:type="dxa" w:w="2088"/>
            <w:vAlign w:val="center"/>
            <w:tcMar>
              <w:top w:w="72" w:type="dxa"/>
              <w:start w:w="95" w:type="dxa"/>
              <w:bottom w:w="72" w:type="dxa"/>
              <w:end w:w="95" w:type="dxa"/>
            </w:tcMar>
            <w:tcBorders>
              <w:bottom w:val="single" w:sz="3" w:color="D9E1F2"/>
            </w:tcBorders>
          </w:tcPr>
          <w:p>
            <w:pPr>
              <w:spacing w:after="0" w:line="245" w:lineRule="auto"/>
            </w:pPr>
            <w:r>
              <w:rPr>
                <w:rFonts w:ascii="Arial" w:hAnsi="Arial" w:eastAsia="Arial"/>
                <w:b w:val="0"/>
                <w:i w:val="0"/>
                <w:color w:val="202A35"/>
                <w:sz w:val="16"/>
              </w:rPr>
              <w:t>weather_severity</w:t>
            </w:r>
          </w:p>
        </w:tc>
        <w:tc>
          <w:tcPr>
            <w:tcW w:type="dxa" w:w="1440"/>
            <w:vAlign w:val="center"/>
            <w:tcMar>
              <w:top w:w="72" w:type="dxa"/>
              <w:start w:w="95" w:type="dxa"/>
              <w:bottom w:w="72" w:type="dxa"/>
              <w:end w:w="95" w:type="dxa"/>
            </w:tcMar>
            <w:tcBorders>
              <w:bottom w:val="single" w:sz="3" w:color="D9E1F2"/>
            </w:tcBorders>
          </w:tcPr>
          <w:p>
            <w:pPr>
              <w:spacing w:after="0" w:line="245" w:lineRule="auto"/>
            </w:pPr>
            <w:r>
              <w:rPr>
                <w:rFonts w:ascii="Arial" w:hAnsi="Arial" w:eastAsia="Arial"/>
                <w:b w:val="0"/>
                <w:i w:val="0"/>
                <w:color w:val="202A35"/>
                <w:sz w:val="16"/>
              </w:rPr>
              <w:t>Ordinal 0–3</w:t>
            </w:r>
          </w:p>
        </w:tc>
        <w:tc>
          <w:tcPr>
            <w:tcW w:type="dxa" w:w="6192"/>
            <w:vAlign w:val="center"/>
            <w:tcMar>
              <w:top w:w="72" w:type="dxa"/>
              <w:start w:w="95" w:type="dxa"/>
              <w:bottom w:w="72" w:type="dxa"/>
              <w:end w:w="95" w:type="dxa"/>
            </w:tcMar>
            <w:tcBorders>
              <w:bottom w:val="single" w:sz="3" w:color="D9E1F2"/>
            </w:tcBorders>
          </w:tcPr>
          <w:p>
            <w:pPr>
              <w:spacing w:after="0" w:line="245" w:lineRule="auto"/>
            </w:pPr>
            <w:r>
              <w:rPr>
                <w:rFonts w:ascii="Arial" w:hAnsi="Arial" w:eastAsia="Arial"/>
                <w:b w:val="0"/>
                <w:i w:val="0"/>
                <w:color w:val="202A35"/>
                <w:sz w:val="16"/>
              </w:rPr>
              <w:t>Synthetic weather disruption indicator.</w:t>
            </w:r>
          </w:p>
        </w:tc>
      </w:tr>
      <w:tr>
        <w:trPr>
          <w:cantSplit/>
        </w:trPr>
        <w:tc>
          <w:tcPr>
            <w:tcW w:type="dxa" w:w="2088"/>
            <w:vAlign w:val="center"/>
            <w:tcMar>
              <w:top w:w="72" w:type="dxa"/>
              <w:start w:w="95" w:type="dxa"/>
              <w:bottom w:w="72" w:type="dxa"/>
              <w:end w:w="95" w:type="dxa"/>
            </w:tcMar>
            <w:shd w:fill="F4F6F8"/>
            <w:tcBorders>
              <w:bottom w:val="single" w:sz="3" w:color="D9E1F2"/>
            </w:tcBorders>
          </w:tcPr>
          <w:p>
            <w:pPr>
              <w:spacing w:after="0" w:line="245" w:lineRule="auto"/>
            </w:pPr>
            <w:r>
              <w:rPr>
                <w:rFonts w:ascii="Arial" w:hAnsi="Arial" w:eastAsia="Arial"/>
                <w:b w:val="0"/>
                <w:i w:val="0"/>
                <w:color w:val="202A35"/>
                <w:sz w:val="16"/>
              </w:rPr>
              <w:t>warehouse_load_pct</w:t>
            </w:r>
          </w:p>
        </w:tc>
        <w:tc>
          <w:tcPr>
            <w:tcW w:type="dxa" w:w="1440"/>
            <w:vAlign w:val="center"/>
            <w:tcMar>
              <w:top w:w="72" w:type="dxa"/>
              <w:start w:w="95" w:type="dxa"/>
              <w:bottom w:w="72" w:type="dxa"/>
              <w:end w:w="95" w:type="dxa"/>
            </w:tcMar>
            <w:shd w:fill="F4F6F8"/>
            <w:tcBorders>
              <w:bottom w:val="single" w:sz="3" w:color="D9E1F2"/>
            </w:tcBorders>
          </w:tcPr>
          <w:p>
            <w:pPr>
              <w:spacing w:after="0" w:line="245" w:lineRule="auto"/>
            </w:pPr>
            <w:r>
              <w:rPr>
                <w:rFonts w:ascii="Arial" w:hAnsi="Arial" w:eastAsia="Arial"/>
                <w:b w:val="0"/>
                <w:i w:val="0"/>
                <w:color w:val="202A35"/>
                <w:sz w:val="16"/>
              </w:rPr>
              <w:t>Numeric</w:t>
            </w:r>
          </w:p>
        </w:tc>
        <w:tc>
          <w:tcPr>
            <w:tcW w:type="dxa" w:w="6192"/>
            <w:vAlign w:val="center"/>
            <w:tcMar>
              <w:top w:w="72" w:type="dxa"/>
              <w:start w:w="95" w:type="dxa"/>
              <w:bottom w:w="72" w:type="dxa"/>
              <w:end w:w="95" w:type="dxa"/>
            </w:tcMar>
            <w:shd w:fill="F4F6F8"/>
            <w:tcBorders>
              <w:bottom w:val="single" w:sz="3" w:color="D9E1F2"/>
            </w:tcBorders>
          </w:tcPr>
          <w:p>
            <w:pPr>
              <w:spacing w:after="0" w:line="245" w:lineRule="auto"/>
            </w:pPr>
            <w:r>
              <w:rPr>
                <w:rFonts w:ascii="Arial" w:hAnsi="Arial" w:eastAsia="Arial"/>
                <w:b w:val="0"/>
                <w:i w:val="0"/>
                <w:color w:val="202A35"/>
                <w:sz w:val="16"/>
              </w:rPr>
              <w:t>Illustrative warehouse loading pressure (percent).</w:t>
            </w:r>
          </w:p>
        </w:tc>
      </w:tr>
      <w:tr>
        <w:trPr>
          <w:cantSplit/>
        </w:trPr>
        <w:tc>
          <w:tcPr>
            <w:tcW w:type="dxa" w:w="2088"/>
            <w:vAlign w:val="center"/>
            <w:tcMar>
              <w:top w:w="72" w:type="dxa"/>
              <w:start w:w="95" w:type="dxa"/>
              <w:bottom w:w="72" w:type="dxa"/>
              <w:end w:w="95" w:type="dxa"/>
            </w:tcMar>
            <w:tcBorders>
              <w:bottom w:val="single" w:sz="3" w:color="D9E1F2"/>
            </w:tcBorders>
          </w:tcPr>
          <w:p>
            <w:pPr>
              <w:spacing w:after="0" w:line="245" w:lineRule="auto"/>
            </w:pPr>
            <w:r>
              <w:rPr>
                <w:rFonts w:ascii="Arial" w:hAnsi="Arial" w:eastAsia="Arial"/>
                <w:b w:val="0"/>
                <w:i w:val="0"/>
                <w:color w:val="202A35"/>
                <w:sz w:val="16"/>
              </w:rPr>
              <w:t>vehicle_type</w:t>
            </w:r>
          </w:p>
        </w:tc>
        <w:tc>
          <w:tcPr>
            <w:tcW w:type="dxa" w:w="1440"/>
            <w:vAlign w:val="center"/>
            <w:tcMar>
              <w:top w:w="72" w:type="dxa"/>
              <w:start w:w="95" w:type="dxa"/>
              <w:bottom w:w="72" w:type="dxa"/>
              <w:end w:w="95" w:type="dxa"/>
            </w:tcMar>
            <w:tcBorders>
              <w:bottom w:val="single" w:sz="3" w:color="D9E1F2"/>
            </w:tcBorders>
          </w:tcPr>
          <w:p>
            <w:pPr>
              <w:spacing w:after="0" w:line="245" w:lineRule="auto"/>
            </w:pPr>
            <w:r>
              <w:rPr>
                <w:rFonts w:ascii="Arial" w:hAnsi="Arial" w:eastAsia="Arial"/>
                <w:b w:val="0"/>
                <w:i w:val="0"/>
                <w:color w:val="202A35"/>
                <w:sz w:val="16"/>
              </w:rPr>
              <w:t>Category</w:t>
            </w:r>
          </w:p>
        </w:tc>
        <w:tc>
          <w:tcPr>
            <w:tcW w:type="dxa" w:w="6192"/>
            <w:vAlign w:val="center"/>
            <w:tcMar>
              <w:top w:w="72" w:type="dxa"/>
              <w:start w:w="95" w:type="dxa"/>
              <w:bottom w:w="72" w:type="dxa"/>
              <w:end w:w="95" w:type="dxa"/>
            </w:tcMar>
            <w:tcBorders>
              <w:bottom w:val="single" w:sz="3" w:color="D9E1F2"/>
            </w:tcBorders>
          </w:tcPr>
          <w:p>
            <w:pPr>
              <w:spacing w:after="0" w:line="245" w:lineRule="auto"/>
            </w:pPr>
            <w:r>
              <w:rPr>
                <w:rFonts w:ascii="Arial" w:hAnsi="Arial" w:eastAsia="Arial"/>
                <w:b w:val="0"/>
                <w:i w:val="0"/>
                <w:color w:val="202A35"/>
                <w:sz w:val="16"/>
              </w:rPr>
              <w:t>Bike, Van, or Truck; used in time model and capacity what-if.</w:t>
            </w:r>
          </w:p>
        </w:tc>
      </w:tr>
      <w:tr>
        <w:trPr>
          <w:cantSplit/>
        </w:trPr>
        <w:tc>
          <w:tcPr>
            <w:tcW w:type="dxa" w:w="2088"/>
            <w:vAlign w:val="center"/>
            <w:tcMar>
              <w:top w:w="72" w:type="dxa"/>
              <w:start w:w="95" w:type="dxa"/>
              <w:bottom w:w="72" w:type="dxa"/>
              <w:end w:w="95" w:type="dxa"/>
            </w:tcMar>
            <w:shd w:fill="F4F6F8"/>
            <w:tcBorders>
              <w:bottom w:val="single" w:sz="3" w:color="D9E1F2"/>
            </w:tcBorders>
          </w:tcPr>
          <w:p>
            <w:pPr>
              <w:spacing w:after="0" w:line="245" w:lineRule="auto"/>
            </w:pPr>
            <w:r>
              <w:rPr>
                <w:rFonts w:ascii="Arial" w:hAnsi="Arial" w:eastAsia="Arial"/>
                <w:b w:val="0"/>
                <w:i w:val="0"/>
                <w:color w:val="202A35"/>
                <w:sz w:val="16"/>
              </w:rPr>
              <w:t>origin_region</w:t>
            </w:r>
          </w:p>
        </w:tc>
        <w:tc>
          <w:tcPr>
            <w:tcW w:type="dxa" w:w="1440"/>
            <w:vAlign w:val="center"/>
            <w:tcMar>
              <w:top w:w="72" w:type="dxa"/>
              <w:start w:w="95" w:type="dxa"/>
              <w:bottom w:w="72" w:type="dxa"/>
              <w:end w:w="95" w:type="dxa"/>
            </w:tcMar>
            <w:shd w:fill="F4F6F8"/>
            <w:tcBorders>
              <w:bottom w:val="single" w:sz="3" w:color="D9E1F2"/>
            </w:tcBorders>
          </w:tcPr>
          <w:p>
            <w:pPr>
              <w:spacing w:after="0" w:line="245" w:lineRule="auto"/>
            </w:pPr>
            <w:r>
              <w:rPr>
                <w:rFonts w:ascii="Arial" w:hAnsi="Arial" w:eastAsia="Arial"/>
                <w:b w:val="0"/>
                <w:i w:val="0"/>
                <w:color w:val="202A35"/>
                <w:sz w:val="16"/>
              </w:rPr>
              <w:t>Category</w:t>
            </w:r>
          </w:p>
        </w:tc>
        <w:tc>
          <w:tcPr>
            <w:tcW w:type="dxa" w:w="6192"/>
            <w:vAlign w:val="center"/>
            <w:tcMar>
              <w:top w:w="72" w:type="dxa"/>
              <w:start w:w="95" w:type="dxa"/>
              <w:bottom w:w="72" w:type="dxa"/>
              <w:end w:w="95" w:type="dxa"/>
            </w:tcMar>
            <w:shd w:fill="F4F6F8"/>
            <w:tcBorders>
              <w:bottom w:val="single" w:sz="3" w:color="D9E1F2"/>
            </w:tcBorders>
          </w:tcPr>
          <w:p>
            <w:pPr>
              <w:spacing w:after="0" w:line="245" w:lineRule="auto"/>
            </w:pPr>
            <w:r>
              <w:rPr>
                <w:rFonts w:ascii="Arial" w:hAnsi="Arial" w:eastAsia="Arial"/>
                <w:b w:val="0"/>
                <w:i w:val="0"/>
                <w:color w:val="202A35"/>
                <w:sz w:val="16"/>
              </w:rPr>
              <w:t>North, South, East, West, or Central.</w:t>
            </w:r>
          </w:p>
        </w:tc>
      </w:tr>
      <w:tr>
        <w:trPr>
          <w:cantSplit/>
        </w:trPr>
        <w:tc>
          <w:tcPr>
            <w:tcW w:type="dxa" w:w="2088"/>
            <w:vAlign w:val="center"/>
            <w:tcMar>
              <w:top w:w="72" w:type="dxa"/>
              <w:start w:w="95" w:type="dxa"/>
              <w:bottom w:w="72" w:type="dxa"/>
              <w:end w:w="95" w:type="dxa"/>
            </w:tcMar>
            <w:tcBorders>
              <w:bottom w:val="single" w:sz="3" w:color="D9E1F2"/>
            </w:tcBorders>
          </w:tcPr>
          <w:p>
            <w:pPr>
              <w:spacing w:after="0" w:line="245" w:lineRule="auto"/>
            </w:pPr>
            <w:r>
              <w:rPr>
                <w:rFonts w:ascii="Arial" w:hAnsi="Arial" w:eastAsia="Arial"/>
                <w:b w:val="0"/>
                <w:i w:val="0"/>
                <w:color w:val="202A35"/>
                <w:sz w:val="16"/>
              </w:rPr>
              <w:t>priority; day_of_week</w:t>
            </w:r>
          </w:p>
        </w:tc>
        <w:tc>
          <w:tcPr>
            <w:tcW w:type="dxa" w:w="1440"/>
            <w:vAlign w:val="center"/>
            <w:tcMar>
              <w:top w:w="72" w:type="dxa"/>
              <w:start w:w="95" w:type="dxa"/>
              <w:bottom w:w="72" w:type="dxa"/>
              <w:end w:w="95" w:type="dxa"/>
            </w:tcMar>
            <w:tcBorders>
              <w:bottom w:val="single" w:sz="3" w:color="D9E1F2"/>
            </w:tcBorders>
          </w:tcPr>
          <w:p>
            <w:pPr>
              <w:spacing w:after="0" w:line="245" w:lineRule="auto"/>
            </w:pPr>
            <w:r>
              <w:rPr>
                <w:rFonts w:ascii="Arial" w:hAnsi="Arial" w:eastAsia="Arial"/>
                <w:b w:val="0"/>
                <w:i w:val="0"/>
                <w:color w:val="202A35"/>
                <w:sz w:val="16"/>
              </w:rPr>
              <w:t>Category</w:t>
            </w:r>
          </w:p>
        </w:tc>
        <w:tc>
          <w:tcPr>
            <w:tcW w:type="dxa" w:w="6192"/>
            <w:vAlign w:val="center"/>
            <w:tcMar>
              <w:top w:w="72" w:type="dxa"/>
              <w:start w:w="95" w:type="dxa"/>
              <w:bottom w:w="72" w:type="dxa"/>
              <w:end w:w="95" w:type="dxa"/>
            </w:tcMar>
            <w:tcBorders>
              <w:bottom w:val="single" w:sz="3" w:color="D9E1F2"/>
            </w:tcBorders>
          </w:tcPr>
          <w:p>
            <w:pPr>
              <w:spacing w:after="0" w:line="245" w:lineRule="auto"/>
            </w:pPr>
            <w:r>
              <w:rPr>
                <w:rFonts w:ascii="Arial" w:hAnsi="Arial" w:eastAsia="Arial"/>
                <w:b w:val="0"/>
                <w:i w:val="0"/>
                <w:color w:val="202A35"/>
                <w:sz w:val="16"/>
              </w:rPr>
              <w:t>Service priority and dispatch weekday.</w:t>
            </w:r>
          </w:p>
        </w:tc>
      </w:tr>
      <w:tr>
        <w:trPr>
          <w:cantSplit/>
        </w:trPr>
        <w:tc>
          <w:tcPr>
            <w:tcW w:type="dxa" w:w="2088"/>
            <w:vAlign w:val="center"/>
            <w:tcMar>
              <w:top w:w="72" w:type="dxa"/>
              <w:start w:w="95" w:type="dxa"/>
              <w:bottom w:w="72" w:type="dxa"/>
              <w:end w:w="95" w:type="dxa"/>
            </w:tcMar>
            <w:shd w:fill="F4F6F8"/>
            <w:tcBorders>
              <w:bottom w:val="single" w:sz="3" w:color="D9E1F2"/>
            </w:tcBorders>
          </w:tcPr>
          <w:p>
            <w:pPr>
              <w:spacing w:after="0" w:line="245" w:lineRule="auto"/>
            </w:pPr>
            <w:r>
              <w:rPr>
                <w:rFonts w:ascii="Arial" w:hAnsi="Arial" w:eastAsia="Arial"/>
                <w:b w:val="0"/>
                <w:i w:val="0"/>
                <w:color w:val="202A35"/>
                <w:sz w:val="16"/>
              </w:rPr>
              <w:t>delivery_time_hours</w:t>
            </w:r>
          </w:p>
        </w:tc>
        <w:tc>
          <w:tcPr>
            <w:tcW w:type="dxa" w:w="1440"/>
            <w:vAlign w:val="center"/>
            <w:tcMar>
              <w:top w:w="72" w:type="dxa"/>
              <w:start w:w="95" w:type="dxa"/>
              <w:bottom w:w="72" w:type="dxa"/>
              <w:end w:w="95" w:type="dxa"/>
            </w:tcMar>
            <w:shd w:fill="F4F6F8"/>
            <w:tcBorders>
              <w:bottom w:val="single" w:sz="3" w:color="D9E1F2"/>
            </w:tcBorders>
          </w:tcPr>
          <w:p>
            <w:pPr>
              <w:spacing w:after="0" w:line="245" w:lineRule="auto"/>
            </w:pPr>
            <w:r>
              <w:rPr>
                <w:rFonts w:ascii="Arial" w:hAnsi="Arial" w:eastAsia="Arial"/>
                <w:b w:val="0"/>
                <w:i w:val="0"/>
                <w:color w:val="202A35"/>
                <w:sz w:val="16"/>
              </w:rPr>
              <w:t>Target</w:t>
            </w:r>
          </w:p>
        </w:tc>
        <w:tc>
          <w:tcPr>
            <w:tcW w:type="dxa" w:w="6192"/>
            <w:vAlign w:val="center"/>
            <w:tcMar>
              <w:top w:w="72" w:type="dxa"/>
              <w:start w:w="95" w:type="dxa"/>
              <w:bottom w:w="72" w:type="dxa"/>
              <w:end w:w="95" w:type="dxa"/>
            </w:tcMar>
            <w:shd w:fill="F4F6F8"/>
            <w:tcBorders>
              <w:bottom w:val="single" w:sz="3" w:color="D9E1F2"/>
            </w:tcBorders>
          </w:tcPr>
          <w:p>
            <w:pPr>
              <w:spacing w:after="0" w:line="245" w:lineRule="auto"/>
            </w:pPr>
            <w:r>
              <w:rPr>
                <w:rFonts w:ascii="Arial" w:hAnsi="Arial" w:eastAsia="Arial"/>
                <w:b w:val="0"/>
                <w:i w:val="0"/>
                <w:color w:val="202A35"/>
                <w:sz w:val="16"/>
              </w:rPr>
              <w:t>Simulated observed duration, in hours; excluded from predictors.</w:t>
            </w:r>
          </w:p>
        </w:tc>
      </w:tr>
    </w:tbl>
    <w:p>
      <w:pPr>
        <w:spacing w:after="20"/>
      </w:pPr>
    </w:p>
    <w:p>
      <w:pPr>
        <w:spacing w:after="110" w:line="269" w:lineRule="auto"/>
      </w:pPr>
      <w:r>
        <w:rPr>
          <w:rFonts w:ascii="Arial" w:hAnsi="Arial" w:eastAsia="Arial"/>
          <w:b w:val="0"/>
          <w:i w:val="0"/>
          <w:color w:val="5B6573"/>
          <w:sz w:val="18"/>
        </w:rPr>
        <w:t>Simulated delivery time is generated using distance divided by a vehicle-specific assumed speed, adjusted by traffic and weather factors, plus stop, warehouse, regional, priority, and random-noise terms. This construction makes the test feasible and repeatable, but it also means model quality is partly a reflection of the chosen data-generating mechanism.</w:t>
      </w:r>
    </w:p>
    <w:p>
      <w:pPr>
        <w:pStyle w:val="Heading2"/>
      </w:pPr>
      <w:r>
        <w:t>Data checks and preparation</w:t>
      </w:r>
    </w:p>
    <w:p>
      <w:pPr>
        <w:pStyle w:val="ListBullet"/>
        <w:spacing w:after="60" w:line="259" w:lineRule="auto"/>
        <w:ind w:left="317" w:hanging="173"/>
      </w:pPr>
      <w:r>
        <w:rPr>
          <w:rFonts w:ascii="Arial" w:hAnsi="Arial" w:eastAsia="Arial"/>
          <w:b w:val="0"/>
          <w:i w:val="0"/>
          <w:color w:val="202A35"/>
          <w:sz w:val="19"/>
        </w:rPr>
        <w:t>1,200 unique shipment IDs and positive target values are validated before modeling.</w:t>
      </w:r>
    </w:p>
    <w:p>
      <w:pPr>
        <w:pStyle w:val="ListBullet"/>
        <w:spacing w:after="60" w:line="259" w:lineRule="auto"/>
        <w:ind w:left="317" w:hanging="173"/>
      </w:pPr>
      <w:r>
        <w:rPr>
          <w:rFonts w:ascii="Arial" w:hAnsi="Arial" w:eastAsia="Arial"/>
          <w:b w:val="0"/>
          <w:i w:val="0"/>
          <w:color w:val="202A35"/>
          <w:sz w:val="19"/>
        </w:rPr>
        <w:t>There are no missing values in the generated modeling columns by design; preprocessing pipelines still use median imputation for numeric inputs and most-frequent imputation for categorical inputs as a defensive reusable pattern.</w:t>
      </w:r>
    </w:p>
    <w:p>
      <w:pPr>
        <w:pStyle w:val="ListBullet"/>
        <w:spacing w:after="60" w:line="259" w:lineRule="auto"/>
        <w:ind w:left="317" w:hanging="173"/>
      </w:pPr>
      <w:r>
        <w:rPr>
          <w:rFonts w:ascii="Arial" w:hAnsi="Arial" w:eastAsia="Arial"/>
          <w:b w:val="0"/>
          <w:i w:val="0"/>
          <w:color w:val="202A35"/>
          <w:sz w:val="19"/>
        </w:rPr>
        <w:t>Numeric predictors are scaled for Linear Regression; categorical predictors are one-hot encoded with unknown categories ignored. Random Forest uses imputation and one-hot encoding without numeric scaling.</w:t>
      </w:r>
    </w:p>
    <w:p>
      <w:pPr>
        <w:pStyle w:val="ListBullet"/>
        <w:spacing w:after="60" w:line="259" w:lineRule="auto"/>
        <w:ind w:left="317" w:hanging="173"/>
      </w:pPr>
      <w:r>
        <w:rPr>
          <w:rFonts w:ascii="Arial" w:hAnsi="Arial" w:eastAsia="Arial"/>
          <w:b w:val="0"/>
          <w:i w:val="0"/>
          <w:color w:val="202A35"/>
          <w:sz w:val="19"/>
        </w:rPr>
        <w:t>Estimated transport cost is not used as a model predictor. This avoids making the time forecast dependent on a synthetic cost formula and keeps the selected feature set focused on dispatch context.</w:t>
      </w:r>
    </w:p>
    <w:p>
      <w:r>
        <w:br w:type="page"/>
      </w:r>
    </w:p>
    <w:p>
      <w:pPr>
        <w:pStyle w:val="Heading1"/>
      </w:pPr>
      <w:r>
        <w:t>4. Modeling and Validation Framework</w:t>
      </w:r>
    </w:p>
    <w:tbl>
      <w:tblPr>
        <w:tblW w:type="auto" w:w="0"/>
        <w:jc w:val="center"/>
        <w:tblLayout w:type="fixed"/>
        <w:tblLook w:firstColumn="1" w:firstRow="1" w:lastColumn="0" w:lastRow="0" w:noHBand="0" w:noVBand="1" w:val="04A0"/>
      </w:tblPr>
      <w:tblGrid>
        <w:gridCol w:w="1728"/>
        <w:gridCol w:w="4464"/>
        <w:gridCol w:w="3528"/>
      </w:tblGrid>
      <w:tr>
        <w:trPr>
          <w:tblHeader w:val="true"/>
          <w:cantSplit/>
        </w:trPr>
        <w:tc>
          <w:tcPr>
            <w:tcW w:type="dxa" w:w="1728"/>
            <w:vAlign w:val="center"/>
            <w:shd w:fill="17365D"/>
            <w:tcMar>
              <w:top w:w="90" w:type="dxa"/>
              <w:start w:w="110" w:type="dxa"/>
              <w:bottom w:w="90" w:type="dxa"/>
              <w:end w:w="110" w:type="dxa"/>
            </w:tcMar>
            <w:tcBorders>
              <w:bottom w:val="single" w:sz="8" w:color="17365D"/>
            </w:tcBorders>
          </w:tcPr>
          <w:p>
            <w:pPr>
              <w:spacing w:after="0" w:line="240" w:lineRule="auto"/>
            </w:pPr>
            <w:r>
              <w:rPr>
                <w:rFonts w:ascii="Arial" w:hAnsi="Arial" w:eastAsia="Arial"/>
                <w:b/>
                <w:i w:val="0"/>
                <w:color w:val="FFFFFF"/>
                <w:sz w:val="15"/>
              </w:rPr>
              <w:t>Stage</w:t>
            </w:r>
          </w:p>
        </w:tc>
        <w:tc>
          <w:tcPr>
            <w:tcW w:type="dxa" w:w="4464"/>
            <w:vAlign w:val="center"/>
            <w:shd w:fill="17365D"/>
            <w:tcMar>
              <w:top w:w="90" w:type="dxa"/>
              <w:start w:w="110" w:type="dxa"/>
              <w:bottom w:w="90" w:type="dxa"/>
              <w:end w:w="110" w:type="dxa"/>
            </w:tcMar>
            <w:tcBorders>
              <w:bottom w:val="single" w:sz="8" w:color="17365D"/>
            </w:tcBorders>
          </w:tcPr>
          <w:p>
            <w:pPr>
              <w:spacing w:after="0" w:line="240" w:lineRule="auto"/>
            </w:pPr>
            <w:r>
              <w:rPr>
                <w:rFonts w:ascii="Arial" w:hAnsi="Arial" w:eastAsia="Arial"/>
                <w:b/>
                <w:i w:val="0"/>
                <w:color w:val="FFFFFF"/>
                <w:sz w:val="15"/>
              </w:rPr>
              <w:t>Implementation</w:t>
            </w:r>
          </w:p>
        </w:tc>
        <w:tc>
          <w:tcPr>
            <w:tcW w:type="dxa" w:w="3528"/>
            <w:vAlign w:val="center"/>
            <w:shd w:fill="17365D"/>
            <w:tcMar>
              <w:top w:w="90" w:type="dxa"/>
              <w:start w:w="110" w:type="dxa"/>
              <w:bottom w:w="90" w:type="dxa"/>
              <w:end w:w="110" w:type="dxa"/>
            </w:tcMar>
            <w:tcBorders>
              <w:bottom w:val="single" w:sz="8" w:color="17365D"/>
            </w:tcBorders>
          </w:tcPr>
          <w:p>
            <w:pPr>
              <w:spacing w:after="0" w:line="240" w:lineRule="auto"/>
            </w:pPr>
            <w:r>
              <w:rPr>
                <w:rFonts w:ascii="Arial" w:hAnsi="Arial" w:eastAsia="Arial"/>
                <w:b/>
                <w:i w:val="0"/>
                <w:color w:val="FFFFFF"/>
                <w:sz w:val="15"/>
              </w:rPr>
              <w:t>Reason</w:t>
            </w:r>
          </w:p>
        </w:tc>
      </w:tr>
      <w:tr>
        <w:trPr>
          <w:cantSplit/>
        </w:trPr>
        <w:tc>
          <w:tcPr>
            <w:tcW w:type="dxa" w:w="1728"/>
            <w:vAlign w:val="center"/>
            <w:tcMar>
              <w:top w:w="72" w:type="dxa"/>
              <w:start w:w="95" w:type="dxa"/>
              <w:bottom w:w="72" w:type="dxa"/>
              <w:end w:w="95" w:type="dxa"/>
            </w:tcMar>
            <w:tcBorders>
              <w:bottom w:val="single" w:sz="3" w:color="D9E1F2"/>
            </w:tcBorders>
          </w:tcPr>
          <w:p>
            <w:pPr>
              <w:spacing w:after="0" w:line="245" w:lineRule="auto"/>
            </w:pPr>
            <w:r>
              <w:rPr>
                <w:rFonts w:ascii="Arial" w:hAnsi="Arial" w:eastAsia="Arial"/>
                <w:b w:val="0"/>
                <w:i w:val="0"/>
                <w:color w:val="202A35"/>
                <w:sz w:val="15"/>
              </w:rPr>
              <w:t>1. Split</w:t>
            </w:r>
          </w:p>
        </w:tc>
        <w:tc>
          <w:tcPr>
            <w:tcW w:type="dxa" w:w="4464"/>
            <w:vAlign w:val="center"/>
            <w:tcMar>
              <w:top w:w="72" w:type="dxa"/>
              <w:start w:w="95" w:type="dxa"/>
              <w:bottom w:w="72" w:type="dxa"/>
              <w:end w:w="95" w:type="dxa"/>
            </w:tcMar>
            <w:tcBorders>
              <w:bottom w:val="single" w:sz="3" w:color="D9E1F2"/>
            </w:tcBorders>
          </w:tcPr>
          <w:p>
            <w:pPr>
              <w:spacing w:after="0" w:line="245" w:lineRule="auto"/>
            </w:pPr>
            <w:r>
              <w:rPr>
                <w:rFonts w:ascii="Arial" w:hAnsi="Arial" w:eastAsia="Arial"/>
                <w:b w:val="0"/>
                <w:i w:val="0"/>
                <w:color w:val="202A35"/>
                <w:sz w:val="15"/>
              </w:rPr>
              <w:t>80% train (960 rows) / 20% test (240 rows); fixed seed.</w:t>
            </w:r>
          </w:p>
        </w:tc>
        <w:tc>
          <w:tcPr>
            <w:tcW w:type="dxa" w:w="3528"/>
            <w:vAlign w:val="center"/>
            <w:tcMar>
              <w:top w:w="72" w:type="dxa"/>
              <w:start w:w="95" w:type="dxa"/>
              <w:bottom w:w="72" w:type="dxa"/>
              <w:end w:w="95" w:type="dxa"/>
            </w:tcMar>
            <w:tcBorders>
              <w:bottom w:val="single" w:sz="3" w:color="D9E1F2"/>
            </w:tcBorders>
          </w:tcPr>
          <w:p>
            <w:pPr>
              <w:spacing w:after="0" w:line="245" w:lineRule="auto"/>
            </w:pPr>
            <w:r>
              <w:rPr>
                <w:rFonts w:ascii="Arial" w:hAnsi="Arial" w:eastAsia="Arial"/>
                <w:b w:val="0"/>
                <w:i w:val="0"/>
                <w:color w:val="202A35"/>
                <w:sz w:val="15"/>
              </w:rPr>
              <w:t>Keeps an untouched holdout for final generalization check.</w:t>
            </w:r>
          </w:p>
        </w:tc>
      </w:tr>
      <w:tr>
        <w:trPr>
          <w:cantSplit/>
        </w:trPr>
        <w:tc>
          <w:tcPr>
            <w:tcW w:type="dxa" w:w="1728"/>
            <w:vAlign w:val="center"/>
            <w:tcMar>
              <w:top w:w="72" w:type="dxa"/>
              <w:start w:w="95" w:type="dxa"/>
              <w:bottom w:w="72" w:type="dxa"/>
              <w:end w:w="95" w:type="dxa"/>
            </w:tcMar>
            <w:shd w:fill="F4F6F8"/>
            <w:tcBorders>
              <w:bottom w:val="single" w:sz="3" w:color="D9E1F2"/>
            </w:tcBorders>
          </w:tcPr>
          <w:p>
            <w:pPr>
              <w:spacing w:after="0" w:line="245" w:lineRule="auto"/>
            </w:pPr>
            <w:r>
              <w:rPr>
                <w:rFonts w:ascii="Arial" w:hAnsi="Arial" w:eastAsia="Arial"/>
                <w:b w:val="0"/>
                <w:i w:val="0"/>
                <w:color w:val="202A35"/>
                <w:sz w:val="15"/>
              </w:rPr>
              <w:t>2. Baseline</w:t>
            </w:r>
          </w:p>
        </w:tc>
        <w:tc>
          <w:tcPr>
            <w:tcW w:type="dxa" w:w="4464"/>
            <w:vAlign w:val="center"/>
            <w:tcMar>
              <w:top w:w="72" w:type="dxa"/>
              <w:start w:w="95" w:type="dxa"/>
              <w:bottom w:w="72" w:type="dxa"/>
              <w:end w:w="95" w:type="dxa"/>
            </w:tcMar>
            <w:shd w:fill="F4F6F8"/>
            <w:tcBorders>
              <w:bottom w:val="single" w:sz="3" w:color="D9E1F2"/>
            </w:tcBorders>
          </w:tcPr>
          <w:p>
            <w:pPr>
              <w:spacing w:after="0" w:line="245" w:lineRule="auto"/>
            </w:pPr>
            <w:r>
              <w:rPr>
                <w:rFonts w:ascii="Arial" w:hAnsi="Arial" w:eastAsia="Arial"/>
                <w:b w:val="0"/>
                <w:i w:val="0"/>
                <w:color w:val="202A35"/>
                <w:sz w:val="15"/>
              </w:rPr>
              <w:t>DummyRegressor predicting the training-target median.</w:t>
            </w:r>
          </w:p>
        </w:tc>
        <w:tc>
          <w:tcPr>
            <w:tcW w:type="dxa" w:w="3528"/>
            <w:vAlign w:val="center"/>
            <w:tcMar>
              <w:top w:w="72" w:type="dxa"/>
              <w:start w:w="95" w:type="dxa"/>
              <w:bottom w:w="72" w:type="dxa"/>
              <w:end w:w="95" w:type="dxa"/>
            </w:tcMar>
            <w:shd w:fill="F4F6F8"/>
            <w:tcBorders>
              <w:bottom w:val="single" w:sz="3" w:color="D9E1F2"/>
            </w:tcBorders>
          </w:tcPr>
          <w:p>
            <w:pPr>
              <w:spacing w:after="0" w:line="245" w:lineRule="auto"/>
            </w:pPr>
            <w:r>
              <w:rPr>
                <w:rFonts w:ascii="Arial" w:hAnsi="Arial" w:eastAsia="Arial"/>
                <w:b w:val="0"/>
                <w:i w:val="0"/>
                <w:color w:val="202A35"/>
                <w:sz w:val="15"/>
              </w:rPr>
              <w:t>Checks whether feature-based models improve on a naive estimate.</w:t>
            </w:r>
          </w:p>
        </w:tc>
      </w:tr>
      <w:tr>
        <w:trPr>
          <w:cantSplit/>
        </w:trPr>
        <w:tc>
          <w:tcPr>
            <w:tcW w:type="dxa" w:w="1728"/>
            <w:vAlign w:val="center"/>
            <w:tcMar>
              <w:top w:w="72" w:type="dxa"/>
              <w:start w:w="95" w:type="dxa"/>
              <w:bottom w:w="72" w:type="dxa"/>
              <w:end w:w="95" w:type="dxa"/>
            </w:tcMar>
            <w:tcBorders>
              <w:bottom w:val="single" w:sz="3" w:color="D9E1F2"/>
            </w:tcBorders>
          </w:tcPr>
          <w:p>
            <w:pPr>
              <w:spacing w:after="0" w:line="245" w:lineRule="auto"/>
            </w:pPr>
            <w:r>
              <w:rPr>
                <w:rFonts w:ascii="Arial" w:hAnsi="Arial" w:eastAsia="Arial"/>
                <w:b w:val="0"/>
                <w:i w:val="0"/>
                <w:color w:val="202A35"/>
                <w:sz w:val="15"/>
              </w:rPr>
              <w:t>3. Linear model</w:t>
            </w:r>
          </w:p>
        </w:tc>
        <w:tc>
          <w:tcPr>
            <w:tcW w:type="dxa" w:w="4464"/>
            <w:vAlign w:val="center"/>
            <w:tcMar>
              <w:top w:w="72" w:type="dxa"/>
              <w:start w:w="95" w:type="dxa"/>
              <w:bottom w:w="72" w:type="dxa"/>
              <w:end w:w="95" w:type="dxa"/>
            </w:tcMar>
            <w:tcBorders>
              <w:bottom w:val="single" w:sz="3" w:color="D9E1F2"/>
            </w:tcBorders>
          </w:tcPr>
          <w:p>
            <w:pPr>
              <w:spacing w:after="0" w:line="245" w:lineRule="auto"/>
            </w:pPr>
            <w:r>
              <w:rPr>
                <w:rFonts w:ascii="Arial" w:hAnsi="Arial" w:eastAsia="Arial"/>
                <w:b w:val="0"/>
                <w:i w:val="0"/>
                <w:color w:val="202A35"/>
                <w:sz w:val="15"/>
              </w:rPr>
              <w:t>Pipeline with imputers, StandardScaler for numeric fields, one-hot encoding, and LinearRegression.</w:t>
            </w:r>
          </w:p>
        </w:tc>
        <w:tc>
          <w:tcPr>
            <w:tcW w:type="dxa" w:w="3528"/>
            <w:vAlign w:val="center"/>
            <w:tcMar>
              <w:top w:w="72" w:type="dxa"/>
              <w:start w:w="95" w:type="dxa"/>
              <w:bottom w:w="72" w:type="dxa"/>
              <w:end w:w="95" w:type="dxa"/>
            </w:tcMar>
            <w:tcBorders>
              <w:bottom w:val="single" w:sz="3" w:color="D9E1F2"/>
            </w:tcBorders>
          </w:tcPr>
          <w:p>
            <w:pPr>
              <w:spacing w:after="0" w:line="245" w:lineRule="auto"/>
            </w:pPr>
            <w:r>
              <w:rPr>
                <w:rFonts w:ascii="Arial" w:hAnsi="Arial" w:eastAsia="Arial"/>
                <w:b w:val="0"/>
                <w:i w:val="0"/>
                <w:color w:val="202A35"/>
                <w:sz w:val="15"/>
              </w:rPr>
              <w:t>Interpretable benchmark; efficient for a compact dataset.</w:t>
            </w:r>
          </w:p>
        </w:tc>
      </w:tr>
      <w:tr>
        <w:trPr>
          <w:cantSplit/>
        </w:trPr>
        <w:tc>
          <w:tcPr>
            <w:tcW w:type="dxa" w:w="1728"/>
            <w:vAlign w:val="center"/>
            <w:tcMar>
              <w:top w:w="72" w:type="dxa"/>
              <w:start w:w="95" w:type="dxa"/>
              <w:bottom w:w="72" w:type="dxa"/>
              <w:end w:w="95" w:type="dxa"/>
            </w:tcMar>
            <w:shd w:fill="F4F6F8"/>
            <w:tcBorders>
              <w:bottom w:val="single" w:sz="3" w:color="D9E1F2"/>
            </w:tcBorders>
          </w:tcPr>
          <w:p>
            <w:pPr>
              <w:spacing w:after="0" w:line="245" w:lineRule="auto"/>
            </w:pPr>
            <w:r>
              <w:rPr>
                <w:rFonts w:ascii="Arial" w:hAnsi="Arial" w:eastAsia="Arial"/>
                <w:b w:val="0"/>
                <w:i w:val="0"/>
                <w:color w:val="202A35"/>
                <w:sz w:val="15"/>
              </w:rPr>
              <w:t>4. Ensemble model</w:t>
            </w:r>
          </w:p>
        </w:tc>
        <w:tc>
          <w:tcPr>
            <w:tcW w:type="dxa" w:w="4464"/>
            <w:vAlign w:val="center"/>
            <w:tcMar>
              <w:top w:w="72" w:type="dxa"/>
              <w:start w:w="95" w:type="dxa"/>
              <w:bottom w:w="72" w:type="dxa"/>
              <w:end w:w="95" w:type="dxa"/>
            </w:tcMar>
            <w:shd w:fill="F4F6F8"/>
            <w:tcBorders>
              <w:bottom w:val="single" w:sz="3" w:color="D9E1F2"/>
            </w:tcBorders>
          </w:tcPr>
          <w:p>
            <w:pPr>
              <w:spacing w:after="0" w:line="245" w:lineRule="auto"/>
            </w:pPr>
            <w:r>
              <w:rPr>
                <w:rFonts w:ascii="Arial" w:hAnsi="Arial" w:eastAsia="Arial"/>
                <w:b w:val="0"/>
                <w:i w:val="0"/>
                <w:color w:val="202A35"/>
                <w:sz w:val="15"/>
              </w:rPr>
              <w:t>RandomForestRegressor; grid search over 120/220 trees, max depth None/18, leaf size 1/3; 3-fold grid CV.</w:t>
            </w:r>
          </w:p>
        </w:tc>
        <w:tc>
          <w:tcPr>
            <w:tcW w:type="dxa" w:w="3528"/>
            <w:vAlign w:val="center"/>
            <w:tcMar>
              <w:top w:w="72" w:type="dxa"/>
              <w:start w:w="95" w:type="dxa"/>
              <w:bottom w:w="72" w:type="dxa"/>
              <w:end w:w="95" w:type="dxa"/>
            </w:tcMar>
            <w:shd w:fill="F4F6F8"/>
            <w:tcBorders>
              <w:bottom w:val="single" w:sz="3" w:color="D9E1F2"/>
            </w:tcBorders>
          </w:tcPr>
          <w:p>
            <w:pPr>
              <w:spacing w:after="0" w:line="245" w:lineRule="auto"/>
            </w:pPr>
            <w:r>
              <w:rPr>
                <w:rFonts w:ascii="Arial" w:hAnsi="Arial" w:eastAsia="Arial"/>
                <w:b w:val="0"/>
                <w:i w:val="0"/>
                <w:color w:val="202A35"/>
                <w:sz w:val="15"/>
              </w:rPr>
              <w:t>Captures non-linearities and feature interactions.</w:t>
            </w:r>
          </w:p>
        </w:tc>
      </w:tr>
      <w:tr>
        <w:trPr>
          <w:cantSplit/>
        </w:trPr>
        <w:tc>
          <w:tcPr>
            <w:tcW w:type="dxa" w:w="1728"/>
            <w:vAlign w:val="center"/>
            <w:tcMar>
              <w:top w:w="72" w:type="dxa"/>
              <w:start w:w="95" w:type="dxa"/>
              <w:bottom w:w="72" w:type="dxa"/>
              <w:end w:w="95" w:type="dxa"/>
            </w:tcMar>
            <w:tcBorders>
              <w:bottom w:val="single" w:sz="3" w:color="D9E1F2"/>
            </w:tcBorders>
          </w:tcPr>
          <w:p>
            <w:pPr>
              <w:spacing w:after="0" w:line="245" w:lineRule="auto"/>
            </w:pPr>
            <w:r>
              <w:rPr>
                <w:rFonts w:ascii="Arial" w:hAnsi="Arial" w:eastAsia="Arial"/>
                <w:b w:val="0"/>
                <w:i w:val="0"/>
                <w:color w:val="202A35"/>
                <w:sz w:val="15"/>
              </w:rPr>
              <w:t>5. CV model choice</w:t>
            </w:r>
          </w:p>
        </w:tc>
        <w:tc>
          <w:tcPr>
            <w:tcW w:type="dxa" w:w="4464"/>
            <w:vAlign w:val="center"/>
            <w:tcMar>
              <w:top w:w="72" w:type="dxa"/>
              <w:start w:w="95" w:type="dxa"/>
              <w:bottom w:w="72" w:type="dxa"/>
              <w:end w:w="95" w:type="dxa"/>
            </w:tcMar>
            <w:tcBorders>
              <w:bottom w:val="single" w:sz="3" w:color="D9E1F2"/>
            </w:tcBorders>
          </w:tcPr>
          <w:p>
            <w:pPr>
              <w:spacing w:after="0" w:line="245" w:lineRule="auto"/>
            </w:pPr>
            <w:r>
              <w:rPr>
                <w:rFonts w:ascii="Arial" w:hAnsi="Arial" w:eastAsia="Arial"/>
                <w:b w:val="0"/>
                <w:i w:val="0"/>
                <w:color w:val="202A35"/>
                <w:sz w:val="15"/>
              </w:rPr>
              <w:t>Five-fold shuffled KFold on training set; compare mean absolute error (MAE).</w:t>
            </w:r>
          </w:p>
        </w:tc>
        <w:tc>
          <w:tcPr>
            <w:tcW w:type="dxa" w:w="3528"/>
            <w:vAlign w:val="center"/>
            <w:tcMar>
              <w:top w:w="72" w:type="dxa"/>
              <w:start w:w="95" w:type="dxa"/>
              <w:bottom w:w="72" w:type="dxa"/>
              <w:end w:w="95" w:type="dxa"/>
            </w:tcMar>
            <w:tcBorders>
              <w:bottom w:val="single" w:sz="3" w:color="D9E1F2"/>
            </w:tcBorders>
          </w:tcPr>
          <w:p>
            <w:pPr>
              <w:spacing w:after="0" w:line="245" w:lineRule="auto"/>
            </w:pPr>
            <w:r>
              <w:rPr>
                <w:rFonts w:ascii="Arial" w:hAnsi="Arial" w:eastAsia="Arial"/>
                <w:b w:val="0"/>
                <w:i w:val="0"/>
                <w:color w:val="202A35"/>
                <w:sz w:val="15"/>
              </w:rPr>
              <w:t>Select model based on training folds, not test scores.</w:t>
            </w:r>
          </w:p>
        </w:tc>
      </w:tr>
      <w:tr>
        <w:trPr>
          <w:cantSplit/>
        </w:trPr>
        <w:tc>
          <w:tcPr>
            <w:tcW w:type="dxa" w:w="1728"/>
            <w:vAlign w:val="center"/>
            <w:tcMar>
              <w:top w:w="72" w:type="dxa"/>
              <w:start w:w="95" w:type="dxa"/>
              <w:bottom w:w="72" w:type="dxa"/>
              <w:end w:w="95" w:type="dxa"/>
            </w:tcMar>
            <w:shd w:fill="F4F6F8"/>
            <w:tcBorders>
              <w:bottom w:val="single" w:sz="3" w:color="D9E1F2"/>
            </w:tcBorders>
          </w:tcPr>
          <w:p>
            <w:pPr>
              <w:spacing w:after="0" w:line="245" w:lineRule="auto"/>
            </w:pPr>
            <w:r>
              <w:rPr>
                <w:rFonts w:ascii="Arial" w:hAnsi="Arial" w:eastAsia="Arial"/>
                <w:b w:val="0"/>
                <w:i w:val="0"/>
                <w:color w:val="202A35"/>
                <w:sz w:val="15"/>
              </w:rPr>
              <w:t>6. Holdout evaluation</w:t>
            </w:r>
          </w:p>
        </w:tc>
        <w:tc>
          <w:tcPr>
            <w:tcW w:type="dxa" w:w="4464"/>
            <w:vAlign w:val="center"/>
            <w:tcMar>
              <w:top w:w="72" w:type="dxa"/>
              <w:start w:w="95" w:type="dxa"/>
              <w:bottom w:w="72" w:type="dxa"/>
              <w:end w:w="95" w:type="dxa"/>
            </w:tcMar>
            <w:shd w:fill="F4F6F8"/>
            <w:tcBorders>
              <w:bottom w:val="single" w:sz="3" w:color="D9E1F2"/>
            </w:tcBorders>
          </w:tcPr>
          <w:p>
            <w:pPr>
              <w:spacing w:after="0" w:line="245" w:lineRule="auto"/>
            </w:pPr>
            <w:r>
              <w:rPr>
                <w:rFonts w:ascii="Arial" w:hAnsi="Arial" w:eastAsia="Arial"/>
                <w:b w:val="0"/>
                <w:i w:val="0"/>
                <w:color w:val="202A35"/>
                <w:sz w:val="15"/>
              </w:rPr>
              <w:t>MAE, RMSE and R-squared on 240 test rows.</w:t>
            </w:r>
          </w:p>
        </w:tc>
        <w:tc>
          <w:tcPr>
            <w:tcW w:type="dxa" w:w="3528"/>
            <w:vAlign w:val="center"/>
            <w:tcMar>
              <w:top w:w="72" w:type="dxa"/>
              <w:start w:w="95" w:type="dxa"/>
              <w:bottom w:w="72" w:type="dxa"/>
              <w:end w:w="95" w:type="dxa"/>
            </w:tcMar>
            <w:shd w:fill="F4F6F8"/>
            <w:tcBorders>
              <w:bottom w:val="single" w:sz="3" w:color="D9E1F2"/>
            </w:tcBorders>
          </w:tcPr>
          <w:p>
            <w:pPr>
              <w:spacing w:after="0" w:line="245" w:lineRule="auto"/>
            </w:pPr>
            <w:r>
              <w:rPr>
                <w:rFonts w:ascii="Arial" w:hAnsi="Arial" w:eastAsia="Arial"/>
                <w:b w:val="0"/>
                <w:i w:val="0"/>
                <w:color w:val="202A35"/>
                <w:sz w:val="15"/>
              </w:rPr>
              <w:t>Final model check on observations not used for fitting or model selection.</w:t>
            </w:r>
          </w:p>
        </w:tc>
      </w:tr>
      <w:tr>
        <w:trPr>
          <w:cantSplit/>
        </w:trPr>
        <w:tc>
          <w:tcPr>
            <w:tcW w:type="dxa" w:w="1728"/>
            <w:vAlign w:val="center"/>
            <w:tcMar>
              <w:top w:w="72" w:type="dxa"/>
              <w:start w:w="95" w:type="dxa"/>
              <w:bottom w:w="72" w:type="dxa"/>
              <w:end w:w="95" w:type="dxa"/>
            </w:tcMar>
            <w:tcBorders>
              <w:bottom w:val="single" w:sz="3" w:color="D9E1F2"/>
            </w:tcBorders>
          </w:tcPr>
          <w:p>
            <w:pPr>
              <w:spacing w:after="0" w:line="245" w:lineRule="auto"/>
            </w:pPr>
            <w:r>
              <w:rPr>
                <w:rFonts w:ascii="Arial" w:hAnsi="Arial" w:eastAsia="Arial"/>
                <w:b w:val="0"/>
                <w:i w:val="0"/>
                <w:color w:val="202A35"/>
                <w:sz w:val="15"/>
              </w:rPr>
              <w:t>7. What-if analysis</w:t>
            </w:r>
          </w:p>
        </w:tc>
        <w:tc>
          <w:tcPr>
            <w:tcW w:type="dxa" w:w="4464"/>
            <w:vAlign w:val="center"/>
            <w:tcMar>
              <w:top w:w="72" w:type="dxa"/>
              <w:start w:w="95" w:type="dxa"/>
              <w:bottom w:w="72" w:type="dxa"/>
              <w:end w:w="95" w:type="dxa"/>
            </w:tcMar>
            <w:tcBorders>
              <w:bottom w:val="single" w:sz="3" w:color="D9E1F2"/>
            </w:tcBorders>
          </w:tcPr>
          <w:p>
            <w:pPr>
              <w:spacing w:after="0" w:line="245" w:lineRule="auto"/>
            </w:pPr>
            <w:r>
              <w:rPr>
                <w:rFonts w:ascii="Arial" w:hAnsi="Arial" w:eastAsia="Arial"/>
                <w:b w:val="0"/>
                <w:i w:val="0"/>
                <w:color w:val="202A35"/>
                <w:sz w:val="15"/>
              </w:rPr>
              <w:t>Use selected model for candidate vehicle predictions, subject to weight/volume capacities.</w:t>
            </w:r>
          </w:p>
        </w:tc>
        <w:tc>
          <w:tcPr>
            <w:tcW w:type="dxa" w:w="3528"/>
            <w:vAlign w:val="center"/>
            <w:tcMar>
              <w:top w:w="72" w:type="dxa"/>
              <w:start w:w="95" w:type="dxa"/>
              <w:bottom w:w="72" w:type="dxa"/>
              <w:end w:w="95" w:type="dxa"/>
            </w:tcMar>
            <w:tcBorders>
              <w:bottom w:val="single" w:sz="3" w:color="D9E1F2"/>
            </w:tcBorders>
          </w:tcPr>
          <w:p>
            <w:pPr>
              <w:spacing w:after="0" w:line="245" w:lineRule="auto"/>
            </w:pPr>
            <w:r>
              <w:rPr>
                <w:rFonts w:ascii="Arial" w:hAnsi="Arial" w:eastAsia="Arial"/>
                <w:b w:val="0"/>
                <w:i w:val="0"/>
                <w:color w:val="202A35"/>
                <w:sz w:val="15"/>
              </w:rPr>
              <w:t>Demonstrates how estimates can inform decisions without claiming live optimization.</w:t>
            </w:r>
          </w:p>
        </w:tc>
      </w:tr>
    </w:tbl>
    <w:p>
      <w:pPr>
        <w:spacing w:after="20"/>
      </w:pPr>
    </w:p>
    <w:p>
      <w:pPr>
        <w:spacing w:after="110" w:line="269" w:lineRule="auto"/>
      </w:pPr>
      <w:r>
        <w:rPr>
          <w:rFonts w:ascii="Arial" w:hAnsi="Arial" w:eastAsia="Arial"/>
          <w:b w:val="0"/>
          <w:i w:val="0"/>
          <w:color w:val="202A35"/>
          <w:sz w:val="18"/>
        </w:rPr>
        <w:t>The five-fold comparison used shuffled folds on the training set (seed 20261016). The Random Forest grid search used its own three-fold cross-validation restricted to the same training split. The holdout set was not used to choose the final model. Since the exercise is simulated and cross-sectional, a future real project with time-dependent records should use a chronological or rolling-origin validation design.</w:t>
      </w:r>
    </w:p>
    <w:p>
      <w:pPr>
        <w:pStyle w:val="Heading2"/>
      </w:pPr>
      <w:r>
        <w:t>Evaluation metrics</w:t>
      </w:r>
    </w:p>
    <w:p>
      <w:pPr>
        <w:pStyle w:val="ListBullet"/>
        <w:spacing w:after="60" w:line="259" w:lineRule="auto"/>
        <w:ind w:left="317" w:hanging="173"/>
      </w:pPr>
      <w:r>
        <w:rPr>
          <w:rFonts w:ascii="Arial" w:hAnsi="Arial" w:eastAsia="Arial"/>
          <w:b w:val="0"/>
          <w:i w:val="0"/>
          <w:color w:val="202A35"/>
          <w:sz w:val="19"/>
        </w:rPr>
        <w:t>MAE (hours): mean absolute difference between actual and predicted duration; directly interpretable in hours.</w:t>
      </w:r>
    </w:p>
    <w:p>
      <w:pPr>
        <w:pStyle w:val="ListBullet"/>
        <w:spacing w:after="60" w:line="259" w:lineRule="auto"/>
        <w:ind w:left="317" w:hanging="173"/>
      </w:pPr>
      <w:r>
        <w:rPr>
          <w:rFonts w:ascii="Arial" w:hAnsi="Arial" w:eastAsia="Arial"/>
          <w:b w:val="0"/>
          <w:i w:val="0"/>
          <w:color w:val="202A35"/>
          <w:sz w:val="19"/>
        </w:rPr>
        <w:t>RMSE (hours): square root of mean squared error; penalizes large misses more heavily than MAE.</w:t>
      </w:r>
    </w:p>
    <w:p>
      <w:pPr>
        <w:pStyle w:val="ListBullet"/>
        <w:spacing w:after="60" w:line="259" w:lineRule="auto"/>
        <w:ind w:left="317" w:hanging="173"/>
      </w:pPr>
      <w:r>
        <w:rPr>
          <w:rFonts w:ascii="Arial" w:hAnsi="Arial" w:eastAsia="Arial"/>
          <w:b w:val="0"/>
          <w:i w:val="0"/>
          <w:color w:val="202A35"/>
          <w:sz w:val="19"/>
        </w:rPr>
        <w:t>R-squared: relative fit against predicting the target mean; it can be negative when a model is worse than that baseline.</w:t>
      </w:r>
    </w:p>
    <w:p>
      <w:pPr>
        <w:spacing w:before="40" w:after="40"/>
        <w:jc w:val="center"/>
      </w:pPr>
      <w:r>
        <w:drawing>
          <wp:inline xmlns:a="http://schemas.openxmlformats.org/drawingml/2006/main" xmlns:pic="http://schemas.openxmlformats.org/drawingml/2006/picture">
            <wp:extent cx="5394960" cy="2467838"/>
            <wp:docPr id="1" name="Picture 1"/>
            <wp:cNvGraphicFramePr>
              <a:graphicFrameLocks noChangeAspect="1"/>
            </wp:cNvGraphicFramePr>
            <a:graphic>
              <a:graphicData uri="http://schemas.openxmlformats.org/drawingml/2006/picture">
                <pic:pic>
                  <pic:nvPicPr>
                    <pic:cNvPr id="0" name="week4_model_comparison.png"/>
                    <pic:cNvPicPr/>
                  </pic:nvPicPr>
                  <pic:blipFill>
                    <a:blip r:embed="rId11"/>
                    <a:stretch>
                      <a:fillRect/>
                    </a:stretch>
                  </pic:blipFill>
                  <pic:spPr>
                    <a:xfrm>
                      <a:off x="0" y="0"/>
                      <a:ext cx="5394960" cy="2467838"/>
                    </a:xfrm>
                    <a:prstGeom prst="rect"/>
                  </pic:spPr>
                </pic:pic>
              </a:graphicData>
            </a:graphic>
          </wp:inline>
        </w:drawing>
      </w:r>
    </w:p>
    <w:p>
      <w:pPr>
        <w:spacing w:after="140"/>
        <w:jc w:val="center"/>
      </w:pPr>
      <w:r>
        <w:rPr>
          <w:rFonts w:ascii="Arial" w:hAnsi="Arial" w:eastAsia="Arial"/>
          <w:b w:val="0"/>
          <w:i/>
          <w:color w:val="5B6573"/>
          <w:sz w:val="16"/>
        </w:rPr>
        <w:t>Figure 1. Holdout MAE and RMSE for the median baseline, Linear Regression, and tuned Random Forest.</w:t>
      </w:r>
    </w:p>
    <w:p>
      <w:r>
        <w:br w:type="page"/>
      </w:r>
    </w:p>
    <w:p>
      <w:pPr>
        <w:pStyle w:val="Heading1"/>
      </w:pPr>
      <w:r>
        <w:t>5. Model Results and Selection</w:t>
      </w:r>
    </w:p>
    <w:tbl>
      <w:tblPr>
        <w:tblW w:type="auto" w:w="0"/>
        <w:jc w:val="center"/>
        <w:tblLayout w:type="fixed"/>
        <w:tblLook w:firstColumn="1" w:firstRow="1" w:lastColumn="0" w:lastRow="0" w:noHBand="0" w:noVBand="1" w:val="04A0"/>
      </w:tblPr>
      <w:tblGrid>
        <w:gridCol w:w="4464"/>
        <w:gridCol w:w="1512"/>
        <w:gridCol w:w="1512"/>
        <w:gridCol w:w="1440"/>
      </w:tblGrid>
      <w:tr>
        <w:trPr>
          <w:tblHeader w:val="true"/>
          <w:cantSplit/>
        </w:trPr>
        <w:tc>
          <w:tcPr>
            <w:tcW w:type="dxa" w:w="4464"/>
            <w:vAlign w:val="center"/>
            <w:shd w:fill="17365D"/>
            <w:tcMar>
              <w:top w:w="90" w:type="dxa"/>
              <w:start w:w="110" w:type="dxa"/>
              <w:bottom w:w="90" w:type="dxa"/>
              <w:end w:w="110" w:type="dxa"/>
            </w:tcMar>
            <w:tcBorders>
              <w:bottom w:val="single" w:sz="8" w:color="17365D"/>
            </w:tcBorders>
          </w:tcPr>
          <w:p>
            <w:pPr>
              <w:spacing w:after="0" w:line="240" w:lineRule="auto"/>
            </w:pPr>
            <w:r>
              <w:rPr>
                <w:rFonts w:ascii="Arial" w:hAnsi="Arial" w:eastAsia="Arial"/>
                <w:b/>
                <w:i w:val="0"/>
                <w:color w:val="FFFFFF"/>
                <w:sz w:val="17"/>
              </w:rPr>
              <w:t>Model</w:t>
            </w:r>
          </w:p>
        </w:tc>
        <w:tc>
          <w:tcPr>
            <w:tcW w:type="dxa" w:w="1512"/>
            <w:vAlign w:val="center"/>
            <w:shd w:fill="17365D"/>
            <w:tcMar>
              <w:top w:w="90" w:type="dxa"/>
              <w:start w:w="110" w:type="dxa"/>
              <w:bottom w:w="90" w:type="dxa"/>
              <w:end w:w="110" w:type="dxa"/>
            </w:tcMar>
            <w:tcBorders>
              <w:bottom w:val="single" w:sz="8" w:color="17365D"/>
            </w:tcBorders>
          </w:tcPr>
          <w:p>
            <w:pPr>
              <w:spacing w:after="0" w:line="240" w:lineRule="auto"/>
            </w:pPr>
            <w:r>
              <w:rPr>
                <w:rFonts w:ascii="Arial" w:hAnsi="Arial" w:eastAsia="Arial"/>
                <w:b/>
                <w:i w:val="0"/>
                <w:color w:val="FFFFFF"/>
                <w:sz w:val="17"/>
              </w:rPr>
              <w:t>MAE (h)</w:t>
            </w:r>
          </w:p>
        </w:tc>
        <w:tc>
          <w:tcPr>
            <w:tcW w:type="dxa" w:w="1512"/>
            <w:vAlign w:val="center"/>
            <w:shd w:fill="17365D"/>
            <w:tcMar>
              <w:top w:w="90" w:type="dxa"/>
              <w:start w:w="110" w:type="dxa"/>
              <w:bottom w:w="90" w:type="dxa"/>
              <w:end w:w="110" w:type="dxa"/>
            </w:tcMar>
            <w:tcBorders>
              <w:bottom w:val="single" w:sz="8" w:color="17365D"/>
            </w:tcBorders>
          </w:tcPr>
          <w:p>
            <w:pPr>
              <w:spacing w:after="0" w:line="240" w:lineRule="auto"/>
            </w:pPr>
            <w:r>
              <w:rPr>
                <w:rFonts w:ascii="Arial" w:hAnsi="Arial" w:eastAsia="Arial"/>
                <w:b/>
                <w:i w:val="0"/>
                <w:color w:val="FFFFFF"/>
                <w:sz w:val="17"/>
              </w:rPr>
              <w:t>RMSE (h)</w:t>
            </w:r>
          </w:p>
        </w:tc>
        <w:tc>
          <w:tcPr>
            <w:tcW w:type="dxa" w:w="1440"/>
            <w:vAlign w:val="center"/>
            <w:shd w:fill="17365D"/>
            <w:tcMar>
              <w:top w:w="90" w:type="dxa"/>
              <w:start w:w="110" w:type="dxa"/>
              <w:bottom w:w="90" w:type="dxa"/>
              <w:end w:w="110" w:type="dxa"/>
            </w:tcMar>
            <w:tcBorders>
              <w:bottom w:val="single" w:sz="8" w:color="17365D"/>
            </w:tcBorders>
          </w:tcPr>
          <w:p>
            <w:pPr>
              <w:spacing w:after="0" w:line="240" w:lineRule="auto"/>
            </w:pPr>
            <w:r>
              <w:rPr>
                <w:rFonts w:ascii="Arial" w:hAnsi="Arial" w:eastAsia="Arial"/>
                <w:b/>
                <w:i w:val="0"/>
                <w:color w:val="FFFFFF"/>
                <w:sz w:val="17"/>
              </w:rPr>
              <w:t>R²</w:t>
            </w:r>
          </w:p>
        </w:tc>
      </w:tr>
      <w:tr>
        <w:trPr>
          <w:cantSplit/>
        </w:trPr>
        <w:tc>
          <w:tcPr>
            <w:tcW w:type="dxa" w:w="4464"/>
            <w:vAlign w:val="center"/>
            <w:tcMar>
              <w:top w:w="72" w:type="dxa"/>
              <w:start w:w="95" w:type="dxa"/>
              <w:bottom w:w="72" w:type="dxa"/>
              <w:end w:w="95" w:type="dxa"/>
            </w:tcMar>
            <w:tcBorders>
              <w:bottom w:val="single" w:sz="3" w:color="D9E1F2"/>
            </w:tcBorders>
          </w:tcPr>
          <w:p>
            <w:pPr>
              <w:spacing w:after="0" w:line="245" w:lineRule="auto"/>
            </w:pPr>
            <w:r>
              <w:rPr>
                <w:rFonts w:ascii="Arial" w:hAnsi="Arial" w:eastAsia="Arial"/>
                <w:b w:val="0"/>
                <w:i w:val="0"/>
                <w:color w:val="202A35"/>
                <w:sz w:val="17"/>
              </w:rPr>
              <w:t>Median baseline</w:t>
            </w:r>
          </w:p>
        </w:tc>
        <w:tc>
          <w:tcPr>
            <w:tcW w:type="dxa" w:w="1512"/>
            <w:vAlign w:val="center"/>
            <w:tcMar>
              <w:top w:w="72" w:type="dxa"/>
              <w:start w:w="95" w:type="dxa"/>
              <w:bottom w:w="72" w:type="dxa"/>
              <w:end w:w="95" w:type="dxa"/>
            </w:tcMar>
            <w:tcBorders>
              <w:bottom w:val="single" w:sz="3" w:color="D9E1F2"/>
            </w:tcBorders>
          </w:tcPr>
          <w:p>
            <w:pPr>
              <w:spacing w:after="0" w:line="245" w:lineRule="auto"/>
            </w:pPr>
            <w:r>
              <w:rPr>
                <w:rFonts w:ascii="Arial" w:hAnsi="Arial" w:eastAsia="Arial"/>
                <w:b w:val="0"/>
                <w:i w:val="0"/>
                <w:color w:val="202A35"/>
                <w:sz w:val="17"/>
              </w:rPr>
              <w:t>3.721</w:t>
            </w:r>
          </w:p>
        </w:tc>
        <w:tc>
          <w:tcPr>
            <w:tcW w:type="dxa" w:w="1512"/>
            <w:vAlign w:val="center"/>
            <w:tcMar>
              <w:top w:w="72" w:type="dxa"/>
              <w:start w:w="95" w:type="dxa"/>
              <w:bottom w:w="72" w:type="dxa"/>
              <w:end w:w="95" w:type="dxa"/>
            </w:tcMar>
            <w:tcBorders>
              <w:bottom w:val="single" w:sz="3" w:color="D9E1F2"/>
            </w:tcBorders>
          </w:tcPr>
          <w:p>
            <w:pPr>
              <w:spacing w:after="0" w:line="245" w:lineRule="auto"/>
            </w:pPr>
            <w:r>
              <w:rPr>
                <w:rFonts w:ascii="Arial" w:hAnsi="Arial" w:eastAsia="Arial"/>
                <w:b w:val="0"/>
                <w:i w:val="0"/>
                <w:color w:val="202A35"/>
                <w:sz w:val="17"/>
              </w:rPr>
              <w:t>6.294</w:t>
            </w:r>
          </w:p>
        </w:tc>
        <w:tc>
          <w:tcPr>
            <w:tcW w:type="dxa" w:w="1440"/>
            <w:vAlign w:val="center"/>
            <w:tcMar>
              <w:top w:w="72" w:type="dxa"/>
              <w:start w:w="95" w:type="dxa"/>
              <w:bottom w:w="72" w:type="dxa"/>
              <w:end w:w="95" w:type="dxa"/>
            </w:tcMar>
            <w:tcBorders>
              <w:bottom w:val="single" w:sz="3" w:color="D9E1F2"/>
            </w:tcBorders>
          </w:tcPr>
          <w:p>
            <w:pPr>
              <w:spacing w:after="0" w:line="245" w:lineRule="auto"/>
            </w:pPr>
            <w:r>
              <w:rPr>
                <w:rFonts w:ascii="Arial" w:hAnsi="Arial" w:eastAsia="Arial"/>
                <w:b w:val="0"/>
                <w:i w:val="0"/>
                <w:color w:val="202A35"/>
                <w:sz w:val="17"/>
              </w:rPr>
              <w:t>-0.122</w:t>
            </w:r>
          </w:p>
        </w:tc>
      </w:tr>
      <w:tr>
        <w:trPr>
          <w:cantSplit/>
        </w:trPr>
        <w:tc>
          <w:tcPr>
            <w:tcW w:type="dxa" w:w="4464"/>
            <w:vAlign w:val="center"/>
            <w:tcMar>
              <w:top w:w="72" w:type="dxa"/>
              <w:start w:w="95" w:type="dxa"/>
              <w:bottom w:w="72" w:type="dxa"/>
              <w:end w:w="95" w:type="dxa"/>
            </w:tcMar>
            <w:shd w:fill="F4F6F8"/>
            <w:tcBorders>
              <w:bottom w:val="single" w:sz="3" w:color="D9E1F2"/>
            </w:tcBorders>
          </w:tcPr>
          <w:p>
            <w:pPr>
              <w:spacing w:after="0" w:line="245" w:lineRule="auto"/>
            </w:pPr>
            <w:r>
              <w:rPr>
                <w:rFonts w:ascii="Arial" w:hAnsi="Arial" w:eastAsia="Arial"/>
                <w:b w:val="0"/>
                <w:i w:val="0"/>
                <w:color w:val="202A35"/>
                <w:sz w:val="17"/>
              </w:rPr>
              <w:t>Linear regression</w:t>
            </w:r>
          </w:p>
        </w:tc>
        <w:tc>
          <w:tcPr>
            <w:tcW w:type="dxa" w:w="1512"/>
            <w:vAlign w:val="center"/>
            <w:tcMar>
              <w:top w:w="72" w:type="dxa"/>
              <w:start w:w="95" w:type="dxa"/>
              <w:bottom w:w="72" w:type="dxa"/>
              <w:end w:w="95" w:type="dxa"/>
            </w:tcMar>
            <w:shd w:fill="F4F6F8"/>
            <w:tcBorders>
              <w:bottom w:val="single" w:sz="3" w:color="D9E1F2"/>
            </w:tcBorders>
          </w:tcPr>
          <w:p>
            <w:pPr>
              <w:spacing w:after="0" w:line="245" w:lineRule="auto"/>
            </w:pPr>
            <w:r>
              <w:rPr>
                <w:rFonts w:ascii="Arial" w:hAnsi="Arial" w:eastAsia="Arial"/>
                <w:b w:val="0"/>
                <w:i w:val="0"/>
                <w:color w:val="202A35"/>
                <w:sz w:val="17"/>
              </w:rPr>
              <w:t>0.826</w:t>
            </w:r>
          </w:p>
        </w:tc>
        <w:tc>
          <w:tcPr>
            <w:tcW w:type="dxa" w:w="1512"/>
            <w:vAlign w:val="center"/>
            <w:tcMar>
              <w:top w:w="72" w:type="dxa"/>
              <w:start w:w="95" w:type="dxa"/>
              <w:bottom w:w="72" w:type="dxa"/>
              <w:end w:w="95" w:type="dxa"/>
            </w:tcMar>
            <w:shd w:fill="F4F6F8"/>
            <w:tcBorders>
              <w:bottom w:val="single" w:sz="3" w:color="D9E1F2"/>
            </w:tcBorders>
          </w:tcPr>
          <w:p>
            <w:pPr>
              <w:spacing w:after="0" w:line="245" w:lineRule="auto"/>
            </w:pPr>
            <w:r>
              <w:rPr>
                <w:rFonts w:ascii="Arial" w:hAnsi="Arial" w:eastAsia="Arial"/>
                <w:b w:val="0"/>
                <w:i w:val="0"/>
                <w:color w:val="202A35"/>
                <w:sz w:val="17"/>
              </w:rPr>
              <w:t>1.262</w:t>
            </w:r>
          </w:p>
        </w:tc>
        <w:tc>
          <w:tcPr>
            <w:tcW w:type="dxa" w:w="1440"/>
            <w:vAlign w:val="center"/>
            <w:tcMar>
              <w:top w:w="72" w:type="dxa"/>
              <w:start w:w="95" w:type="dxa"/>
              <w:bottom w:w="72" w:type="dxa"/>
              <w:end w:w="95" w:type="dxa"/>
            </w:tcMar>
            <w:shd w:fill="F4F6F8"/>
            <w:tcBorders>
              <w:bottom w:val="single" w:sz="3" w:color="D9E1F2"/>
            </w:tcBorders>
          </w:tcPr>
          <w:p>
            <w:pPr>
              <w:spacing w:after="0" w:line="245" w:lineRule="auto"/>
            </w:pPr>
            <w:r>
              <w:rPr>
                <w:rFonts w:ascii="Arial" w:hAnsi="Arial" w:eastAsia="Arial"/>
                <w:b w:val="0"/>
                <w:i w:val="0"/>
                <w:color w:val="202A35"/>
                <w:sz w:val="17"/>
              </w:rPr>
              <w:t>0.955</w:t>
            </w:r>
          </w:p>
        </w:tc>
      </w:tr>
      <w:tr>
        <w:trPr>
          <w:cantSplit/>
        </w:trPr>
        <w:tc>
          <w:tcPr>
            <w:tcW w:type="dxa" w:w="4464"/>
            <w:vAlign w:val="center"/>
            <w:tcMar>
              <w:top w:w="72" w:type="dxa"/>
              <w:start w:w="95" w:type="dxa"/>
              <w:bottom w:w="72" w:type="dxa"/>
              <w:end w:w="95" w:type="dxa"/>
            </w:tcMar>
            <w:tcBorders>
              <w:bottom w:val="single" w:sz="3" w:color="D9E1F2"/>
            </w:tcBorders>
          </w:tcPr>
          <w:p>
            <w:pPr>
              <w:spacing w:after="0" w:line="245" w:lineRule="auto"/>
            </w:pPr>
            <w:r>
              <w:rPr>
                <w:rFonts w:ascii="Arial" w:hAnsi="Arial" w:eastAsia="Arial"/>
                <w:b w:val="0"/>
                <w:i w:val="0"/>
                <w:color w:val="202A35"/>
                <w:sz w:val="17"/>
              </w:rPr>
              <w:t>Tuned random forest</w:t>
            </w:r>
          </w:p>
        </w:tc>
        <w:tc>
          <w:tcPr>
            <w:tcW w:type="dxa" w:w="1512"/>
            <w:vAlign w:val="center"/>
            <w:tcMar>
              <w:top w:w="72" w:type="dxa"/>
              <w:start w:w="95" w:type="dxa"/>
              <w:bottom w:w="72" w:type="dxa"/>
              <w:end w:w="95" w:type="dxa"/>
            </w:tcMar>
            <w:tcBorders>
              <w:bottom w:val="single" w:sz="3" w:color="D9E1F2"/>
            </w:tcBorders>
          </w:tcPr>
          <w:p>
            <w:pPr>
              <w:spacing w:after="0" w:line="245" w:lineRule="auto"/>
            </w:pPr>
            <w:r>
              <w:rPr>
                <w:rFonts w:ascii="Arial" w:hAnsi="Arial" w:eastAsia="Arial"/>
                <w:b w:val="0"/>
                <w:i w:val="0"/>
                <w:color w:val="202A35"/>
                <w:sz w:val="17"/>
              </w:rPr>
              <w:t>0.926</w:t>
            </w:r>
          </w:p>
        </w:tc>
        <w:tc>
          <w:tcPr>
            <w:tcW w:type="dxa" w:w="1512"/>
            <w:vAlign w:val="center"/>
            <w:tcMar>
              <w:top w:w="72" w:type="dxa"/>
              <w:start w:w="95" w:type="dxa"/>
              <w:bottom w:w="72" w:type="dxa"/>
              <w:end w:w="95" w:type="dxa"/>
            </w:tcMar>
            <w:tcBorders>
              <w:bottom w:val="single" w:sz="3" w:color="D9E1F2"/>
            </w:tcBorders>
          </w:tcPr>
          <w:p>
            <w:pPr>
              <w:spacing w:after="0" w:line="245" w:lineRule="auto"/>
            </w:pPr>
            <w:r>
              <w:rPr>
                <w:rFonts w:ascii="Arial" w:hAnsi="Arial" w:eastAsia="Arial"/>
                <w:b w:val="0"/>
                <w:i w:val="0"/>
                <w:color w:val="202A35"/>
                <w:sz w:val="17"/>
              </w:rPr>
              <w:t>1.346</w:t>
            </w:r>
          </w:p>
        </w:tc>
        <w:tc>
          <w:tcPr>
            <w:tcW w:type="dxa" w:w="1440"/>
            <w:vAlign w:val="center"/>
            <w:tcMar>
              <w:top w:w="72" w:type="dxa"/>
              <w:start w:w="95" w:type="dxa"/>
              <w:bottom w:w="72" w:type="dxa"/>
              <w:end w:w="95" w:type="dxa"/>
            </w:tcMar>
            <w:tcBorders>
              <w:bottom w:val="single" w:sz="3" w:color="D9E1F2"/>
            </w:tcBorders>
          </w:tcPr>
          <w:p>
            <w:pPr>
              <w:spacing w:after="0" w:line="245" w:lineRule="auto"/>
            </w:pPr>
            <w:r>
              <w:rPr>
                <w:rFonts w:ascii="Arial" w:hAnsi="Arial" w:eastAsia="Arial"/>
                <w:b w:val="0"/>
                <w:i w:val="0"/>
                <w:color w:val="202A35"/>
                <w:sz w:val="17"/>
              </w:rPr>
              <w:t>0.949</w:t>
            </w:r>
          </w:p>
        </w:tc>
      </w:tr>
    </w:tbl>
    <w:p>
      <w:pPr>
        <w:spacing w:after="20"/>
      </w:pPr>
    </w:p>
    <w:p>
      <w:pPr>
        <w:spacing w:after="110" w:line="269" w:lineRule="auto"/>
      </w:pPr>
      <w:r>
        <w:rPr>
          <w:rFonts w:ascii="Arial" w:hAnsi="Arial" w:eastAsia="Arial"/>
          <w:b w:val="0"/>
          <w:i w:val="0"/>
          <w:color w:val="202A35"/>
          <w:sz w:val="20"/>
        </w:rPr>
        <w:t>Five-fold training CV MAE was 3.443 ± 0.276 hours for the median baseline, 0.878 ± 0.019 hours for Linear Regression, and 0.922 ± 0.077 hours for the default 150-tree Random Forest. The lower mean CV MAE supports selecting Linear Regression among the predictive candidates before viewing holdout metrics.</w:t>
      </w:r>
    </w:p>
    <w:p>
      <w:pPr>
        <w:spacing w:after="110" w:line="269" w:lineRule="auto"/>
      </w:pPr>
      <w:r>
        <w:rPr>
          <w:rFonts w:ascii="Arial" w:hAnsi="Arial" w:eastAsia="Arial"/>
          <w:b w:val="0"/>
          <w:i w:val="0"/>
          <w:color w:val="202A35"/>
          <w:sz w:val="20"/>
        </w:rPr>
        <w:t>The tuned Random Forest grid search selected 220 trees, max_depth=18, and min_samples_leaf=1; its best three-fold training-grid MAE was 0.947 hours. However, tuning does not guarantee that the more complex model will beat the linear model on held-out data. Here Linear Regression achieved the lower test MAE (0.826 vs 0.926 hours).</w:t>
      </w:r>
    </w:p>
    <w:tbl>
      <w:tblPr>
        <w:tblW w:type="auto" w:w="0"/>
        <w:jc w:val="center"/>
        <w:tblLook w:firstColumn="1" w:firstRow="1" w:lastColumn="0" w:lastRow="0" w:noHBand="0" w:noVBand="1" w:val="04A0"/>
      </w:tblPr>
      <w:tblGrid>
        <w:gridCol w:w="9663"/>
      </w:tblGrid>
      <w:tr>
        <w:tc>
          <w:tcPr>
            <w:tcW w:type="dxa" w:w="9663"/>
            <w:shd w:fill="E6F4F3"/>
            <w:tcMar>
              <w:top w:w="140" w:type="dxa"/>
              <w:start w:w="180" w:type="dxa"/>
              <w:bottom w:w="140" w:type="dxa"/>
              <w:end w:w="180" w:type="dxa"/>
            </w:tcMar>
            <w:tcBorders>
              <w:left w:val="single" w:sz="20" w:color="168A8A"/>
            </w:tcBorders>
          </w:tcPr>
          <w:p>
            <w:pPr>
              <w:spacing w:after="80"/>
            </w:pPr>
            <w:r>
              <w:rPr>
                <w:rFonts w:ascii="Arial" w:hAnsi="Arial" w:eastAsia="Arial"/>
                <w:b/>
                <w:i w:val="0"/>
                <w:color w:val="168A8A"/>
                <w:sz w:val="20"/>
              </w:rPr>
              <w:t>INTERPRETATION CAUTION</w:t>
            </w:r>
          </w:p>
          <w:p>
            <w:pPr>
              <w:spacing w:after="0" w:line="259" w:lineRule="auto"/>
            </w:pPr>
            <w:r>
              <w:rPr>
                <w:rFonts w:ascii="Arial" w:hAnsi="Arial" w:eastAsia="Arial"/>
                <w:b w:val="0"/>
                <w:i w:val="0"/>
                <w:color w:val="202A35"/>
                <w:sz w:val="18"/>
              </w:rPr>
              <w:t>The selected Linear Regression achieved R² = 0.955 on the synthetic holdout. This strong score is expected to some degree because the synthetic target was constructed from known features and simple relationships. It is not evidence that a similar score can be reached using real transport records.</w:t>
            </w:r>
          </w:p>
        </w:tc>
      </w:tr>
    </w:tbl>
    <w:p>
      <w:pPr>
        <w:spacing w:after="20"/>
      </w:pPr>
    </w:p>
    <w:p>
      <w:pPr>
        <w:pStyle w:val="Heading2"/>
      </w:pPr>
      <w:r>
        <w:t>Cross-validation summary</w:t>
      </w:r>
    </w:p>
    <w:tbl>
      <w:tblPr>
        <w:tblW w:type="auto" w:w="0"/>
        <w:jc w:val="center"/>
        <w:tblLayout w:type="fixed"/>
        <w:tblLook w:firstColumn="1" w:firstRow="1" w:lastColumn="0" w:lastRow="0" w:noHBand="0" w:noVBand="1" w:val="04A0"/>
      </w:tblPr>
      <w:tblGrid>
        <w:gridCol w:w="4320"/>
        <w:gridCol w:w="1080"/>
        <w:gridCol w:w="1944"/>
        <w:gridCol w:w="1584"/>
      </w:tblGrid>
      <w:tr>
        <w:trPr>
          <w:tblHeader w:val="true"/>
          <w:cantSplit/>
        </w:trPr>
        <w:tc>
          <w:tcPr>
            <w:tcW w:type="dxa" w:w="4320"/>
            <w:vAlign w:val="center"/>
            <w:shd w:fill="17365D"/>
            <w:tcMar>
              <w:top w:w="90" w:type="dxa"/>
              <w:start w:w="110" w:type="dxa"/>
              <w:bottom w:w="90" w:type="dxa"/>
              <w:end w:w="110" w:type="dxa"/>
            </w:tcMar>
            <w:tcBorders>
              <w:bottom w:val="single" w:sz="8" w:color="17365D"/>
            </w:tcBorders>
          </w:tcPr>
          <w:p>
            <w:pPr>
              <w:spacing w:after="0" w:line="240" w:lineRule="auto"/>
            </w:pPr>
            <w:r>
              <w:rPr>
                <w:rFonts w:ascii="Arial" w:hAnsi="Arial" w:eastAsia="Arial"/>
                <w:b/>
                <w:i w:val="0"/>
                <w:color w:val="FFFFFF"/>
                <w:sz w:val="16"/>
              </w:rPr>
              <w:t>Model</w:t>
            </w:r>
          </w:p>
        </w:tc>
        <w:tc>
          <w:tcPr>
            <w:tcW w:type="dxa" w:w="1080"/>
            <w:vAlign w:val="center"/>
            <w:shd w:fill="17365D"/>
            <w:tcMar>
              <w:top w:w="90" w:type="dxa"/>
              <w:start w:w="110" w:type="dxa"/>
              <w:bottom w:w="90" w:type="dxa"/>
              <w:end w:w="110" w:type="dxa"/>
            </w:tcMar>
            <w:tcBorders>
              <w:bottom w:val="single" w:sz="8" w:color="17365D"/>
            </w:tcBorders>
          </w:tcPr>
          <w:p>
            <w:pPr>
              <w:spacing w:after="0" w:line="240" w:lineRule="auto"/>
            </w:pPr>
            <w:r>
              <w:rPr>
                <w:rFonts w:ascii="Arial" w:hAnsi="Arial" w:eastAsia="Arial"/>
                <w:b/>
                <w:i w:val="0"/>
                <w:color w:val="FFFFFF"/>
                <w:sz w:val="16"/>
              </w:rPr>
              <w:t>Folds</w:t>
            </w:r>
          </w:p>
        </w:tc>
        <w:tc>
          <w:tcPr>
            <w:tcW w:type="dxa" w:w="1944"/>
            <w:vAlign w:val="center"/>
            <w:shd w:fill="17365D"/>
            <w:tcMar>
              <w:top w:w="90" w:type="dxa"/>
              <w:start w:w="110" w:type="dxa"/>
              <w:bottom w:w="90" w:type="dxa"/>
              <w:end w:w="110" w:type="dxa"/>
            </w:tcMar>
            <w:tcBorders>
              <w:bottom w:val="single" w:sz="8" w:color="17365D"/>
            </w:tcBorders>
          </w:tcPr>
          <w:p>
            <w:pPr>
              <w:spacing w:after="0" w:line="240" w:lineRule="auto"/>
            </w:pPr>
            <w:r>
              <w:rPr>
                <w:rFonts w:ascii="Arial" w:hAnsi="Arial" w:eastAsia="Arial"/>
                <w:b/>
                <w:i w:val="0"/>
                <w:color w:val="FFFFFF"/>
                <w:sz w:val="16"/>
              </w:rPr>
              <w:t>Mean CV MAE (h)</w:t>
            </w:r>
          </w:p>
        </w:tc>
        <w:tc>
          <w:tcPr>
            <w:tcW w:type="dxa" w:w="1584"/>
            <w:vAlign w:val="center"/>
            <w:shd w:fill="17365D"/>
            <w:tcMar>
              <w:top w:w="90" w:type="dxa"/>
              <w:start w:w="110" w:type="dxa"/>
              <w:bottom w:w="90" w:type="dxa"/>
              <w:end w:w="110" w:type="dxa"/>
            </w:tcMar>
            <w:tcBorders>
              <w:bottom w:val="single" w:sz="8" w:color="17365D"/>
            </w:tcBorders>
          </w:tcPr>
          <w:p>
            <w:pPr>
              <w:spacing w:after="0" w:line="240" w:lineRule="auto"/>
            </w:pPr>
            <w:r>
              <w:rPr>
                <w:rFonts w:ascii="Arial" w:hAnsi="Arial" w:eastAsia="Arial"/>
                <w:b/>
                <w:i w:val="0"/>
                <w:color w:val="FFFFFF"/>
                <w:sz w:val="16"/>
              </w:rPr>
              <w:t>Std. dev. (h)</w:t>
            </w:r>
          </w:p>
        </w:tc>
      </w:tr>
      <w:tr>
        <w:trPr>
          <w:cantSplit/>
        </w:trPr>
        <w:tc>
          <w:tcPr>
            <w:tcW w:type="dxa" w:w="4320"/>
            <w:vAlign w:val="center"/>
            <w:tcMar>
              <w:top w:w="72" w:type="dxa"/>
              <w:start w:w="95" w:type="dxa"/>
              <w:bottom w:w="72" w:type="dxa"/>
              <w:end w:w="95" w:type="dxa"/>
            </w:tcMar>
            <w:tcBorders>
              <w:bottom w:val="single" w:sz="3" w:color="D9E1F2"/>
            </w:tcBorders>
          </w:tcPr>
          <w:p>
            <w:pPr>
              <w:spacing w:after="0" w:line="245" w:lineRule="auto"/>
            </w:pPr>
            <w:r>
              <w:rPr>
                <w:rFonts w:ascii="Arial" w:hAnsi="Arial" w:eastAsia="Arial"/>
                <w:b w:val="0"/>
                <w:i w:val="0"/>
                <w:color w:val="202A35"/>
                <w:sz w:val="16"/>
              </w:rPr>
              <w:t>Median baseline</w:t>
            </w:r>
          </w:p>
        </w:tc>
        <w:tc>
          <w:tcPr>
            <w:tcW w:type="dxa" w:w="1080"/>
            <w:vAlign w:val="center"/>
            <w:tcMar>
              <w:top w:w="72" w:type="dxa"/>
              <w:start w:w="95" w:type="dxa"/>
              <w:bottom w:w="72" w:type="dxa"/>
              <w:end w:w="95" w:type="dxa"/>
            </w:tcMar>
            <w:tcBorders>
              <w:bottom w:val="single" w:sz="3" w:color="D9E1F2"/>
            </w:tcBorders>
          </w:tcPr>
          <w:p>
            <w:pPr>
              <w:spacing w:after="0" w:line="245" w:lineRule="auto"/>
            </w:pPr>
            <w:r>
              <w:rPr>
                <w:rFonts w:ascii="Arial" w:hAnsi="Arial" w:eastAsia="Arial"/>
                <w:b w:val="0"/>
                <w:i w:val="0"/>
                <w:color w:val="202A35"/>
                <w:sz w:val="16"/>
              </w:rPr>
              <w:t>5</w:t>
            </w:r>
          </w:p>
        </w:tc>
        <w:tc>
          <w:tcPr>
            <w:tcW w:type="dxa" w:w="1944"/>
            <w:vAlign w:val="center"/>
            <w:tcMar>
              <w:top w:w="72" w:type="dxa"/>
              <w:start w:w="95" w:type="dxa"/>
              <w:bottom w:w="72" w:type="dxa"/>
              <w:end w:w="95" w:type="dxa"/>
            </w:tcMar>
            <w:tcBorders>
              <w:bottom w:val="single" w:sz="3" w:color="D9E1F2"/>
            </w:tcBorders>
          </w:tcPr>
          <w:p>
            <w:pPr>
              <w:spacing w:after="0" w:line="245" w:lineRule="auto"/>
            </w:pPr>
            <w:r>
              <w:rPr>
                <w:rFonts w:ascii="Arial" w:hAnsi="Arial" w:eastAsia="Arial"/>
                <w:b w:val="0"/>
                <w:i w:val="0"/>
                <w:color w:val="202A35"/>
                <w:sz w:val="16"/>
              </w:rPr>
              <w:t>3.443</w:t>
            </w:r>
          </w:p>
        </w:tc>
        <w:tc>
          <w:tcPr>
            <w:tcW w:type="dxa" w:w="1584"/>
            <w:vAlign w:val="center"/>
            <w:tcMar>
              <w:top w:w="72" w:type="dxa"/>
              <w:start w:w="95" w:type="dxa"/>
              <w:bottom w:w="72" w:type="dxa"/>
              <w:end w:w="95" w:type="dxa"/>
            </w:tcMar>
            <w:tcBorders>
              <w:bottom w:val="single" w:sz="3" w:color="D9E1F2"/>
            </w:tcBorders>
          </w:tcPr>
          <w:p>
            <w:pPr>
              <w:spacing w:after="0" w:line="245" w:lineRule="auto"/>
            </w:pPr>
            <w:r>
              <w:rPr>
                <w:rFonts w:ascii="Arial" w:hAnsi="Arial" w:eastAsia="Arial"/>
                <w:b w:val="0"/>
                <w:i w:val="0"/>
                <w:color w:val="202A35"/>
                <w:sz w:val="16"/>
              </w:rPr>
              <w:t>0.276</w:t>
            </w:r>
          </w:p>
        </w:tc>
      </w:tr>
      <w:tr>
        <w:trPr>
          <w:cantSplit/>
        </w:trPr>
        <w:tc>
          <w:tcPr>
            <w:tcW w:type="dxa" w:w="4320"/>
            <w:vAlign w:val="center"/>
            <w:tcMar>
              <w:top w:w="72" w:type="dxa"/>
              <w:start w:w="95" w:type="dxa"/>
              <w:bottom w:w="72" w:type="dxa"/>
              <w:end w:w="95" w:type="dxa"/>
            </w:tcMar>
            <w:shd w:fill="F4F6F8"/>
            <w:tcBorders>
              <w:bottom w:val="single" w:sz="3" w:color="D9E1F2"/>
            </w:tcBorders>
          </w:tcPr>
          <w:p>
            <w:pPr>
              <w:spacing w:after="0" w:line="245" w:lineRule="auto"/>
            </w:pPr>
            <w:r>
              <w:rPr>
                <w:rFonts w:ascii="Arial" w:hAnsi="Arial" w:eastAsia="Arial"/>
                <w:b w:val="0"/>
                <w:i w:val="0"/>
                <w:color w:val="202A35"/>
                <w:sz w:val="16"/>
              </w:rPr>
              <w:t>Linear regression</w:t>
            </w:r>
          </w:p>
        </w:tc>
        <w:tc>
          <w:tcPr>
            <w:tcW w:type="dxa" w:w="1080"/>
            <w:vAlign w:val="center"/>
            <w:tcMar>
              <w:top w:w="72" w:type="dxa"/>
              <w:start w:w="95" w:type="dxa"/>
              <w:bottom w:w="72" w:type="dxa"/>
              <w:end w:w="95" w:type="dxa"/>
            </w:tcMar>
            <w:shd w:fill="F4F6F8"/>
            <w:tcBorders>
              <w:bottom w:val="single" w:sz="3" w:color="D9E1F2"/>
            </w:tcBorders>
          </w:tcPr>
          <w:p>
            <w:pPr>
              <w:spacing w:after="0" w:line="245" w:lineRule="auto"/>
            </w:pPr>
            <w:r>
              <w:rPr>
                <w:rFonts w:ascii="Arial" w:hAnsi="Arial" w:eastAsia="Arial"/>
                <w:b w:val="0"/>
                <w:i w:val="0"/>
                <w:color w:val="202A35"/>
                <w:sz w:val="16"/>
              </w:rPr>
              <w:t>5</w:t>
            </w:r>
          </w:p>
        </w:tc>
        <w:tc>
          <w:tcPr>
            <w:tcW w:type="dxa" w:w="1944"/>
            <w:vAlign w:val="center"/>
            <w:tcMar>
              <w:top w:w="72" w:type="dxa"/>
              <w:start w:w="95" w:type="dxa"/>
              <w:bottom w:w="72" w:type="dxa"/>
              <w:end w:w="95" w:type="dxa"/>
            </w:tcMar>
            <w:shd w:fill="F4F6F8"/>
            <w:tcBorders>
              <w:bottom w:val="single" w:sz="3" w:color="D9E1F2"/>
            </w:tcBorders>
          </w:tcPr>
          <w:p>
            <w:pPr>
              <w:spacing w:after="0" w:line="245" w:lineRule="auto"/>
            </w:pPr>
            <w:r>
              <w:rPr>
                <w:rFonts w:ascii="Arial" w:hAnsi="Arial" w:eastAsia="Arial"/>
                <w:b w:val="0"/>
                <w:i w:val="0"/>
                <w:color w:val="202A35"/>
                <w:sz w:val="16"/>
              </w:rPr>
              <w:t>0.878</w:t>
            </w:r>
          </w:p>
        </w:tc>
        <w:tc>
          <w:tcPr>
            <w:tcW w:type="dxa" w:w="1584"/>
            <w:vAlign w:val="center"/>
            <w:tcMar>
              <w:top w:w="72" w:type="dxa"/>
              <w:start w:w="95" w:type="dxa"/>
              <w:bottom w:w="72" w:type="dxa"/>
              <w:end w:w="95" w:type="dxa"/>
            </w:tcMar>
            <w:shd w:fill="F4F6F8"/>
            <w:tcBorders>
              <w:bottom w:val="single" w:sz="3" w:color="D9E1F2"/>
            </w:tcBorders>
          </w:tcPr>
          <w:p>
            <w:pPr>
              <w:spacing w:after="0" w:line="245" w:lineRule="auto"/>
            </w:pPr>
            <w:r>
              <w:rPr>
                <w:rFonts w:ascii="Arial" w:hAnsi="Arial" w:eastAsia="Arial"/>
                <w:b w:val="0"/>
                <w:i w:val="0"/>
                <w:color w:val="202A35"/>
                <w:sz w:val="16"/>
              </w:rPr>
              <w:t>0.019</w:t>
            </w:r>
          </w:p>
        </w:tc>
      </w:tr>
      <w:tr>
        <w:trPr>
          <w:cantSplit/>
        </w:trPr>
        <w:tc>
          <w:tcPr>
            <w:tcW w:type="dxa" w:w="4320"/>
            <w:vAlign w:val="center"/>
            <w:tcMar>
              <w:top w:w="72" w:type="dxa"/>
              <w:start w:w="95" w:type="dxa"/>
              <w:bottom w:w="72" w:type="dxa"/>
              <w:end w:w="95" w:type="dxa"/>
            </w:tcMar>
            <w:tcBorders>
              <w:bottom w:val="single" w:sz="3" w:color="D9E1F2"/>
            </w:tcBorders>
          </w:tcPr>
          <w:p>
            <w:pPr>
              <w:spacing w:after="0" w:line="245" w:lineRule="auto"/>
            </w:pPr>
            <w:r>
              <w:rPr>
                <w:rFonts w:ascii="Arial" w:hAnsi="Arial" w:eastAsia="Arial"/>
                <w:b w:val="0"/>
                <w:i w:val="0"/>
                <w:color w:val="202A35"/>
                <w:sz w:val="16"/>
              </w:rPr>
              <w:t>Random forest (default; 150 trees)</w:t>
            </w:r>
          </w:p>
        </w:tc>
        <w:tc>
          <w:tcPr>
            <w:tcW w:type="dxa" w:w="1080"/>
            <w:vAlign w:val="center"/>
            <w:tcMar>
              <w:top w:w="72" w:type="dxa"/>
              <w:start w:w="95" w:type="dxa"/>
              <w:bottom w:w="72" w:type="dxa"/>
              <w:end w:w="95" w:type="dxa"/>
            </w:tcMar>
            <w:tcBorders>
              <w:bottom w:val="single" w:sz="3" w:color="D9E1F2"/>
            </w:tcBorders>
          </w:tcPr>
          <w:p>
            <w:pPr>
              <w:spacing w:after="0" w:line="245" w:lineRule="auto"/>
            </w:pPr>
            <w:r>
              <w:rPr>
                <w:rFonts w:ascii="Arial" w:hAnsi="Arial" w:eastAsia="Arial"/>
                <w:b w:val="0"/>
                <w:i w:val="0"/>
                <w:color w:val="202A35"/>
                <w:sz w:val="16"/>
              </w:rPr>
              <w:t>5</w:t>
            </w:r>
          </w:p>
        </w:tc>
        <w:tc>
          <w:tcPr>
            <w:tcW w:type="dxa" w:w="1944"/>
            <w:vAlign w:val="center"/>
            <w:tcMar>
              <w:top w:w="72" w:type="dxa"/>
              <w:start w:w="95" w:type="dxa"/>
              <w:bottom w:w="72" w:type="dxa"/>
              <w:end w:w="95" w:type="dxa"/>
            </w:tcMar>
            <w:tcBorders>
              <w:bottom w:val="single" w:sz="3" w:color="D9E1F2"/>
            </w:tcBorders>
          </w:tcPr>
          <w:p>
            <w:pPr>
              <w:spacing w:after="0" w:line="245" w:lineRule="auto"/>
            </w:pPr>
            <w:r>
              <w:rPr>
                <w:rFonts w:ascii="Arial" w:hAnsi="Arial" w:eastAsia="Arial"/>
                <w:b w:val="0"/>
                <w:i w:val="0"/>
                <w:color w:val="202A35"/>
                <w:sz w:val="16"/>
              </w:rPr>
              <w:t>0.922</w:t>
            </w:r>
          </w:p>
        </w:tc>
        <w:tc>
          <w:tcPr>
            <w:tcW w:type="dxa" w:w="1584"/>
            <w:vAlign w:val="center"/>
            <w:tcMar>
              <w:top w:w="72" w:type="dxa"/>
              <w:start w:w="95" w:type="dxa"/>
              <w:bottom w:w="72" w:type="dxa"/>
              <w:end w:w="95" w:type="dxa"/>
            </w:tcMar>
            <w:tcBorders>
              <w:bottom w:val="single" w:sz="3" w:color="D9E1F2"/>
            </w:tcBorders>
          </w:tcPr>
          <w:p>
            <w:pPr>
              <w:spacing w:after="0" w:line="245" w:lineRule="auto"/>
            </w:pPr>
            <w:r>
              <w:rPr>
                <w:rFonts w:ascii="Arial" w:hAnsi="Arial" w:eastAsia="Arial"/>
                <w:b w:val="0"/>
                <w:i w:val="0"/>
                <w:color w:val="202A35"/>
                <w:sz w:val="16"/>
              </w:rPr>
              <w:t>0.077</w:t>
            </w:r>
          </w:p>
        </w:tc>
      </w:tr>
    </w:tbl>
    <w:p>
      <w:pPr>
        <w:spacing w:after="20"/>
      </w:pPr>
    </w:p>
    <w:p>
      <w:r>
        <w:br w:type="page"/>
      </w:r>
    </w:p>
    <w:p>
      <w:pPr>
        <w:pStyle w:val="Heading1"/>
      </w:pPr>
      <w:r>
        <w:t>6. Prediction Diagnostics</w:t>
      </w:r>
    </w:p>
    <w:p>
      <w:pPr>
        <w:spacing w:after="110" w:line="269" w:lineRule="auto"/>
      </w:pPr>
      <w:r>
        <w:rPr>
          <w:rFonts w:ascii="Arial" w:hAnsi="Arial" w:eastAsia="Arial"/>
          <w:b w:val="0"/>
          <w:i w:val="0"/>
          <w:color w:val="202A35"/>
          <w:sz w:val="20"/>
        </w:rPr>
        <w:t>Diagnostic plots are used together: the actual-versus-predicted plot checks whether estimates generally track observed values; the residual distribution checks the direction and spread of misses. Neither plot can establish operational reliability beyond this synthetic sample.</w:t>
      </w:r>
    </w:p>
    <w:tbl>
      <w:tblPr>
        <w:tblW w:type="auto" w:w="0"/>
        <w:jc w:val="center"/>
        <w:tblLayout w:type="fixed"/>
        <w:tblLook w:firstColumn="1" w:firstRow="1" w:lastColumn="0" w:lastRow="0" w:noHBand="0" w:noVBand="1" w:val="04A0"/>
      </w:tblPr>
      <w:tblGrid>
        <w:gridCol w:w="4831"/>
        <w:gridCol w:w="4831"/>
      </w:tblGrid>
      <w:tr>
        <w:tc>
          <w:tcPr>
            <w:tcW w:type="dxa" w:w="4392"/>
            <w:tcMar>
              <w:top w:w="35" w:type="dxa"/>
              <w:start w:w="45" w:type="dxa"/>
              <w:bottom w:w="35" w:type="dxa"/>
              <w:end w:w="45" w:type="dxa"/>
            </w:tcMar>
            <w:tcBorders>
              <w:top w:val="nil"/>
              <w:left w:val="nil"/>
              <w:bottom w:val="nil"/>
              <w:right w:val="nil"/>
              <w:insideH w:val="nil"/>
              <w:insideV w:val="nil"/>
            </w:tcBorders>
          </w:tcPr>
          <w:p>
            <w:pPr>
              <w:spacing w:after="40"/>
              <w:jc w:val="center"/>
            </w:pPr>
            <w:r>
              <w:drawing>
                <wp:inline xmlns:a="http://schemas.openxmlformats.org/drawingml/2006/main" xmlns:pic="http://schemas.openxmlformats.org/drawingml/2006/picture">
                  <wp:extent cx="2697479" cy="1911002"/>
                  <wp:docPr id="2" name="Picture 2"/>
                  <wp:cNvGraphicFramePr>
                    <a:graphicFrameLocks noChangeAspect="1"/>
                  </wp:cNvGraphicFramePr>
                  <a:graphic>
                    <a:graphicData uri="http://schemas.openxmlformats.org/drawingml/2006/picture">
                      <pic:pic>
                        <pic:nvPicPr>
                          <pic:cNvPr id="0" name="week4_actual_vs_predicted.png"/>
                          <pic:cNvPicPr/>
                        </pic:nvPicPr>
                        <pic:blipFill>
                          <a:blip r:embed="rId12"/>
                          <a:stretch>
                            <a:fillRect/>
                          </a:stretch>
                        </pic:blipFill>
                        <pic:spPr>
                          <a:xfrm>
                            <a:off x="0" y="0"/>
                            <a:ext cx="2697479" cy="1911002"/>
                          </a:xfrm>
                          <a:prstGeom prst="rect"/>
                        </pic:spPr>
                      </pic:pic>
                    </a:graphicData>
                  </a:graphic>
                </wp:inline>
              </w:drawing>
            </w:r>
          </w:p>
          <w:p>
            <w:pPr>
              <w:spacing w:after="40"/>
              <w:jc w:val="center"/>
            </w:pPr>
            <w:r>
              <w:rPr>
                <w:rFonts w:ascii="Arial" w:hAnsi="Arial" w:eastAsia="Arial"/>
                <w:b w:val="0"/>
                <w:i/>
                <w:color w:val="5B6573"/>
                <w:sz w:val="15"/>
              </w:rPr>
              <w:t>Figure 2. Holdout actual vs predicted duration; dashed line is perfect agreement.</w:t>
            </w:r>
          </w:p>
        </w:tc>
        <w:tc>
          <w:tcPr>
            <w:tcW w:type="dxa" w:w="4392"/>
            <w:tcMar>
              <w:top w:w="35" w:type="dxa"/>
              <w:start w:w="45" w:type="dxa"/>
              <w:bottom w:w="35" w:type="dxa"/>
              <w:end w:w="45" w:type="dxa"/>
            </w:tcMar>
            <w:tcBorders>
              <w:top w:val="nil"/>
              <w:left w:val="nil"/>
              <w:bottom w:val="nil"/>
              <w:right w:val="nil"/>
              <w:insideH w:val="nil"/>
              <w:insideV w:val="nil"/>
            </w:tcBorders>
          </w:tcPr>
          <w:p>
            <w:pPr>
              <w:spacing w:after="40"/>
              <w:jc w:val="center"/>
            </w:pPr>
            <w:r>
              <w:drawing>
                <wp:inline xmlns:a="http://schemas.openxmlformats.org/drawingml/2006/main" xmlns:pic="http://schemas.openxmlformats.org/drawingml/2006/picture">
                  <wp:extent cx="2697479" cy="1832814"/>
                  <wp:docPr id="3" name="Picture 3"/>
                  <wp:cNvGraphicFramePr>
                    <a:graphicFrameLocks noChangeAspect="1"/>
                  </wp:cNvGraphicFramePr>
                  <a:graphic>
                    <a:graphicData uri="http://schemas.openxmlformats.org/drawingml/2006/picture">
                      <pic:pic>
                        <pic:nvPicPr>
                          <pic:cNvPr id="0" name="week4_residual_distribution.png"/>
                          <pic:cNvPicPr/>
                        </pic:nvPicPr>
                        <pic:blipFill>
                          <a:blip r:embed="rId13"/>
                          <a:stretch>
                            <a:fillRect/>
                          </a:stretch>
                        </pic:blipFill>
                        <pic:spPr>
                          <a:xfrm>
                            <a:off x="0" y="0"/>
                            <a:ext cx="2697479" cy="1832814"/>
                          </a:xfrm>
                          <a:prstGeom prst="rect"/>
                        </pic:spPr>
                      </pic:pic>
                    </a:graphicData>
                  </a:graphic>
                </wp:inline>
              </w:drawing>
            </w:r>
          </w:p>
          <w:p>
            <w:pPr>
              <w:spacing w:after="40"/>
              <w:jc w:val="center"/>
            </w:pPr>
            <w:r>
              <w:rPr>
                <w:rFonts w:ascii="Arial" w:hAnsi="Arial" w:eastAsia="Arial"/>
                <w:b w:val="0"/>
                <w:i/>
                <w:color w:val="5B6573"/>
                <w:sz w:val="15"/>
              </w:rPr>
              <w:t>Figure 3. Holdout residuals (actual minus predicted).</w:t>
            </w:r>
          </w:p>
        </w:tc>
      </w:tr>
    </w:tbl>
    <w:p>
      <w:pPr>
        <w:spacing w:after="20"/>
      </w:pPr>
    </w:p>
    <w:p>
      <w:pPr>
        <w:pStyle w:val="Heading2"/>
      </w:pPr>
      <w:r>
        <w:t>Regional error check</w:t>
      </w:r>
    </w:p>
    <w:tbl>
      <w:tblPr>
        <w:tblW w:type="auto" w:w="0"/>
        <w:jc w:val="center"/>
        <w:tblLayout w:type="fixed"/>
        <w:tblLook w:firstColumn="1" w:firstRow="1" w:lastColumn="0" w:lastRow="0" w:noHBand="0" w:noVBand="1" w:val="04A0"/>
      </w:tblPr>
      <w:tblGrid>
        <w:gridCol w:w="3024"/>
        <w:gridCol w:w="2376"/>
        <w:gridCol w:w="2376"/>
      </w:tblGrid>
      <w:tr>
        <w:trPr>
          <w:tblHeader w:val="true"/>
          <w:cantSplit/>
        </w:trPr>
        <w:tc>
          <w:tcPr>
            <w:tcW w:type="dxa" w:w="3024"/>
            <w:vAlign w:val="center"/>
            <w:shd w:fill="17365D"/>
            <w:tcMar>
              <w:top w:w="90" w:type="dxa"/>
              <w:start w:w="110" w:type="dxa"/>
              <w:bottom w:w="90" w:type="dxa"/>
              <w:end w:w="110" w:type="dxa"/>
            </w:tcMar>
            <w:tcBorders>
              <w:bottom w:val="single" w:sz="8" w:color="17365D"/>
            </w:tcBorders>
          </w:tcPr>
          <w:p>
            <w:pPr>
              <w:spacing w:after="0" w:line="240" w:lineRule="auto"/>
            </w:pPr>
            <w:r>
              <w:rPr>
                <w:rFonts w:ascii="Arial" w:hAnsi="Arial" w:eastAsia="Arial"/>
                <w:b/>
                <w:i w:val="0"/>
                <w:color w:val="FFFFFF"/>
                <w:sz w:val="16"/>
              </w:rPr>
              <w:t>Origin region</w:t>
            </w:r>
          </w:p>
        </w:tc>
        <w:tc>
          <w:tcPr>
            <w:tcW w:type="dxa" w:w="2376"/>
            <w:vAlign w:val="center"/>
            <w:shd w:fill="17365D"/>
            <w:tcMar>
              <w:top w:w="90" w:type="dxa"/>
              <w:start w:w="110" w:type="dxa"/>
              <w:bottom w:w="90" w:type="dxa"/>
              <w:end w:w="110" w:type="dxa"/>
            </w:tcMar>
            <w:tcBorders>
              <w:bottom w:val="single" w:sz="8" w:color="17365D"/>
            </w:tcBorders>
          </w:tcPr>
          <w:p>
            <w:pPr>
              <w:spacing w:after="0" w:line="240" w:lineRule="auto"/>
            </w:pPr>
            <w:r>
              <w:rPr>
                <w:rFonts w:ascii="Arial" w:hAnsi="Arial" w:eastAsia="Arial"/>
                <w:b/>
                <w:i w:val="0"/>
                <w:color w:val="FFFFFF"/>
                <w:sz w:val="16"/>
              </w:rPr>
              <w:t>Holdout shipments</w:t>
            </w:r>
          </w:p>
        </w:tc>
        <w:tc>
          <w:tcPr>
            <w:tcW w:type="dxa" w:w="2376"/>
            <w:vAlign w:val="center"/>
            <w:shd w:fill="17365D"/>
            <w:tcMar>
              <w:top w:w="90" w:type="dxa"/>
              <w:start w:w="110" w:type="dxa"/>
              <w:bottom w:w="90" w:type="dxa"/>
              <w:end w:w="110" w:type="dxa"/>
            </w:tcMar>
            <w:tcBorders>
              <w:bottom w:val="single" w:sz="8" w:color="17365D"/>
            </w:tcBorders>
          </w:tcPr>
          <w:p>
            <w:pPr>
              <w:spacing w:after="0" w:line="240" w:lineRule="auto"/>
            </w:pPr>
            <w:r>
              <w:rPr>
                <w:rFonts w:ascii="Arial" w:hAnsi="Arial" w:eastAsia="Arial"/>
                <w:b/>
                <w:i w:val="0"/>
                <w:color w:val="FFFFFF"/>
                <w:sz w:val="16"/>
              </w:rPr>
              <w:t>MAE (hours)</w:t>
            </w:r>
          </w:p>
        </w:tc>
      </w:tr>
      <w:tr>
        <w:trPr>
          <w:cantSplit/>
        </w:trPr>
        <w:tc>
          <w:tcPr>
            <w:tcW w:type="dxa" w:w="3024"/>
            <w:vAlign w:val="center"/>
            <w:tcMar>
              <w:top w:w="72" w:type="dxa"/>
              <w:start w:w="95" w:type="dxa"/>
              <w:bottom w:w="72" w:type="dxa"/>
              <w:end w:w="95" w:type="dxa"/>
            </w:tcMar>
            <w:tcBorders>
              <w:bottom w:val="single" w:sz="3" w:color="D9E1F2"/>
            </w:tcBorders>
          </w:tcPr>
          <w:p>
            <w:pPr>
              <w:spacing w:after="0" w:line="245" w:lineRule="auto"/>
            </w:pPr>
            <w:r>
              <w:rPr>
                <w:rFonts w:ascii="Arial" w:hAnsi="Arial" w:eastAsia="Arial"/>
                <w:b w:val="0"/>
                <w:i w:val="0"/>
                <w:color w:val="202A35"/>
                <w:sz w:val="16"/>
              </w:rPr>
              <w:t>Central</w:t>
            </w:r>
          </w:p>
        </w:tc>
        <w:tc>
          <w:tcPr>
            <w:tcW w:type="dxa" w:w="2376"/>
            <w:vAlign w:val="center"/>
            <w:tcMar>
              <w:top w:w="72" w:type="dxa"/>
              <w:start w:w="95" w:type="dxa"/>
              <w:bottom w:w="72" w:type="dxa"/>
              <w:end w:w="95" w:type="dxa"/>
            </w:tcMar>
            <w:tcBorders>
              <w:bottom w:val="single" w:sz="3" w:color="D9E1F2"/>
            </w:tcBorders>
          </w:tcPr>
          <w:p>
            <w:pPr>
              <w:spacing w:after="0" w:line="245" w:lineRule="auto"/>
            </w:pPr>
            <w:r>
              <w:rPr>
                <w:rFonts w:ascii="Arial" w:hAnsi="Arial" w:eastAsia="Arial"/>
                <w:b w:val="0"/>
                <w:i w:val="0"/>
                <w:color w:val="202A35"/>
                <w:sz w:val="16"/>
              </w:rPr>
              <w:t>43</w:t>
            </w:r>
          </w:p>
        </w:tc>
        <w:tc>
          <w:tcPr>
            <w:tcW w:type="dxa" w:w="2376"/>
            <w:vAlign w:val="center"/>
            <w:tcMar>
              <w:top w:w="72" w:type="dxa"/>
              <w:start w:w="95" w:type="dxa"/>
              <w:bottom w:w="72" w:type="dxa"/>
              <w:end w:w="95" w:type="dxa"/>
            </w:tcMar>
            <w:tcBorders>
              <w:bottom w:val="single" w:sz="3" w:color="D9E1F2"/>
            </w:tcBorders>
          </w:tcPr>
          <w:p>
            <w:pPr>
              <w:spacing w:after="0" w:line="245" w:lineRule="auto"/>
            </w:pPr>
            <w:r>
              <w:rPr>
                <w:rFonts w:ascii="Arial" w:hAnsi="Arial" w:eastAsia="Arial"/>
                <w:b w:val="0"/>
                <w:i w:val="0"/>
                <w:color w:val="202A35"/>
                <w:sz w:val="16"/>
              </w:rPr>
              <w:t>0.564</w:t>
            </w:r>
          </w:p>
        </w:tc>
      </w:tr>
      <w:tr>
        <w:trPr>
          <w:cantSplit/>
        </w:trPr>
        <w:tc>
          <w:tcPr>
            <w:tcW w:type="dxa" w:w="3024"/>
            <w:vAlign w:val="center"/>
            <w:tcMar>
              <w:top w:w="72" w:type="dxa"/>
              <w:start w:w="95" w:type="dxa"/>
              <w:bottom w:w="72" w:type="dxa"/>
              <w:end w:w="95" w:type="dxa"/>
            </w:tcMar>
            <w:shd w:fill="F4F6F8"/>
            <w:tcBorders>
              <w:bottom w:val="single" w:sz="3" w:color="D9E1F2"/>
            </w:tcBorders>
          </w:tcPr>
          <w:p>
            <w:pPr>
              <w:spacing w:after="0" w:line="245" w:lineRule="auto"/>
            </w:pPr>
            <w:r>
              <w:rPr>
                <w:rFonts w:ascii="Arial" w:hAnsi="Arial" w:eastAsia="Arial"/>
                <w:b w:val="0"/>
                <w:i w:val="0"/>
                <w:color w:val="202A35"/>
                <w:sz w:val="16"/>
              </w:rPr>
              <w:t>East</w:t>
            </w:r>
          </w:p>
        </w:tc>
        <w:tc>
          <w:tcPr>
            <w:tcW w:type="dxa" w:w="2376"/>
            <w:vAlign w:val="center"/>
            <w:tcMar>
              <w:top w:w="72" w:type="dxa"/>
              <w:start w:w="95" w:type="dxa"/>
              <w:bottom w:w="72" w:type="dxa"/>
              <w:end w:w="95" w:type="dxa"/>
            </w:tcMar>
            <w:shd w:fill="F4F6F8"/>
            <w:tcBorders>
              <w:bottom w:val="single" w:sz="3" w:color="D9E1F2"/>
            </w:tcBorders>
          </w:tcPr>
          <w:p>
            <w:pPr>
              <w:spacing w:after="0" w:line="245" w:lineRule="auto"/>
            </w:pPr>
            <w:r>
              <w:rPr>
                <w:rFonts w:ascii="Arial" w:hAnsi="Arial" w:eastAsia="Arial"/>
                <w:b w:val="0"/>
                <w:i w:val="0"/>
                <w:color w:val="202A35"/>
                <w:sz w:val="16"/>
              </w:rPr>
              <w:t>40</w:t>
            </w:r>
          </w:p>
        </w:tc>
        <w:tc>
          <w:tcPr>
            <w:tcW w:type="dxa" w:w="2376"/>
            <w:vAlign w:val="center"/>
            <w:tcMar>
              <w:top w:w="72" w:type="dxa"/>
              <w:start w:w="95" w:type="dxa"/>
              <w:bottom w:w="72" w:type="dxa"/>
              <w:end w:w="95" w:type="dxa"/>
            </w:tcMar>
            <w:shd w:fill="F4F6F8"/>
            <w:tcBorders>
              <w:bottom w:val="single" w:sz="3" w:color="D9E1F2"/>
            </w:tcBorders>
          </w:tcPr>
          <w:p>
            <w:pPr>
              <w:spacing w:after="0" w:line="245" w:lineRule="auto"/>
            </w:pPr>
            <w:r>
              <w:rPr>
                <w:rFonts w:ascii="Arial" w:hAnsi="Arial" w:eastAsia="Arial"/>
                <w:b w:val="0"/>
                <w:i w:val="0"/>
                <w:color w:val="202A35"/>
                <w:sz w:val="16"/>
              </w:rPr>
              <w:t>0.888</w:t>
            </w:r>
          </w:p>
        </w:tc>
      </w:tr>
      <w:tr>
        <w:trPr>
          <w:cantSplit/>
        </w:trPr>
        <w:tc>
          <w:tcPr>
            <w:tcW w:type="dxa" w:w="3024"/>
            <w:vAlign w:val="center"/>
            <w:tcMar>
              <w:top w:w="72" w:type="dxa"/>
              <w:start w:w="95" w:type="dxa"/>
              <w:bottom w:w="72" w:type="dxa"/>
              <w:end w:w="95" w:type="dxa"/>
            </w:tcMar>
            <w:tcBorders>
              <w:bottom w:val="single" w:sz="3" w:color="D9E1F2"/>
            </w:tcBorders>
          </w:tcPr>
          <w:p>
            <w:pPr>
              <w:spacing w:after="0" w:line="245" w:lineRule="auto"/>
            </w:pPr>
            <w:r>
              <w:rPr>
                <w:rFonts w:ascii="Arial" w:hAnsi="Arial" w:eastAsia="Arial"/>
                <w:b w:val="0"/>
                <w:i w:val="0"/>
                <w:color w:val="202A35"/>
                <w:sz w:val="16"/>
              </w:rPr>
              <w:t>North</w:t>
            </w:r>
          </w:p>
        </w:tc>
        <w:tc>
          <w:tcPr>
            <w:tcW w:type="dxa" w:w="2376"/>
            <w:vAlign w:val="center"/>
            <w:tcMar>
              <w:top w:w="72" w:type="dxa"/>
              <w:start w:w="95" w:type="dxa"/>
              <w:bottom w:w="72" w:type="dxa"/>
              <w:end w:w="95" w:type="dxa"/>
            </w:tcMar>
            <w:tcBorders>
              <w:bottom w:val="single" w:sz="3" w:color="D9E1F2"/>
            </w:tcBorders>
          </w:tcPr>
          <w:p>
            <w:pPr>
              <w:spacing w:after="0" w:line="245" w:lineRule="auto"/>
            </w:pPr>
            <w:r>
              <w:rPr>
                <w:rFonts w:ascii="Arial" w:hAnsi="Arial" w:eastAsia="Arial"/>
                <w:b w:val="0"/>
                <w:i w:val="0"/>
                <w:color w:val="202A35"/>
                <w:sz w:val="16"/>
              </w:rPr>
              <w:t>54</w:t>
            </w:r>
          </w:p>
        </w:tc>
        <w:tc>
          <w:tcPr>
            <w:tcW w:type="dxa" w:w="2376"/>
            <w:vAlign w:val="center"/>
            <w:tcMar>
              <w:top w:w="72" w:type="dxa"/>
              <w:start w:w="95" w:type="dxa"/>
              <w:bottom w:w="72" w:type="dxa"/>
              <w:end w:w="95" w:type="dxa"/>
            </w:tcMar>
            <w:tcBorders>
              <w:bottom w:val="single" w:sz="3" w:color="D9E1F2"/>
            </w:tcBorders>
          </w:tcPr>
          <w:p>
            <w:pPr>
              <w:spacing w:after="0" w:line="245" w:lineRule="auto"/>
            </w:pPr>
            <w:r>
              <w:rPr>
                <w:rFonts w:ascii="Arial" w:hAnsi="Arial" w:eastAsia="Arial"/>
                <w:b w:val="0"/>
                <w:i w:val="0"/>
                <w:color w:val="202A35"/>
                <w:sz w:val="16"/>
              </w:rPr>
              <w:t>1.068</w:t>
            </w:r>
          </w:p>
        </w:tc>
      </w:tr>
      <w:tr>
        <w:trPr>
          <w:cantSplit/>
        </w:trPr>
        <w:tc>
          <w:tcPr>
            <w:tcW w:type="dxa" w:w="3024"/>
            <w:vAlign w:val="center"/>
            <w:tcMar>
              <w:top w:w="72" w:type="dxa"/>
              <w:start w:w="95" w:type="dxa"/>
              <w:bottom w:w="72" w:type="dxa"/>
              <w:end w:w="95" w:type="dxa"/>
            </w:tcMar>
            <w:shd w:fill="F4F6F8"/>
            <w:tcBorders>
              <w:bottom w:val="single" w:sz="3" w:color="D9E1F2"/>
            </w:tcBorders>
          </w:tcPr>
          <w:p>
            <w:pPr>
              <w:spacing w:after="0" w:line="245" w:lineRule="auto"/>
            </w:pPr>
            <w:r>
              <w:rPr>
                <w:rFonts w:ascii="Arial" w:hAnsi="Arial" w:eastAsia="Arial"/>
                <w:b w:val="0"/>
                <w:i w:val="0"/>
                <w:color w:val="202A35"/>
                <w:sz w:val="16"/>
              </w:rPr>
              <w:t>South</w:t>
            </w:r>
          </w:p>
        </w:tc>
        <w:tc>
          <w:tcPr>
            <w:tcW w:type="dxa" w:w="2376"/>
            <w:vAlign w:val="center"/>
            <w:tcMar>
              <w:top w:w="72" w:type="dxa"/>
              <w:start w:w="95" w:type="dxa"/>
              <w:bottom w:w="72" w:type="dxa"/>
              <w:end w:w="95" w:type="dxa"/>
            </w:tcMar>
            <w:shd w:fill="F4F6F8"/>
            <w:tcBorders>
              <w:bottom w:val="single" w:sz="3" w:color="D9E1F2"/>
            </w:tcBorders>
          </w:tcPr>
          <w:p>
            <w:pPr>
              <w:spacing w:after="0" w:line="245" w:lineRule="auto"/>
            </w:pPr>
            <w:r>
              <w:rPr>
                <w:rFonts w:ascii="Arial" w:hAnsi="Arial" w:eastAsia="Arial"/>
                <w:b w:val="0"/>
                <w:i w:val="0"/>
                <w:color w:val="202A35"/>
                <w:sz w:val="16"/>
              </w:rPr>
              <w:t>51</w:t>
            </w:r>
          </w:p>
        </w:tc>
        <w:tc>
          <w:tcPr>
            <w:tcW w:type="dxa" w:w="2376"/>
            <w:vAlign w:val="center"/>
            <w:tcMar>
              <w:top w:w="72" w:type="dxa"/>
              <w:start w:w="95" w:type="dxa"/>
              <w:bottom w:w="72" w:type="dxa"/>
              <w:end w:w="95" w:type="dxa"/>
            </w:tcMar>
            <w:shd w:fill="F4F6F8"/>
            <w:tcBorders>
              <w:bottom w:val="single" w:sz="3" w:color="D9E1F2"/>
            </w:tcBorders>
          </w:tcPr>
          <w:p>
            <w:pPr>
              <w:spacing w:after="0" w:line="245" w:lineRule="auto"/>
            </w:pPr>
            <w:r>
              <w:rPr>
                <w:rFonts w:ascii="Arial" w:hAnsi="Arial" w:eastAsia="Arial"/>
                <w:b w:val="0"/>
                <w:i w:val="0"/>
                <w:color w:val="202A35"/>
                <w:sz w:val="16"/>
              </w:rPr>
              <w:t>0.807</w:t>
            </w:r>
          </w:p>
        </w:tc>
      </w:tr>
      <w:tr>
        <w:trPr>
          <w:cantSplit/>
        </w:trPr>
        <w:tc>
          <w:tcPr>
            <w:tcW w:type="dxa" w:w="3024"/>
            <w:vAlign w:val="center"/>
            <w:tcMar>
              <w:top w:w="72" w:type="dxa"/>
              <w:start w:w="95" w:type="dxa"/>
              <w:bottom w:w="72" w:type="dxa"/>
              <w:end w:w="95" w:type="dxa"/>
            </w:tcMar>
            <w:tcBorders>
              <w:bottom w:val="single" w:sz="3" w:color="D9E1F2"/>
            </w:tcBorders>
          </w:tcPr>
          <w:p>
            <w:pPr>
              <w:spacing w:after="0" w:line="245" w:lineRule="auto"/>
            </w:pPr>
            <w:r>
              <w:rPr>
                <w:rFonts w:ascii="Arial" w:hAnsi="Arial" w:eastAsia="Arial"/>
                <w:b w:val="0"/>
                <w:i w:val="0"/>
                <w:color w:val="202A35"/>
                <w:sz w:val="16"/>
              </w:rPr>
              <w:t>West</w:t>
            </w:r>
          </w:p>
        </w:tc>
        <w:tc>
          <w:tcPr>
            <w:tcW w:type="dxa" w:w="2376"/>
            <w:vAlign w:val="center"/>
            <w:tcMar>
              <w:top w:w="72" w:type="dxa"/>
              <w:start w:w="95" w:type="dxa"/>
              <w:bottom w:w="72" w:type="dxa"/>
              <w:end w:w="95" w:type="dxa"/>
            </w:tcMar>
            <w:tcBorders>
              <w:bottom w:val="single" w:sz="3" w:color="D9E1F2"/>
            </w:tcBorders>
          </w:tcPr>
          <w:p>
            <w:pPr>
              <w:spacing w:after="0" w:line="245" w:lineRule="auto"/>
            </w:pPr>
            <w:r>
              <w:rPr>
                <w:rFonts w:ascii="Arial" w:hAnsi="Arial" w:eastAsia="Arial"/>
                <w:b w:val="0"/>
                <w:i w:val="0"/>
                <w:color w:val="202A35"/>
                <w:sz w:val="16"/>
              </w:rPr>
              <w:t>52</w:t>
            </w:r>
          </w:p>
        </w:tc>
        <w:tc>
          <w:tcPr>
            <w:tcW w:type="dxa" w:w="2376"/>
            <w:vAlign w:val="center"/>
            <w:tcMar>
              <w:top w:w="72" w:type="dxa"/>
              <w:start w:w="95" w:type="dxa"/>
              <w:bottom w:w="72" w:type="dxa"/>
              <w:end w:w="95" w:type="dxa"/>
            </w:tcMar>
            <w:tcBorders>
              <w:bottom w:val="single" w:sz="3" w:color="D9E1F2"/>
            </w:tcBorders>
          </w:tcPr>
          <w:p>
            <w:pPr>
              <w:spacing w:after="0" w:line="245" w:lineRule="auto"/>
            </w:pPr>
            <w:r>
              <w:rPr>
                <w:rFonts w:ascii="Arial" w:hAnsi="Arial" w:eastAsia="Arial"/>
                <w:b w:val="0"/>
                <w:i w:val="0"/>
                <w:color w:val="202A35"/>
                <w:sz w:val="16"/>
              </w:rPr>
              <w:t>0.765</w:t>
            </w:r>
          </w:p>
        </w:tc>
      </w:tr>
    </w:tbl>
    <w:p>
      <w:pPr>
        <w:spacing w:after="20"/>
      </w:pPr>
    </w:p>
    <w:p>
      <w:pPr>
        <w:spacing w:before="40" w:after="40"/>
        <w:jc w:val="center"/>
      </w:pPr>
      <w:r>
        <w:drawing>
          <wp:inline xmlns:a="http://schemas.openxmlformats.org/drawingml/2006/main" xmlns:pic="http://schemas.openxmlformats.org/drawingml/2006/picture">
            <wp:extent cx="5394960" cy="3509253"/>
            <wp:docPr id="4" name="Picture 4"/>
            <wp:cNvGraphicFramePr>
              <a:graphicFrameLocks noChangeAspect="1"/>
            </wp:cNvGraphicFramePr>
            <a:graphic>
              <a:graphicData uri="http://schemas.openxmlformats.org/drawingml/2006/picture">
                <pic:pic>
                  <pic:nvPicPr>
                    <pic:cNvPr id="0" name="week4_test_error_by_region.png"/>
                    <pic:cNvPicPr/>
                  </pic:nvPicPr>
                  <pic:blipFill>
                    <a:blip r:embed="rId14"/>
                    <a:stretch>
                      <a:fillRect/>
                    </a:stretch>
                  </pic:blipFill>
                  <pic:spPr>
                    <a:xfrm>
                      <a:off x="0" y="0"/>
                      <a:ext cx="5394960" cy="3509253"/>
                    </a:xfrm>
                    <a:prstGeom prst="rect"/>
                  </pic:spPr>
                </pic:pic>
              </a:graphicData>
            </a:graphic>
          </wp:inline>
        </w:drawing>
      </w:r>
    </w:p>
    <w:p>
      <w:pPr>
        <w:spacing w:after="140"/>
        <w:jc w:val="center"/>
      </w:pPr>
      <w:r>
        <w:rPr>
          <w:rFonts w:ascii="Arial" w:hAnsi="Arial" w:eastAsia="Arial"/>
          <w:b w:val="0"/>
          <w:i/>
          <w:color w:val="5B6573"/>
          <w:sz w:val="16"/>
        </w:rPr>
        <w:t>Figure 4. Holdout MAE by origin region. Segment counts are modest; differences are descriptive only.</w:t>
      </w:r>
    </w:p>
    <w:p>
      <w:pPr>
        <w:spacing w:after="110" w:line="269" w:lineRule="auto"/>
      </w:pPr>
      <w:r>
        <w:rPr>
          <w:rFonts w:ascii="Arial" w:hAnsi="Arial" w:eastAsia="Arial"/>
          <w:b w:val="0"/>
          <w:i w:val="0"/>
          <w:color w:val="202A35"/>
          <w:sz w:val="18"/>
        </w:rPr>
        <w:t>The highest segment MAE in this particular test sample is for North (about 1.068 hours) while Central is lowest (about 0.564 hours). This is a prompt for additional validation, not a ranking of real regional operations.</w:t>
      </w:r>
    </w:p>
    <w:p>
      <w:pPr>
        <w:pStyle w:val="Heading1"/>
        <w:pageBreakBefore/>
      </w:pPr>
      <w:r>
        <w:t>7. Feature Diagnostics and SLA Triage</w:t>
      </w:r>
    </w:p>
    <w:tbl>
      <w:tblPr>
        <w:tblW w:type="auto" w:w="0"/>
        <w:jc w:val="center"/>
        <w:tblLayout w:type="fixed"/>
        <w:tblLook w:firstColumn="1" w:firstRow="1" w:lastColumn="0" w:lastRow="0" w:noHBand="0" w:noVBand="1" w:val="04A0"/>
      </w:tblPr>
      <w:tblGrid>
        <w:gridCol w:w="4608"/>
        <w:gridCol w:w="1728"/>
        <w:gridCol w:w="1440"/>
      </w:tblGrid>
      <w:tr>
        <w:trPr>
          <w:tblHeader w:val="true"/>
          <w:cantSplit/>
        </w:trPr>
        <w:tc>
          <w:tcPr>
            <w:tcW w:type="dxa" w:w="4608"/>
            <w:vAlign w:val="center"/>
            <w:shd w:fill="17365D"/>
            <w:tcMar>
              <w:top w:w="90" w:type="dxa"/>
              <w:start w:w="110" w:type="dxa"/>
              <w:bottom w:w="90" w:type="dxa"/>
              <w:end w:w="110" w:type="dxa"/>
            </w:tcMar>
            <w:tcBorders>
              <w:bottom w:val="single" w:sz="8" w:color="17365D"/>
            </w:tcBorders>
          </w:tcPr>
          <w:p>
            <w:pPr>
              <w:spacing w:after="0" w:line="240" w:lineRule="auto"/>
            </w:pPr>
            <w:r>
              <w:rPr>
                <w:rFonts w:ascii="Arial" w:hAnsi="Arial" w:eastAsia="Arial"/>
                <w:b/>
                <w:i w:val="0"/>
                <w:color w:val="FFFFFF"/>
                <w:sz w:val="16"/>
              </w:rPr>
              <w:t>Random Forest feature</w:t>
            </w:r>
          </w:p>
        </w:tc>
        <w:tc>
          <w:tcPr>
            <w:tcW w:type="dxa" w:w="1728"/>
            <w:vAlign w:val="center"/>
            <w:shd w:fill="17365D"/>
            <w:tcMar>
              <w:top w:w="90" w:type="dxa"/>
              <w:start w:w="110" w:type="dxa"/>
              <w:bottom w:w="90" w:type="dxa"/>
              <w:end w:w="110" w:type="dxa"/>
            </w:tcMar>
            <w:tcBorders>
              <w:bottom w:val="single" w:sz="8" w:color="17365D"/>
            </w:tcBorders>
          </w:tcPr>
          <w:p>
            <w:pPr>
              <w:spacing w:after="0" w:line="240" w:lineRule="auto"/>
            </w:pPr>
            <w:r>
              <w:rPr>
                <w:rFonts w:ascii="Arial" w:hAnsi="Arial" w:eastAsia="Arial"/>
                <w:b/>
                <w:i w:val="0"/>
                <w:color w:val="FFFFFF"/>
                <w:sz w:val="16"/>
              </w:rPr>
              <w:t>Importance</w:t>
            </w:r>
          </w:p>
        </w:tc>
        <w:tc>
          <w:tcPr>
            <w:tcW w:type="dxa" w:w="1440"/>
            <w:vAlign w:val="center"/>
            <w:shd w:fill="17365D"/>
            <w:tcMar>
              <w:top w:w="90" w:type="dxa"/>
              <w:start w:w="110" w:type="dxa"/>
              <w:bottom w:w="90" w:type="dxa"/>
              <w:end w:w="110" w:type="dxa"/>
            </w:tcMar>
            <w:tcBorders>
              <w:bottom w:val="single" w:sz="8" w:color="17365D"/>
            </w:tcBorders>
          </w:tcPr>
          <w:p>
            <w:pPr>
              <w:spacing w:after="0" w:line="240" w:lineRule="auto"/>
            </w:pPr>
            <w:r>
              <w:rPr>
                <w:rFonts w:ascii="Arial" w:hAnsi="Arial" w:eastAsia="Arial"/>
                <w:b/>
                <w:i w:val="0"/>
                <w:color w:val="FFFFFF"/>
                <w:sz w:val="16"/>
              </w:rPr>
              <w:t>Share</w:t>
            </w:r>
          </w:p>
        </w:tc>
      </w:tr>
      <w:tr>
        <w:trPr>
          <w:cantSplit/>
        </w:trPr>
        <w:tc>
          <w:tcPr>
            <w:tcW w:type="dxa" w:w="4608"/>
            <w:vAlign w:val="center"/>
            <w:tcMar>
              <w:top w:w="72" w:type="dxa"/>
              <w:start w:w="95" w:type="dxa"/>
              <w:bottom w:w="72" w:type="dxa"/>
              <w:end w:w="95" w:type="dxa"/>
            </w:tcMar>
            <w:tcBorders>
              <w:bottom w:val="single" w:sz="3" w:color="D9E1F2"/>
            </w:tcBorders>
          </w:tcPr>
          <w:p>
            <w:pPr>
              <w:spacing w:after="0" w:line="245" w:lineRule="auto"/>
            </w:pPr>
            <w:r>
              <w:rPr>
                <w:rFonts w:ascii="Arial" w:hAnsi="Arial" w:eastAsia="Arial"/>
                <w:b w:val="0"/>
                <w:i w:val="0"/>
                <w:color w:val="202A35"/>
                <w:sz w:val="16"/>
              </w:rPr>
              <w:t>distance_km</w:t>
            </w:r>
          </w:p>
        </w:tc>
        <w:tc>
          <w:tcPr>
            <w:tcW w:type="dxa" w:w="1728"/>
            <w:vAlign w:val="center"/>
            <w:tcMar>
              <w:top w:w="72" w:type="dxa"/>
              <w:start w:w="95" w:type="dxa"/>
              <w:bottom w:w="72" w:type="dxa"/>
              <w:end w:w="95" w:type="dxa"/>
            </w:tcMar>
            <w:tcBorders>
              <w:bottom w:val="single" w:sz="3" w:color="D9E1F2"/>
            </w:tcBorders>
          </w:tcPr>
          <w:p>
            <w:pPr>
              <w:spacing w:after="0" w:line="245" w:lineRule="auto"/>
            </w:pPr>
            <w:r>
              <w:rPr>
                <w:rFonts w:ascii="Arial" w:hAnsi="Arial" w:eastAsia="Arial"/>
                <w:b w:val="0"/>
                <w:i w:val="0"/>
                <w:color w:val="202A35"/>
                <w:sz w:val="16"/>
              </w:rPr>
              <w:t>0.9334</w:t>
            </w:r>
          </w:p>
        </w:tc>
        <w:tc>
          <w:tcPr>
            <w:tcW w:type="dxa" w:w="1440"/>
            <w:vAlign w:val="center"/>
            <w:tcMar>
              <w:top w:w="72" w:type="dxa"/>
              <w:start w:w="95" w:type="dxa"/>
              <w:bottom w:w="72" w:type="dxa"/>
              <w:end w:w="95" w:type="dxa"/>
            </w:tcMar>
            <w:tcBorders>
              <w:bottom w:val="single" w:sz="3" w:color="D9E1F2"/>
            </w:tcBorders>
          </w:tcPr>
          <w:p>
            <w:pPr>
              <w:spacing w:after="0" w:line="245" w:lineRule="auto"/>
            </w:pPr>
            <w:r>
              <w:rPr>
                <w:rFonts w:ascii="Arial" w:hAnsi="Arial" w:eastAsia="Arial"/>
                <w:b w:val="0"/>
                <w:i w:val="0"/>
                <w:color w:val="202A35"/>
                <w:sz w:val="16"/>
              </w:rPr>
              <w:t>93.3%</w:t>
            </w:r>
          </w:p>
        </w:tc>
      </w:tr>
      <w:tr>
        <w:trPr>
          <w:cantSplit/>
        </w:trPr>
        <w:tc>
          <w:tcPr>
            <w:tcW w:type="dxa" w:w="4608"/>
            <w:vAlign w:val="center"/>
            <w:tcMar>
              <w:top w:w="72" w:type="dxa"/>
              <w:start w:w="95" w:type="dxa"/>
              <w:bottom w:w="72" w:type="dxa"/>
              <w:end w:w="95" w:type="dxa"/>
            </w:tcMar>
            <w:shd w:fill="F4F6F8"/>
            <w:tcBorders>
              <w:bottom w:val="single" w:sz="3" w:color="D9E1F2"/>
            </w:tcBorders>
          </w:tcPr>
          <w:p>
            <w:pPr>
              <w:spacing w:after="0" w:line="245" w:lineRule="auto"/>
            </w:pPr>
            <w:r>
              <w:rPr>
                <w:rFonts w:ascii="Arial" w:hAnsi="Arial" w:eastAsia="Arial"/>
                <w:b w:val="0"/>
                <w:i w:val="0"/>
                <w:color w:val="202A35"/>
                <w:sz w:val="16"/>
              </w:rPr>
              <w:t>weather_severity</w:t>
            </w:r>
          </w:p>
        </w:tc>
        <w:tc>
          <w:tcPr>
            <w:tcW w:type="dxa" w:w="1728"/>
            <w:vAlign w:val="center"/>
            <w:tcMar>
              <w:top w:w="72" w:type="dxa"/>
              <w:start w:w="95" w:type="dxa"/>
              <w:bottom w:w="72" w:type="dxa"/>
              <w:end w:w="95" w:type="dxa"/>
            </w:tcMar>
            <w:shd w:fill="F4F6F8"/>
            <w:tcBorders>
              <w:bottom w:val="single" w:sz="3" w:color="D9E1F2"/>
            </w:tcBorders>
          </w:tcPr>
          <w:p>
            <w:pPr>
              <w:spacing w:after="0" w:line="245" w:lineRule="auto"/>
            </w:pPr>
            <w:r>
              <w:rPr>
                <w:rFonts w:ascii="Arial" w:hAnsi="Arial" w:eastAsia="Arial"/>
                <w:b w:val="0"/>
                <w:i w:val="0"/>
                <w:color w:val="202A35"/>
                <w:sz w:val="16"/>
              </w:rPr>
              <w:t>0.0179</w:t>
            </w:r>
          </w:p>
        </w:tc>
        <w:tc>
          <w:tcPr>
            <w:tcW w:type="dxa" w:w="1440"/>
            <w:vAlign w:val="center"/>
            <w:tcMar>
              <w:top w:w="72" w:type="dxa"/>
              <w:start w:w="95" w:type="dxa"/>
              <w:bottom w:w="72" w:type="dxa"/>
              <w:end w:w="95" w:type="dxa"/>
            </w:tcMar>
            <w:shd w:fill="F4F6F8"/>
            <w:tcBorders>
              <w:bottom w:val="single" w:sz="3" w:color="D9E1F2"/>
            </w:tcBorders>
          </w:tcPr>
          <w:p>
            <w:pPr>
              <w:spacing w:after="0" w:line="245" w:lineRule="auto"/>
            </w:pPr>
            <w:r>
              <w:rPr>
                <w:rFonts w:ascii="Arial" w:hAnsi="Arial" w:eastAsia="Arial"/>
                <w:b w:val="0"/>
                <w:i w:val="0"/>
                <w:color w:val="202A35"/>
                <w:sz w:val="16"/>
              </w:rPr>
              <w:t>1.8%</w:t>
            </w:r>
          </w:p>
        </w:tc>
      </w:tr>
      <w:tr>
        <w:trPr>
          <w:cantSplit/>
        </w:trPr>
        <w:tc>
          <w:tcPr>
            <w:tcW w:type="dxa" w:w="4608"/>
            <w:vAlign w:val="center"/>
            <w:tcMar>
              <w:top w:w="72" w:type="dxa"/>
              <w:start w:w="95" w:type="dxa"/>
              <w:bottom w:w="72" w:type="dxa"/>
              <w:end w:w="95" w:type="dxa"/>
            </w:tcMar>
            <w:tcBorders>
              <w:bottom w:val="single" w:sz="3" w:color="D9E1F2"/>
            </w:tcBorders>
          </w:tcPr>
          <w:p>
            <w:pPr>
              <w:spacing w:after="0" w:line="245" w:lineRule="auto"/>
            </w:pPr>
            <w:r>
              <w:rPr>
                <w:rFonts w:ascii="Arial" w:hAnsi="Arial" w:eastAsia="Arial"/>
                <w:b w:val="0"/>
                <w:i w:val="0"/>
                <w:color w:val="202A35"/>
                <w:sz w:val="16"/>
              </w:rPr>
              <w:t>weight_kg</w:t>
            </w:r>
          </w:p>
        </w:tc>
        <w:tc>
          <w:tcPr>
            <w:tcW w:type="dxa" w:w="1728"/>
            <w:vAlign w:val="center"/>
            <w:tcMar>
              <w:top w:w="72" w:type="dxa"/>
              <w:start w:w="95" w:type="dxa"/>
              <w:bottom w:w="72" w:type="dxa"/>
              <w:end w:w="95" w:type="dxa"/>
            </w:tcMar>
            <w:tcBorders>
              <w:bottom w:val="single" w:sz="3" w:color="D9E1F2"/>
            </w:tcBorders>
          </w:tcPr>
          <w:p>
            <w:pPr>
              <w:spacing w:after="0" w:line="245" w:lineRule="auto"/>
            </w:pPr>
            <w:r>
              <w:rPr>
                <w:rFonts w:ascii="Arial" w:hAnsi="Arial" w:eastAsia="Arial"/>
                <w:b w:val="0"/>
                <w:i w:val="0"/>
                <w:color w:val="202A35"/>
                <w:sz w:val="16"/>
              </w:rPr>
              <w:t>0.0086</w:t>
            </w:r>
          </w:p>
        </w:tc>
        <w:tc>
          <w:tcPr>
            <w:tcW w:type="dxa" w:w="1440"/>
            <w:vAlign w:val="center"/>
            <w:tcMar>
              <w:top w:w="72" w:type="dxa"/>
              <w:start w:w="95" w:type="dxa"/>
              <w:bottom w:w="72" w:type="dxa"/>
              <w:end w:w="95" w:type="dxa"/>
            </w:tcMar>
            <w:tcBorders>
              <w:bottom w:val="single" w:sz="3" w:color="D9E1F2"/>
            </w:tcBorders>
          </w:tcPr>
          <w:p>
            <w:pPr>
              <w:spacing w:after="0" w:line="245" w:lineRule="auto"/>
            </w:pPr>
            <w:r>
              <w:rPr>
                <w:rFonts w:ascii="Arial" w:hAnsi="Arial" w:eastAsia="Arial"/>
                <w:b w:val="0"/>
                <w:i w:val="0"/>
                <w:color w:val="202A35"/>
                <w:sz w:val="16"/>
              </w:rPr>
              <w:t>0.9%</w:t>
            </w:r>
          </w:p>
        </w:tc>
      </w:tr>
      <w:tr>
        <w:trPr>
          <w:cantSplit/>
        </w:trPr>
        <w:tc>
          <w:tcPr>
            <w:tcW w:type="dxa" w:w="4608"/>
            <w:vAlign w:val="center"/>
            <w:tcMar>
              <w:top w:w="72" w:type="dxa"/>
              <w:start w:w="95" w:type="dxa"/>
              <w:bottom w:w="72" w:type="dxa"/>
              <w:end w:w="95" w:type="dxa"/>
            </w:tcMar>
            <w:shd w:fill="F4F6F8"/>
            <w:tcBorders>
              <w:bottom w:val="single" w:sz="3" w:color="D9E1F2"/>
            </w:tcBorders>
          </w:tcPr>
          <w:p>
            <w:pPr>
              <w:spacing w:after="0" w:line="245" w:lineRule="auto"/>
            </w:pPr>
            <w:r>
              <w:rPr>
                <w:rFonts w:ascii="Arial" w:hAnsi="Arial" w:eastAsia="Arial"/>
                <w:b w:val="0"/>
                <w:i w:val="0"/>
                <w:color w:val="202A35"/>
                <w:sz w:val="16"/>
              </w:rPr>
              <w:t>warehouse_load_pct</w:t>
            </w:r>
          </w:p>
        </w:tc>
        <w:tc>
          <w:tcPr>
            <w:tcW w:type="dxa" w:w="1728"/>
            <w:vAlign w:val="center"/>
            <w:tcMar>
              <w:top w:w="72" w:type="dxa"/>
              <w:start w:w="95" w:type="dxa"/>
              <w:bottom w:w="72" w:type="dxa"/>
              <w:end w:w="95" w:type="dxa"/>
            </w:tcMar>
            <w:shd w:fill="F4F6F8"/>
            <w:tcBorders>
              <w:bottom w:val="single" w:sz="3" w:color="D9E1F2"/>
            </w:tcBorders>
          </w:tcPr>
          <w:p>
            <w:pPr>
              <w:spacing w:after="0" w:line="245" w:lineRule="auto"/>
            </w:pPr>
            <w:r>
              <w:rPr>
                <w:rFonts w:ascii="Arial" w:hAnsi="Arial" w:eastAsia="Arial"/>
                <w:b w:val="0"/>
                <w:i w:val="0"/>
                <w:color w:val="202A35"/>
                <w:sz w:val="16"/>
              </w:rPr>
              <w:t>0.0080</w:t>
            </w:r>
          </w:p>
        </w:tc>
        <w:tc>
          <w:tcPr>
            <w:tcW w:type="dxa" w:w="1440"/>
            <w:vAlign w:val="center"/>
            <w:tcMar>
              <w:top w:w="72" w:type="dxa"/>
              <w:start w:w="95" w:type="dxa"/>
              <w:bottom w:w="72" w:type="dxa"/>
              <w:end w:w="95" w:type="dxa"/>
            </w:tcMar>
            <w:shd w:fill="F4F6F8"/>
            <w:tcBorders>
              <w:bottom w:val="single" w:sz="3" w:color="D9E1F2"/>
            </w:tcBorders>
          </w:tcPr>
          <w:p>
            <w:pPr>
              <w:spacing w:after="0" w:line="245" w:lineRule="auto"/>
            </w:pPr>
            <w:r>
              <w:rPr>
                <w:rFonts w:ascii="Arial" w:hAnsi="Arial" w:eastAsia="Arial"/>
                <w:b w:val="0"/>
                <w:i w:val="0"/>
                <w:color w:val="202A35"/>
                <w:sz w:val="16"/>
              </w:rPr>
              <w:t>0.8%</w:t>
            </w:r>
          </w:p>
        </w:tc>
      </w:tr>
      <w:tr>
        <w:trPr>
          <w:cantSplit/>
        </w:trPr>
        <w:tc>
          <w:tcPr>
            <w:tcW w:type="dxa" w:w="4608"/>
            <w:vAlign w:val="center"/>
            <w:tcMar>
              <w:top w:w="72" w:type="dxa"/>
              <w:start w:w="95" w:type="dxa"/>
              <w:bottom w:w="72" w:type="dxa"/>
              <w:end w:w="95" w:type="dxa"/>
            </w:tcMar>
            <w:tcBorders>
              <w:bottom w:val="single" w:sz="3" w:color="D9E1F2"/>
            </w:tcBorders>
          </w:tcPr>
          <w:p>
            <w:pPr>
              <w:spacing w:after="0" w:line="245" w:lineRule="auto"/>
            </w:pPr>
            <w:r>
              <w:rPr>
                <w:rFonts w:ascii="Arial" w:hAnsi="Arial" w:eastAsia="Arial"/>
                <w:b w:val="0"/>
                <w:i w:val="0"/>
                <w:color w:val="202A35"/>
                <w:sz w:val="16"/>
              </w:rPr>
              <w:t>route_stops</w:t>
            </w:r>
          </w:p>
        </w:tc>
        <w:tc>
          <w:tcPr>
            <w:tcW w:type="dxa" w:w="1728"/>
            <w:vAlign w:val="center"/>
            <w:tcMar>
              <w:top w:w="72" w:type="dxa"/>
              <w:start w:w="95" w:type="dxa"/>
              <w:bottom w:w="72" w:type="dxa"/>
              <w:end w:w="95" w:type="dxa"/>
            </w:tcMar>
            <w:tcBorders>
              <w:bottom w:val="single" w:sz="3" w:color="D9E1F2"/>
            </w:tcBorders>
          </w:tcPr>
          <w:p>
            <w:pPr>
              <w:spacing w:after="0" w:line="245" w:lineRule="auto"/>
            </w:pPr>
            <w:r>
              <w:rPr>
                <w:rFonts w:ascii="Arial" w:hAnsi="Arial" w:eastAsia="Arial"/>
                <w:b w:val="0"/>
                <w:i w:val="0"/>
                <w:color w:val="202A35"/>
                <w:sz w:val="16"/>
              </w:rPr>
              <w:t>0.0077</w:t>
            </w:r>
          </w:p>
        </w:tc>
        <w:tc>
          <w:tcPr>
            <w:tcW w:type="dxa" w:w="1440"/>
            <w:vAlign w:val="center"/>
            <w:tcMar>
              <w:top w:w="72" w:type="dxa"/>
              <w:start w:w="95" w:type="dxa"/>
              <w:bottom w:w="72" w:type="dxa"/>
              <w:end w:w="95" w:type="dxa"/>
            </w:tcMar>
            <w:tcBorders>
              <w:bottom w:val="single" w:sz="3" w:color="D9E1F2"/>
            </w:tcBorders>
          </w:tcPr>
          <w:p>
            <w:pPr>
              <w:spacing w:after="0" w:line="245" w:lineRule="auto"/>
            </w:pPr>
            <w:r>
              <w:rPr>
                <w:rFonts w:ascii="Arial" w:hAnsi="Arial" w:eastAsia="Arial"/>
                <w:b w:val="0"/>
                <w:i w:val="0"/>
                <w:color w:val="202A35"/>
                <w:sz w:val="16"/>
              </w:rPr>
              <w:t>0.8%</w:t>
            </w:r>
          </w:p>
        </w:tc>
      </w:tr>
      <w:tr>
        <w:trPr>
          <w:cantSplit/>
        </w:trPr>
        <w:tc>
          <w:tcPr>
            <w:tcW w:type="dxa" w:w="4608"/>
            <w:vAlign w:val="center"/>
            <w:tcMar>
              <w:top w:w="72" w:type="dxa"/>
              <w:start w:w="95" w:type="dxa"/>
              <w:bottom w:w="72" w:type="dxa"/>
              <w:end w:w="95" w:type="dxa"/>
            </w:tcMar>
            <w:shd w:fill="F4F6F8"/>
            <w:tcBorders>
              <w:bottom w:val="single" w:sz="3" w:color="D9E1F2"/>
            </w:tcBorders>
          </w:tcPr>
          <w:p>
            <w:pPr>
              <w:spacing w:after="0" w:line="245" w:lineRule="auto"/>
            </w:pPr>
            <w:r>
              <w:rPr>
                <w:rFonts w:ascii="Arial" w:hAnsi="Arial" w:eastAsia="Arial"/>
                <w:b w:val="0"/>
                <w:i w:val="0"/>
                <w:color w:val="202A35"/>
                <w:sz w:val="16"/>
              </w:rPr>
              <w:t>traffic_index</w:t>
            </w:r>
          </w:p>
        </w:tc>
        <w:tc>
          <w:tcPr>
            <w:tcW w:type="dxa" w:w="1728"/>
            <w:vAlign w:val="center"/>
            <w:tcMar>
              <w:top w:w="72" w:type="dxa"/>
              <w:start w:w="95" w:type="dxa"/>
              <w:bottom w:w="72" w:type="dxa"/>
              <w:end w:w="95" w:type="dxa"/>
            </w:tcMar>
            <w:shd w:fill="F4F6F8"/>
            <w:tcBorders>
              <w:bottom w:val="single" w:sz="3" w:color="D9E1F2"/>
            </w:tcBorders>
          </w:tcPr>
          <w:p>
            <w:pPr>
              <w:spacing w:after="0" w:line="245" w:lineRule="auto"/>
            </w:pPr>
            <w:r>
              <w:rPr>
                <w:rFonts w:ascii="Arial" w:hAnsi="Arial" w:eastAsia="Arial"/>
                <w:b w:val="0"/>
                <w:i w:val="0"/>
                <w:color w:val="202A35"/>
                <w:sz w:val="16"/>
              </w:rPr>
              <w:t>0.0063</w:t>
            </w:r>
          </w:p>
        </w:tc>
        <w:tc>
          <w:tcPr>
            <w:tcW w:type="dxa" w:w="1440"/>
            <w:vAlign w:val="center"/>
            <w:tcMar>
              <w:top w:w="72" w:type="dxa"/>
              <w:start w:w="95" w:type="dxa"/>
              <w:bottom w:w="72" w:type="dxa"/>
              <w:end w:w="95" w:type="dxa"/>
            </w:tcMar>
            <w:shd w:fill="F4F6F8"/>
            <w:tcBorders>
              <w:bottom w:val="single" w:sz="3" w:color="D9E1F2"/>
            </w:tcBorders>
          </w:tcPr>
          <w:p>
            <w:pPr>
              <w:spacing w:after="0" w:line="245" w:lineRule="auto"/>
            </w:pPr>
            <w:r>
              <w:rPr>
                <w:rFonts w:ascii="Arial" w:hAnsi="Arial" w:eastAsia="Arial"/>
                <w:b w:val="0"/>
                <w:i w:val="0"/>
                <w:color w:val="202A35"/>
                <w:sz w:val="16"/>
              </w:rPr>
              <w:t>0.6%</w:t>
            </w:r>
          </w:p>
        </w:tc>
      </w:tr>
    </w:tbl>
    <w:p>
      <w:pPr>
        <w:spacing w:after="20"/>
      </w:pPr>
    </w:p>
    <w:p>
      <w:pPr>
        <w:spacing w:before="40" w:after="40"/>
        <w:jc w:val="center"/>
      </w:pPr>
      <w:r>
        <w:drawing>
          <wp:inline xmlns:a="http://schemas.openxmlformats.org/drawingml/2006/main" xmlns:pic="http://schemas.openxmlformats.org/drawingml/2006/picture">
            <wp:extent cx="5394960" cy="3753540"/>
            <wp:docPr id="5" name="Picture 5"/>
            <wp:cNvGraphicFramePr>
              <a:graphicFrameLocks noChangeAspect="1"/>
            </wp:cNvGraphicFramePr>
            <a:graphic>
              <a:graphicData uri="http://schemas.openxmlformats.org/drawingml/2006/picture">
                <pic:pic>
                  <pic:nvPicPr>
                    <pic:cNvPr id="0" name="week4_feature_importance.png"/>
                    <pic:cNvPicPr/>
                  </pic:nvPicPr>
                  <pic:blipFill>
                    <a:blip r:embed="rId15"/>
                    <a:stretch>
                      <a:fillRect/>
                    </a:stretch>
                  </pic:blipFill>
                  <pic:spPr>
                    <a:xfrm>
                      <a:off x="0" y="0"/>
                      <a:ext cx="5394960" cy="3753540"/>
                    </a:xfrm>
                    <a:prstGeom prst="rect"/>
                  </pic:spPr>
                </pic:pic>
              </a:graphicData>
            </a:graphic>
          </wp:inline>
        </w:drawing>
      </w:r>
    </w:p>
    <w:p>
      <w:pPr>
        <w:spacing w:after="140"/>
        <w:jc w:val="center"/>
      </w:pPr>
      <w:r>
        <w:rPr>
          <w:rFonts w:ascii="Arial" w:hAnsi="Arial" w:eastAsia="Arial"/>
          <w:b w:val="0"/>
          <w:i/>
          <w:color w:val="5B6573"/>
          <w:sz w:val="16"/>
        </w:rPr>
        <w:t>Figure 5. Top Random Forest impurity-based feature importances; they are not causal effects.</w:t>
      </w:r>
    </w:p>
    <w:p>
      <w:pPr>
        <w:spacing w:after="110" w:line="269" w:lineRule="auto"/>
      </w:pPr>
      <w:r>
        <w:rPr>
          <w:rFonts w:ascii="Arial" w:hAnsi="Arial" w:eastAsia="Arial"/>
          <w:b w:val="0"/>
          <w:i w:val="0"/>
          <w:color w:val="202A35"/>
          <w:sz w:val="20"/>
        </w:rPr>
        <w:t>Distance dominates this Random Forest importance diagnostic because the data-generation mechanism calculates duration largely from distance and assumed vehicle speed. Weather, weight, warehouse load, stops, and traffic appear much smaller in this design. Feature importance depends on the synthetic formula, correlations between inputs, and the model; it must not be interpreted as a causal ranking.</w:t>
      </w:r>
    </w:p>
    <w:p>
      <w:pPr>
        <w:pStyle w:val="Heading2"/>
      </w:pPr>
      <w:r>
        <w:t>Illustrative service-exception triage</w:t>
      </w:r>
    </w:p>
    <w:p>
      <w:pPr>
        <w:spacing w:after="110" w:line="269" w:lineRule="auto"/>
      </w:pPr>
      <w:r>
        <w:rPr>
          <w:rFonts w:ascii="Arial" w:hAnsi="Arial" w:eastAsia="Arial"/>
          <w:b w:val="0"/>
          <w:i w:val="0"/>
          <w:color w:val="202A35"/>
          <w:sz w:val="20"/>
        </w:rPr>
        <w:t>The analysis flags a shipment for review when its predicted delivery time exceeds 12 hours. This threshold is an example operating rule, not a learned probability and not a validated service-level agreement. A production workflow should use destination-specific promises, operating calendars, and a calibrated estimate of uncertainty where possible.</w:t>
      </w:r>
    </w:p>
    <w:p>
      <w:r>
        <w:br w:type="page"/>
      </w:r>
    </w:p>
    <w:p>
      <w:pPr>
        <w:pStyle w:val="Heading1"/>
      </w:pPr>
      <w:r>
        <w:t>8. Capacity-Constrained Vehicle What-if</w:t>
      </w:r>
    </w:p>
    <w:p>
      <w:pPr>
        <w:spacing w:after="110" w:line="269" w:lineRule="auto"/>
      </w:pPr>
      <w:r>
        <w:rPr>
          <w:rFonts w:ascii="Arial" w:hAnsi="Arial" w:eastAsia="Arial"/>
          <w:b w:val="0"/>
          <w:i w:val="0"/>
          <w:color w:val="202A35"/>
          <w:sz w:val="20"/>
        </w:rPr>
        <w:t>To demonstrate a decision layer, each holdout shipment was scored against vehicle candidates that pass hypothetical weight and volume limits. For each candidate, the model predicts delivery hours and an illustrative cost formula estimates dispatch cost. The chosen candidate minimizes a simple composite objective: estimated cost in INR + ₹85 × predicted delivery hours.</w:t>
      </w:r>
    </w:p>
    <w:tbl>
      <w:tblPr>
        <w:tblW w:type="auto" w:w="0"/>
        <w:jc w:val="center"/>
        <w:tblLayout w:type="fixed"/>
        <w:tblLook w:firstColumn="1" w:firstRow="1" w:lastColumn="0" w:lastRow="0" w:noHBand="0" w:noVBand="1" w:val="04A0"/>
      </w:tblPr>
      <w:tblGrid>
        <w:gridCol w:w="1224"/>
        <w:gridCol w:w="1440"/>
        <w:gridCol w:w="1440"/>
        <w:gridCol w:w="4896"/>
      </w:tblGrid>
      <w:tr>
        <w:trPr>
          <w:tblHeader w:val="true"/>
          <w:cantSplit/>
        </w:trPr>
        <w:tc>
          <w:tcPr>
            <w:tcW w:type="dxa" w:w="1224"/>
            <w:vAlign w:val="center"/>
            <w:shd w:fill="17365D"/>
            <w:tcMar>
              <w:top w:w="90" w:type="dxa"/>
              <w:start w:w="110" w:type="dxa"/>
              <w:bottom w:w="90" w:type="dxa"/>
              <w:end w:w="110" w:type="dxa"/>
            </w:tcMar>
            <w:tcBorders>
              <w:bottom w:val="single" w:sz="8" w:color="17365D"/>
            </w:tcBorders>
          </w:tcPr>
          <w:p>
            <w:pPr>
              <w:spacing w:after="0" w:line="240" w:lineRule="auto"/>
            </w:pPr>
            <w:r>
              <w:rPr>
                <w:rFonts w:ascii="Arial" w:hAnsi="Arial" w:eastAsia="Arial"/>
                <w:b/>
                <w:i w:val="0"/>
                <w:color w:val="FFFFFF"/>
                <w:sz w:val="15"/>
              </w:rPr>
              <w:t>Vehicle</w:t>
            </w:r>
          </w:p>
        </w:tc>
        <w:tc>
          <w:tcPr>
            <w:tcW w:type="dxa" w:w="1440"/>
            <w:vAlign w:val="center"/>
            <w:shd w:fill="17365D"/>
            <w:tcMar>
              <w:top w:w="90" w:type="dxa"/>
              <w:start w:w="110" w:type="dxa"/>
              <w:bottom w:w="90" w:type="dxa"/>
              <w:end w:w="110" w:type="dxa"/>
            </w:tcMar>
            <w:tcBorders>
              <w:bottom w:val="single" w:sz="8" w:color="17365D"/>
            </w:tcBorders>
          </w:tcPr>
          <w:p>
            <w:pPr>
              <w:spacing w:after="0" w:line="240" w:lineRule="auto"/>
            </w:pPr>
            <w:r>
              <w:rPr>
                <w:rFonts w:ascii="Arial" w:hAnsi="Arial" w:eastAsia="Arial"/>
                <w:b/>
                <w:i w:val="0"/>
                <w:color w:val="FFFFFF"/>
                <w:sz w:val="15"/>
              </w:rPr>
              <w:t>Weight limit</w:t>
            </w:r>
          </w:p>
        </w:tc>
        <w:tc>
          <w:tcPr>
            <w:tcW w:type="dxa" w:w="1440"/>
            <w:vAlign w:val="center"/>
            <w:shd w:fill="17365D"/>
            <w:tcMar>
              <w:top w:w="90" w:type="dxa"/>
              <w:start w:w="110" w:type="dxa"/>
              <w:bottom w:w="90" w:type="dxa"/>
              <w:end w:w="110" w:type="dxa"/>
            </w:tcMar>
            <w:tcBorders>
              <w:bottom w:val="single" w:sz="8" w:color="17365D"/>
            </w:tcBorders>
          </w:tcPr>
          <w:p>
            <w:pPr>
              <w:spacing w:after="0" w:line="240" w:lineRule="auto"/>
            </w:pPr>
            <w:r>
              <w:rPr>
                <w:rFonts w:ascii="Arial" w:hAnsi="Arial" w:eastAsia="Arial"/>
                <w:b/>
                <w:i w:val="0"/>
                <w:color w:val="FFFFFF"/>
                <w:sz w:val="15"/>
              </w:rPr>
              <w:t>Volume limit</w:t>
            </w:r>
          </w:p>
        </w:tc>
        <w:tc>
          <w:tcPr>
            <w:tcW w:type="dxa" w:w="4896"/>
            <w:vAlign w:val="center"/>
            <w:shd w:fill="17365D"/>
            <w:tcMar>
              <w:top w:w="90" w:type="dxa"/>
              <w:start w:w="110" w:type="dxa"/>
              <w:bottom w:w="90" w:type="dxa"/>
              <w:end w:w="110" w:type="dxa"/>
            </w:tcMar>
            <w:tcBorders>
              <w:bottom w:val="single" w:sz="8" w:color="17365D"/>
            </w:tcBorders>
          </w:tcPr>
          <w:p>
            <w:pPr>
              <w:spacing w:after="0" w:line="240" w:lineRule="auto"/>
            </w:pPr>
            <w:r>
              <w:rPr>
                <w:rFonts w:ascii="Arial" w:hAnsi="Arial" w:eastAsia="Arial"/>
                <w:b/>
                <w:i w:val="0"/>
                <w:color w:val="FFFFFF"/>
                <w:sz w:val="15"/>
              </w:rPr>
              <w:t>Illustrative cost formula</w:t>
            </w:r>
          </w:p>
        </w:tc>
      </w:tr>
      <w:tr>
        <w:trPr>
          <w:cantSplit/>
        </w:trPr>
        <w:tc>
          <w:tcPr>
            <w:tcW w:type="dxa" w:w="1224"/>
            <w:vAlign w:val="center"/>
            <w:tcMar>
              <w:top w:w="72" w:type="dxa"/>
              <w:start w:w="95" w:type="dxa"/>
              <w:bottom w:w="72" w:type="dxa"/>
              <w:end w:w="95" w:type="dxa"/>
            </w:tcMar>
            <w:tcBorders>
              <w:bottom w:val="single" w:sz="3" w:color="D9E1F2"/>
            </w:tcBorders>
          </w:tcPr>
          <w:p>
            <w:pPr>
              <w:spacing w:after="0" w:line="245" w:lineRule="auto"/>
            </w:pPr>
            <w:r>
              <w:rPr>
                <w:rFonts w:ascii="Arial" w:hAnsi="Arial" w:eastAsia="Arial"/>
                <w:b w:val="0"/>
                <w:i w:val="0"/>
                <w:color w:val="202A35"/>
                <w:sz w:val="15"/>
              </w:rPr>
              <w:t>Bike</w:t>
            </w:r>
          </w:p>
        </w:tc>
        <w:tc>
          <w:tcPr>
            <w:tcW w:type="dxa" w:w="1440"/>
            <w:vAlign w:val="center"/>
            <w:tcMar>
              <w:top w:w="72" w:type="dxa"/>
              <w:start w:w="95" w:type="dxa"/>
              <w:bottom w:w="72" w:type="dxa"/>
              <w:end w:w="95" w:type="dxa"/>
            </w:tcMar>
            <w:tcBorders>
              <w:bottom w:val="single" w:sz="3" w:color="D9E1F2"/>
            </w:tcBorders>
          </w:tcPr>
          <w:p>
            <w:pPr>
              <w:spacing w:after="0" w:line="245" w:lineRule="auto"/>
            </w:pPr>
            <w:r>
              <w:rPr>
                <w:rFonts w:ascii="Arial" w:hAnsi="Arial" w:eastAsia="Arial"/>
                <w:b w:val="0"/>
                <w:i w:val="0"/>
                <w:color w:val="202A35"/>
                <w:sz w:val="15"/>
              </w:rPr>
              <w:t>25 kg</w:t>
            </w:r>
          </w:p>
        </w:tc>
        <w:tc>
          <w:tcPr>
            <w:tcW w:type="dxa" w:w="1440"/>
            <w:vAlign w:val="center"/>
            <w:tcMar>
              <w:top w:w="72" w:type="dxa"/>
              <w:start w:w="95" w:type="dxa"/>
              <w:bottom w:w="72" w:type="dxa"/>
              <w:end w:w="95" w:type="dxa"/>
            </w:tcMar>
            <w:tcBorders>
              <w:bottom w:val="single" w:sz="3" w:color="D9E1F2"/>
            </w:tcBorders>
          </w:tcPr>
          <w:p>
            <w:pPr>
              <w:spacing w:after="0" w:line="245" w:lineRule="auto"/>
            </w:pPr>
            <w:r>
              <w:rPr>
                <w:rFonts w:ascii="Arial" w:hAnsi="Arial" w:eastAsia="Arial"/>
                <w:b w:val="0"/>
                <w:i w:val="0"/>
                <w:color w:val="202A35"/>
                <w:sz w:val="15"/>
              </w:rPr>
              <w:t>0.12 m³</w:t>
            </w:r>
          </w:p>
        </w:tc>
        <w:tc>
          <w:tcPr>
            <w:tcW w:type="dxa" w:w="4896"/>
            <w:vAlign w:val="center"/>
            <w:tcMar>
              <w:top w:w="72" w:type="dxa"/>
              <w:start w:w="95" w:type="dxa"/>
              <w:bottom w:w="72" w:type="dxa"/>
              <w:end w:w="95" w:type="dxa"/>
            </w:tcMar>
            <w:tcBorders>
              <w:bottom w:val="single" w:sz="3" w:color="D9E1F2"/>
            </w:tcBorders>
          </w:tcPr>
          <w:p>
            <w:pPr>
              <w:spacing w:after="0" w:line="245" w:lineRule="auto"/>
            </w:pPr>
            <w:r>
              <w:rPr>
                <w:rFonts w:ascii="Arial" w:hAnsi="Arial" w:eastAsia="Arial"/>
                <w:b w:val="0"/>
                <w:i w:val="0"/>
                <w:color w:val="202A35"/>
                <w:sz w:val="15"/>
              </w:rPr>
              <w:t>₹75 fixed + ₹5.80/km + payload terms</w:t>
            </w:r>
          </w:p>
        </w:tc>
      </w:tr>
      <w:tr>
        <w:trPr>
          <w:cantSplit/>
        </w:trPr>
        <w:tc>
          <w:tcPr>
            <w:tcW w:type="dxa" w:w="1224"/>
            <w:vAlign w:val="center"/>
            <w:tcMar>
              <w:top w:w="72" w:type="dxa"/>
              <w:start w:w="95" w:type="dxa"/>
              <w:bottom w:w="72" w:type="dxa"/>
              <w:end w:w="95" w:type="dxa"/>
            </w:tcMar>
            <w:shd w:fill="F4F6F8"/>
            <w:tcBorders>
              <w:bottom w:val="single" w:sz="3" w:color="D9E1F2"/>
            </w:tcBorders>
          </w:tcPr>
          <w:p>
            <w:pPr>
              <w:spacing w:after="0" w:line="245" w:lineRule="auto"/>
            </w:pPr>
            <w:r>
              <w:rPr>
                <w:rFonts w:ascii="Arial" w:hAnsi="Arial" w:eastAsia="Arial"/>
                <w:b w:val="0"/>
                <w:i w:val="0"/>
                <w:color w:val="202A35"/>
                <w:sz w:val="15"/>
              </w:rPr>
              <w:t>Van</w:t>
            </w:r>
          </w:p>
        </w:tc>
        <w:tc>
          <w:tcPr>
            <w:tcW w:type="dxa" w:w="1440"/>
            <w:vAlign w:val="center"/>
            <w:tcMar>
              <w:top w:w="72" w:type="dxa"/>
              <w:start w:w="95" w:type="dxa"/>
              <w:bottom w:w="72" w:type="dxa"/>
              <w:end w:w="95" w:type="dxa"/>
            </w:tcMar>
            <w:shd w:fill="F4F6F8"/>
            <w:tcBorders>
              <w:bottom w:val="single" w:sz="3" w:color="D9E1F2"/>
            </w:tcBorders>
          </w:tcPr>
          <w:p>
            <w:pPr>
              <w:spacing w:after="0" w:line="245" w:lineRule="auto"/>
            </w:pPr>
            <w:r>
              <w:rPr>
                <w:rFonts w:ascii="Arial" w:hAnsi="Arial" w:eastAsia="Arial"/>
                <w:b w:val="0"/>
                <w:i w:val="0"/>
                <w:color w:val="202A35"/>
                <w:sz w:val="15"/>
              </w:rPr>
              <w:t>900 kg</w:t>
            </w:r>
          </w:p>
        </w:tc>
        <w:tc>
          <w:tcPr>
            <w:tcW w:type="dxa" w:w="1440"/>
            <w:vAlign w:val="center"/>
            <w:tcMar>
              <w:top w:w="72" w:type="dxa"/>
              <w:start w:w="95" w:type="dxa"/>
              <w:bottom w:w="72" w:type="dxa"/>
              <w:end w:w="95" w:type="dxa"/>
            </w:tcMar>
            <w:shd w:fill="F4F6F8"/>
            <w:tcBorders>
              <w:bottom w:val="single" w:sz="3" w:color="D9E1F2"/>
            </w:tcBorders>
          </w:tcPr>
          <w:p>
            <w:pPr>
              <w:spacing w:after="0" w:line="245" w:lineRule="auto"/>
            </w:pPr>
            <w:r>
              <w:rPr>
                <w:rFonts w:ascii="Arial" w:hAnsi="Arial" w:eastAsia="Arial"/>
                <w:b w:val="0"/>
                <w:i w:val="0"/>
                <w:color w:val="202A35"/>
                <w:sz w:val="15"/>
              </w:rPr>
              <w:t>6.0 m³</w:t>
            </w:r>
          </w:p>
        </w:tc>
        <w:tc>
          <w:tcPr>
            <w:tcW w:type="dxa" w:w="4896"/>
            <w:vAlign w:val="center"/>
            <w:tcMar>
              <w:top w:w="72" w:type="dxa"/>
              <w:start w:w="95" w:type="dxa"/>
              <w:bottom w:w="72" w:type="dxa"/>
              <w:end w:w="95" w:type="dxa"/>
            </w:tcMar>
            <w:shd w:fill="F4F6F8"/>
            <w:tcBorders>
              <w:bottom w:val="single" w:sz="3" w:color="D9E1F2"/>
            </w:tcBorders>
          </w:tcPr>
          <w:p>
            <w:pPr>
              <w:spacing w:after="0" w:line="245" w:lineRule="auto"/>
            </w:pPr>
            <w:r>
              <w:rPr>
                <w:rFonts w:ascii="Arial" w:hAnsi="Arial" w:eastAsia="Arial"/>
                <w:b w:val="0"/>
                <w:i w:val="0"/>
                <w:color w:val="202A35"/>
                <w:sz w:val="15"/>
              </w:rPr>
              <w:t>₹220 fixed + ₹15.80/km + payload terms</w:t>
            </w:r>
          </w:p>
        </w:tc>
      </w:tr>
      <w:tr>
        <w:trPr>
          <w:cantSplit/>
        </w:trPr>
        <w:tc>
          <w:tcPr>
            <w:tcW w:type="dxa" w:w="1224"/>
            <w:vAlign w:val="center"/>
            <w:tcMar>
              <w:top w:w="72" w:type="dxa"/>
              <w:start w:w="95" w:type="dxa"/>
              <w:bottom w:w="72" w:type="dxa"/>
              <w:end w:w="95" w:type="dxa"/>
            </w:tcMar>
            <w:tcBorders>
              <w:bottom w:val="single" w:sz="3" w:color="D9E1F2"/>
            </w:tcBorders>
          </w:tcPr>
          <w:p>
            <w:pPr>
              <w:spacing w:after="0" w:line="245" w:lineRule="auto"/>
            </w:pPr>
            <w:r>
              <w:rPr>
                <w:rFonts w:ascii="Arial" w:hAnsi="Arial" w:eastAsia="Arial"/>
                <w:b w:val="0"/>
                <w:i w:val="0"/>
                <w:color w:val="202A35"/>
                <w:sz w:val="15"/>
              </w:rPr>
              <w:t>Truck</w:t>
            </w:r>
          </w:p>
        </w:tc>
        <w:tc>
          <w:tcPr>
            <w:tcW w:type="dxa" w:w="1440"/>
            <w:vAlign w:val="center"/>
            <w:tcMar>
              <w:top w:w="72" w:type="dxa"/>
              <w:start w:w="95" w:type="dxa"/>
              <w:bottom w:w="72" w:type="dxa"/>
              <w:end w:w="95" w:type="dxa"/>
            </w:tcMar>
            <w:tcBorders>
              <w:bottom w:val="single" w:sz="3" w:color="D9E1F2"/>
            </w:tcBorders>
          </w:tcPr>
          <w:p>
            <w:pPr>
              <w:spacing w:after="0" w:line="245" w:lineRule="auto"/>
            </w:pPr>
            <w:r>
              <w:rPr>
                <w:rFonts w:ascii="Arial" w:hAnsi="Arial" w:eastAsia="Arial"/>
                <w:b w:val="0"/>
                <w:i w:val="0"/>
                <w:color w:val="202A35"/>
                <w:sz w:val="15"/>
              </w:rPr>
              <w:t>5,000 kg</w:t>
            </w:r>
          </w:p>
        </w:tc>
        <w:tc>
          <w:tcPr>
            <w:tcW w:type="dxa" w:w="1440"/>
            <w:vAlign w:val="center"/>
            <w:tcMar>
              <w:top w:w="72" w:type="dxa"/>
              <w:start w:w="95" w:type="dxa"/>
              <w:bottom w:w="72" w:type="dxa"/>
              <w:end w:w="95" w:type="dxa"/>
            </w:tcMar>
            <w:tcBorders>
              <w:bottom w:val="single" w:sz="3" w:color="D9E1F2"/>
            </w:tcBorders>
          </w:tcPr>
          <w:p>
            <w:pPr>
              <w:spacing w:after="0" w:line="245" w:lineRule="auto"/>
            </w:pPr>
            <w:r>
              <w:rPr>
                <w:rFonts w:ascii="Arial" w:hAnsi="Arial" w:eastAsia="Arial"/>
                <w:b w:val="0"/>
                <w:i w:val="0"/>
                <w:color w:val="202A35"/>
                <w:sz w:val="15"/>
              </w:rPr>
              <w:t>30 m³</w:t>
            </w:r>
          </w:p>
        </w:tc>
        <w:tc>
          <w:tcPr>
            <w:tcW w:type="dxa" w:w="4896"/>
            <w:vAlign w:val="center"/>
            <w:tcMar>
              <w:top w:w="72" w:type="dxa"/>
              <w:start w:w="95" w:type="dxa"/>
              <w:bottom w:w="72" w:type="dxa"/>
              <w:end w:w="95" w:type="dxa"/>
            </w:tcMar>
            <w:tcBorders>
              <w:bottom w:val="single" w:sz="3" w:color="D9E1F2"/>
            </w:tcBorders>
          </w:tcPr>
          <w:p>
            <w:pPr>
              <w:spacing w:after="0" w:line="245" w:lineRule="auto"/>
            </w:pPr>
            <w:r>
              <w:rPr>
                <w:rFonts w:ascii="Arial" w:hAnsi="Arial" w:eastAsia="Arial"/>
                <w:b w:val="0"/>
                <w:i w:val="0"/>
                <w:color w:val="202A35"/>
                <w:sz w:val="15"/>
              </w:rPr>
              <w:t>₹500 fixed + ₹23.00/km + payload terms</w:t>
            </w:r>
          </w:p>
        </w:tc>
      </w:tr>
    </w:tbl>
    <w:p>
      <w:pPr>
        <w:spacing w:after="20"/>
      </w:pPr>
    </w:p>
    <w:tbl>
      <w:tblPr>
        <w:tblW w:type="auto" w:w="0"/>
        <w:jc w:val="center"/>
        <w:tblLook w:firstColumn="1" w:firstRow="1" w:lastColumn="0" w:lastRow="0" w:noHBand="0" w:noVBand="1" w:val="04A0"/>
      </w:tblPr>
      <w:tblGrid>
        <w:gridCol w:w="9663"/>
      </w:tblGrid>
      <w:tr>
        <w:tc>
          <w:tcPr>
            <w:tcW w:type="dxa" w:w="9663"/>
            <w:shd w:fill="EAF1F8"/>
            <w:tcMar>
              <w:top w:w="140" w:type="dxa"/>
              <w:start w:w="180" w:type="dxa"/>
              <w:bottom w:w="140" w:type="dxa"/>
              <w:end w:w="180" w:type="dxa"/>
            </w:tcMar>
            <w:tcBorders>
              <w:left w:val="single" w:sz="20" w:color="168A8A"/>
            </w:tcBorders>
          </w:tcPr>
          <w:p>
            <w:pPr>
              <w:spacing w:after="80"/>
            </w:pPr>
            <w:r>
              <w:rPr>
                <w:rFonts w:ascii="Arial" w:hAnsi="Arial" w:eastAsia="Arial"/>
                <w:b/>
                <w:i w:val="0"/>
                <w:color w:val="168A8A"/>
                <w:sz w:val="20"/>
              </w:rPr>
              <w:t>OBJECTIVE FUNCTION</w:t>
            </w:r>
          </w:p>
          <w:p>
            <w:pPr>
              <w:spacing w:after="0" w:line="259" w:lineRule="auto"/>
            </w:pPr>
            <w:r>
              <w:rPr>
                <w:rFonts w:ascii="Arial" w:hAnsi="Arial" w:eastAsia="Arial"/>
                <w:b w:val="0"/>
                <w:i w:val="0"/>
                <w:color w:val="202A35"/>
                <w:sz w:val="18"/>
              </w:rPr>
              <w:t>Score = estimated vehicle cost + (time value × predicted delivery time). Time value is set to ₹85 per hour for this example. Capacity thresholds, fixed charges, per-kilometre rates, and time value are assumptions to demonstrate the workflow; they are not sourced tariffs.</w:t>
            </w:r>
          </w:p>
        </w:tc>
      </w:tr>
    </w:tbl>
    <w:p>
      <w:pPr>
        <w:spacing w:after="20"/>
      </w:pPr>
    </w:p>
    <w:tbl>
      <w:tblPr>
        <w:tblW w:type="auto" w:w="0"/>
        <w:jc w:val="center"/>
        <w:tblLayout w:type="fixed"/>
        <w:tblLook w:firstColumn="1" w:firstRow="1" w:lastColumn="0" w:lastRow="0" w:noHBand="0" w:noVBand="1" w:val="04A0"/>
      </w:tblPr>
      <w:tblGrid>
        <w:gridCol w:w="4176"/>
        <w:gridCol w:w="4680"/>
      </w:tblGrid>
      <w:tr>
        <w:trPr>
          <w:tblHeader w:val="true"/>
          <w:cantSplit/>
        </w:trPr>
        <w:tc>
          <w:tcPr>
            <w:tcW w:type="dxa" w:w="4176"/>
            <w:vAlign w:val="center"/>
            <w:shd w:fill="17365D"/>
            <w:tcMar>
              <w:top w:w="90" w:type="dxa"/>
              <w:start w:w="110" w:type="dxa"/>
              <w:bottom w:w="90" w:type="dxa"/>
              <w:end w:w="110" w:type="dxa"/>
            </w:tcMar>
            <w:tcBorders>
              <w:bottom w:val="single" w:sz="8" w:color="17365D"/>
            </w:tcBorders>
          </w:tcPr>
          <w:p>
            <w:pPr>
              <w:spacing w:after="0" w:line="240" w:lineRule="auto"/>
            </w:pPr>
            <w:r>
              <w:rPr>
                <w:rFonts w:ascii="Arial" w:hAnsi="Arial" w:eastAsia="Arial"/>
                <w:b/>
                <w:i w:val="0"/>
                <w:color w:val="FFFFFF"/>
                <w:sz w:val="16"/>
              </w:rPr>
              <w:t>Scenario measure</w:t>
            </w:r>
          </w:p>
        </w:tc>
        <w:tc>
          <w:tcPr>
            <w:tcW w:type="dxa" w:w="4680"/>
            <w:vAlign w:val="center"/>
            <w:shd w:fill="17365D"/>
            <w:tcMar>
              <w:top w:w="90" w:type="dxa"/>
              <w:start w:w="110" w:type="dxa"/>
              <w:bottom w:w="90" w:type="dxa"/>
              <w:end w:w="110" w:type="dxa"/>
            </w:tcMar>
            <w:tcBorders>
              <w:bottom w:val="single" w:sz="8" w:color="17365D"/>
            </w:tcBorders>
          </w:tcPr>
          <w:p>
            <w:pPr>
              <w:spacing w:after="0" w:line="240" w:lineRule="auto"/>
            </w:pPr>
            <w:r>
              <w:rPr>
                <w:rFonts w:ascii="Arial" w:hAnsi="Arial" w:eastAsia="Arial"/>
                <w:b/>
                <w:i w:val="0"/>
                <w:color w:val="FFFFFF"/>
                <w:sz w:val="16"/>
              </w:rPr>
              <w:t>Holdout what-if result</w:t>
            </w:r>
          </w:p>
        </w:tc>
      </w:tr>
      <w:tr>
        <w:trPr>
          <w:cantSplit/>
        </w:trPr>
        <w:tc>
          <w:tcPr>
            <w:tcW w:type="dxa" w:w="4176"/>
            <w:vAlign w:val="center"/>
            <w:tcMar>
              <w:top w:w="72" w:type="dxa"/>
              <w:start w:w="95" w:type="dxa"/>
              <w:bottom w:w="72" w:type="dxa"/>
              <w:end w:w="95" w:type="dxa"/>
            </w:tcMar>
            <w:tcBorders>
              <w:bottom w:val="single" w:sz="3" w:color="D9E1F2"/>
            </w:tcBorders>
          </w:tcPr>
          <w:p>
            <w:pPr>
              <w:spacing w:after="0" w:line="245" w:lineRule="auto"/>
            </w:pPr>
            <w:r>
              <w:rPr>
                <w:rFonts w:ascii="Arial" w:hAnsi="Arial" w:eastAsia="Arial"/>
                <w:b w:val="0"/>
                <w:i w:val="0"/>
                <w:color w:val="202A35"/>
                <w:sz w:val="16"/>
              </w:rPr>
              <w:t>Holdout shipments evaluated</w:t>
            </w:r>
          </w:p>
        </w:tc>
        <w:tc>
          <w:tcPr>
            <w:tcW w:type="dxa" w:w="4680"/>
            <w:vAlign w:val="center"/>
            <w:tcMar>
              <w:top w:w="72" w:type="dxa"/>
              <w:start w:w="95" w:type="dxa"/>
              <w:bottom w:w="72" w:type="dxa"/>
              <w:end w:w="95" w:type="dxa"/>
            </w:tcMar>
            <w:tcBorders>
              <w:bottom w:val="single" w:sz="3" w:color="D9E1F2"/>
            </w:tcBorders>
          </w:tcPr>
          <w:p>
            <w:pPr>
              <w:spacing w:after="0" w:line="245" w:lineRule="auto"/>
            </w:pPr>
            <w:r>
              <w:rPr>
                <w:rFonts w:ascii="Arial" w:hAnsi="Arial" w:eastAsia="Arial"/>
                <w:b w:val="0"/>
                <w:i w:val="0"/>
                <w:color w:val="202A35"/>
                <w:sz w:val="16"/>
              </w:rPr>
              <w:t>240</w:t>
            </w:r>
          </w:p>
        </w:tc>
      </w:tr>
      <w:tr>
        <w:trPr>
          <w:cantSplit/>
        </w:trPr>
        <w:tc>
          <w:tcPr>
            <w:tcW w:type="dxa" w:w="4176"/>
            <w:vAlign w:val="center"/>
            <w:tcMar>
              <w:top w:w="72" w:type="dxa"/>
              <w:start w:w="95" w:type="dxa"/>
              <w:bottom w:w="72" w:type="dxa"/>
              <w:end w:w="95" w:type="dxa"/>
            </w:tcMar>
            <w:shd w:fill="F4F6F8"/>
            <w:tcBorders>
              <w:bottom w:val="single" w:sz="3" w:color="D9E1F2"/>
            </w:tcBorders>
          </w:tcPr>
          <w:p>
            <w:pPr>
              <w:spacing w:after="0" w:line="245" w:lineRule="auto"/>
            </w:pPr>
            <w:r>
              <w:rPr>
                <w:rFonts w:ascii="Arial" w:hAnsi="Arial" w:eastAsia="Arial"/>
                <w:b w:val="0"/>
                <w:i w:val="0"/>
                <w:color w:val="202A35"/>
                <w:sz w:val="16"/>
              </w:rPr>
              <w:t>Suggested vehicle changes</w:t>
            </w:r>
          </w:p>
        </w:tc>
        <w:tc>
          <w:tcPr>
            <w:tcW w:type="dxa" w:w="4680"/>
            <w:vAlign w:val="center"/>
            <w:tcMar>
              <w:top w:w="72" w:type="dxa"/>
              <w:start w:w="95" w:type="dxa"/>
              <w:bottom w:w="72" w:type="dxa"/>
              <w:end w:w="95" w:type="dxa"/>
            </w:tcMar>
            <w:shd w:fill="F4F6F8"/>
            <w:tcBorders>
              <w:bottom w:val="single" w:sz="3" w:color="D9E1F2"/>
            </w:tcBorders>
          </w:tcPr>
          <w:p>
            <w:pPr>
              <w:spacing w:after="0" w:line="245" w:lineRule="auto"/>
            </w:pPr>
            <w:r>
              <w:rPr>
                <w:rFonts w:ascii="Arial" w:hAnsi="Arial" w:eastAsia="Arial"/>
                <w:b w:val="0"/>
                <w:i w:val="0"/>
                <w:color w:val="202A35"/>
                <w:sz w:val="16"/>
              </w:rPr>
              <w:t>82 (34.2%)</w:t>
            </w:r>
          </w:p>
        </w:tc>
      </w:tr>
      <w:tr>
        <w:trPr>
          <w:cantSplit/>
        </w:trPr>
        <w:tc>
          <w:tcPr>
            <w:tcW w:type="dxa" w:w="4176"/>
            <w:vAlign w:val="center"/>
            <w:tcMar>
              <w:top w:w="72" w:type="dxa"/>
              <w:start w:w="95" w:type="dxa"/>
              <w:bottom w:w="72" w:type="dxa"/>
              <w:end w:w="95" w:type="dxa"/>
            </w:tcMar>
            <w:tcBorders>
              <w:bottom w:val="single" w:sz="3" w:color="D9E1F2"/>
            </w:tcBorders>
          </w:tcPr>
          <w:p>
            <w:pPr>
              <w:spacing w:after="0" w:line="245" w:lineRule="auto"/>
            </w:pPr>
            <w:r>
              <w:rPr>
                <w:rFonts w:ascii="Arial" w:hAnsi="Arial" w:eastAsia="Arial"/>
                <w:b w:val="0"/>
                <w:i w:val="0"/>
                <w:color w:val="202A35"/>
                <w:sz w:val="16"/>
              </w:rPr>
              <w:t>Mean predicted time: current → recommended</w:t>
            </w:r>
          </w:p>
        </w:tc>
        <w:tc>
          <w:tcPr>
            <w:tcW w:type="dxa" w:w="4680"/>
            <w:vAlign w:val="center"/>
            <w:tcMar>
              <w:top w:w="72" w:type="dxa"/>
              <w:start w:w="95" w:type="dxa"/>
              <w:bottom w:w="72" w:type="dxa"/>
              <w:end w:w="95" w:type="dxa"/>
            </w:tcMar>
            <w:tcBorders>
              <w:bottom w:val="single" w:sz="3" w:color="D9E1F2"/>
            </w:tcBorders>
          </w:tcPr>
          <w:p>
            <w:pPr>
              <w:spacing w:after="0" w:line="245" w:lineRule="auto"/>
            </w:pPr>
            <w:r>
              <w:rPr>
                <w:rFonts w:ascii="Arial" w:hAnsi="Arial" w:eastAsia="Arial"/>
                <w:b w:val="0"/>
                <w:i w:val="0"/>
                <w:color w:val="202A35"/>
                <w:sz w:val="16"/>
              </w:rPr>
              <w:t>8.65 h → 8.71 h</w:t>
            </w:r>
          </w:p>
        </w:tc>
      </w:tr>
      <w:tr>
        <w:trPr>
          <w:cantSplit/>
        </w:trPr>
        <w:tc>
          <w:tcPr>
            <w:tcW w:type="dxa" w:w="4176"/>
            <w:vAlign w:val="center"/>
            <w:tcMar>
              <w:top w:w="72" w:type="dxa"/>
              <w:start w:w="95" w:type="dxa"/>
              <w:bottom w:w="72" w:type="dxa"/>
              <w:end w:w="95" w:type="dxa"/>
            </w:tcMar>
            <w:shd w:fill="F4F6F8"/>
            <w:tcBorders>
              <w:bottom w:val="single" w:sz="3" w:color="D9E1F2"/>
            </w:tcBorders>
          </w:tcPr>
          <w:p>
            <w:pPr>
              <w:spacing w:after="0" w:line="245" w:lineRule="auto"/>
            </w:pPr>
            <w:r>
              <w:rPr>
                <w:rFonts w:ascii="Arial" w:hAnsi="Arial" w:eastAsia="Arial"/>
                <w:b w:val="0"/>
                <w:i w:val="0"/>
                <w:color w:val="202A35"/>
                <w:sz w:val="16"/>
              </w:rPr>
              <w:t>Mean estimated cost: current → recommended</w:t>
            </w:r>
          </w:p>
        </w:tc>
        <w:tc>
          <w:tcPr>
            <w:tcW w:type="dxa" w:w="4680"/>
            <w:vAlign w:val="center"/>
            <w:tcMar>
              <w:top w:w="72" w:type="dxa"/>
              <w:start w:w="95" w:type="dxa"/>
              <w:bottom w:w="72" w:type="dxa"/>
              <w:end w:w="95" w:type="dxa"/>
            </w:tcMar>
            <w:shd w:fill="F4F6F8"/>
            <w:tcBorders>
              <w:bottom w:val="single" w:sz="3" w:color="D9E1F2"/>
            </w:tcBorders>
          </w:tcPr>
          <w:p>
            <w:pPr>
              <w:spacing w:after="0" w:line="245" w:lineRule="auto"/>
            </w:pPr>
            <w:r>
              <w:rPr>
                <w:rFonts w:ascii="Arial" w:hAnsi="Arial" w:eastAsia="Arial"/>
                <w:b w:val="0"/>
                <w:i w:val="0"/>
                <w:color w:val="202A35"/>
                <w:sz w:val="16"/>
              </w:rPr>
              <w:t>₹4,583.39 → ₹3,662.20</w:t>
            </w:r>
          </w:p>
        </w:tc>
      </w:tr>
      <w:tr>
        <w:trPr>
          <w:cantSplit/>
        </w:trPr>
        <w:tc>
          <w:tcPr>
            <w:tcW w:type="dxa" w:w="4176"/>
            <w:vAlign w:val="center"/>
            <w:tcMar>
              <w:top w:w="72" w:type="dxa"/>
              <w:start w:w="95" w:type="dxa"/>
              <w:bottom w:w="72" w:type="dxa"/>
              <w:end w:w="95" w:type="dxa"/>
            </w:tcMar>
            <w:tcBorders>
              <w:bottom w:val="single" w:sz="3" w:color="D9E1F2"/>
            </w:tcBorders>
          </w:tcPr>
          <w:p>
            <w:pPr>
              <w:spacing w:after="0" w:line="245" w:lineRule="auto"/>
            </w:pPr>
            <w:r>
              <w:rPr>
                <w:rFonts w:ascii="Arial" w:hAnsi="Arial" w:eastAsia="Arial"/>
                <w:b w:val="0"/>
                <w:i w:val="0"/>
                <w:color w:val="202A35"/>
                <w:sz w:val="16"/>
              </w:rPr>
              <w:t>Illustrative mean cost change</w:t>
            </w:r>
          </w:p>
        </w:tc>
        <w:tc>
          <w:tcPr>
            <w:tcW w:type="dxa" w:w="4680"/>
            <w:vAlign w:val="center"/>
            <w:tcMar>
              <w:top w:w="72" w:type="dxa"/>
              <w:start w:w="95" w:type="dxa"/>
              <w:bottom w:w="72" w:type="dxa"/>
              <w:end w:w="95" w:type="dxa"/>
            </w:tcMar>
            <w:tcBorders>
              <w:bottom w:val="single" w:sz="3" w:color="D9E1F2"/>
            </w:tcBorders>
          </w:tcPr>
          <w:p>
            <w:pPr>
              <w:spacing w:after="0" w:line="245" w:lineRule="auto"/>
            </w:pPr>
            <w:r>
              <w:rPr>
                <w:rFonts w:ascii="Arial" w:hAnsi="Arial" w:eastAsia="Arial"/>
                <w:b w:val="0"/>
                <w:i w:val="0"/>
                <w:color w:val="202A35"/>
                <w:sz w:val="16"/>
              </w:rPr>
              <w:t>20.1% lower under assumed rates</w:t>
            </w:r>
          </w:p>
        </w:tc>
      </w:tr>
      <w:tr>
        <w:trPr>
          <w:cantSplit/>
        </w:trPr>
        <w:tc>
          <w:tcPr>
            <w:tcW w:type="dxa" w:w="4176"/>
            <w:vAlign w:val="center"/>
            <w:tcMar>
              <w:top w:w="72" w:type="dxa"/>
              <w:start w:w="95" w:type="dxa"/>
              <w:bottom w:w="72" w:type="dxa"/>
              <w:end w:w="95" w:type="dxa"/>
            </w:tcMar>
            <w:shd w:fill="F4F6F8"/>
            <w:tcBorders>
              <w:bottom w:val="single" w:sz="3" w:color="D9E1F2"/>
            </w:tcBorders>
          </w:tcPr>
          <w:p>
            <w:pPr>
              <w:spacing w:after="0" w:line="245" w:lineRule="auto"/>
            </w:pPr>
            <w:r>
              <w:rPr>
                <w:rFonts w:ascii="Arial" w:hAnsi="Arial" w:eastAsia="Arial"/>
                <w:b w:val="0"/>
                <w:i w:val="0"/>
                <w:color w:val="202A35"/>
                <w:sz w:val="16"/>
              </w:rPr>
              <w:t>Mean composite objective improvement</w:t>
            </w:r>
          </w:p>
        </w:tc>
        <w:tc>
          <w:tcPr>
            <w:tcW w:type="dxa" w:w="4680"/>
            <w:vAlign w:val="center"/>
            <w:tcMar>
              <w:top w:w="72" w:type="dxa"/>
              <w:start w:w="95" w:type="dxa"/>
              <w:bottom w:w="72" w:type="dxa"/>
              <w:end w:w="95" w:type="dxa"/>
            </w:tcMar>
            <w:shd w:fill="F4F6F8"/>
            <w:tcBorders>
              <w:bottom w:val="single" w:sz="3" w:color="D9E1F2"/>
            </w:tcBorders>
          </w:tcPr>
          <w:p>
            <w:pPr>
              <w:spacing w:after="0" w:line="245" w:lineRule="auto"/>
            </w:pPr>
            <w:r>
              <w:rPr>
                <w:rFonts w:ascii="Arial" w:hAnsi="Arial" w:eastAsia="Arial"/>
                <w:b w:val="0"/>
                <w:i w:val="0"/>
                <w:color w:val="202A35"/>
                <w:sz w:val="16"/>
              </w:rPr>
              <w:t>12.6%</w:t>
            </w:r>
          </w:p>
        </w:tc>
      </w:tr>
    </w:tbl>
    <w:p>
      <w:pPr>
        <w:spacing w:after="20"/>
      </w:pPr>
    </w:p>
    <w:tbl>
      <w:tblPr>
        <w:tblW w:type="auto" w:w="0"/>
        <w:jc w:val="center"/>
        <w:tblLayout w:type="fixed"/>
        <w:tblLook w:firstColumn="1" w:firstRow="1" w:lastColumn="0" w:lastRow="0" w:noHBand="0" w:noVBand="1" w:val="04A0"/>
      </w:tblPr>
      <w:tblGrid>
        <w:gridCol w:w="4831"/>
        <w:gridCol w:w="4831"/>
      </w:tblGrid>
      <w:tr>
        <w:tc>
          <w:tcPr>
            <w:tcW w:type="dxa" w:w="4392"/>
            <w:tcMar>
              <w:top w:w="35" w:type="dxa"/>
              <w:start w:w="45" w:type="dxa"/>
              <w:bottom w:w="35" w:type="dxa"/>
              <w:end w:w="45" w:type="dxa"/>
            </w:tcMar>
            <w:tcBorders>
              <w:top w:val="nil"/>
              <w:left w:val="nil"/>
              <w:bottom w:val="nil"/>
              <w:right w:val="nil"/>
              <w:insideH w:val="nil"/>
              <w:insideV w:val="nil"/>
            </w:tcBorders>
          </w:tcPr>
          <w:p>
            <w:pPr>
              <w:spacing w:after="40"/>
              <w:jc w:val="center"/>
            </w:pPr>
            <w:r>
              <w:drawing>
                <wp:inline xmlns:a="http://schemas.openxmlformats.org/drawingml/2006/main" xmlns:pic="http://schemas.openxmlformats.org/drawingml/2006/picture">
                  <wp:extent cx="2697479" cy="1821103"/>
                  <wp:docPr id="6" name="Picture 6"/>
                  <wp:cNvGraphicFramePr>
                    <a:graphicFrameLocks noChangeAspect="1"/>
                  </wp:cNvGraphicFramePr>
                  <a:graphic>
                    <a:graphicData uri="http://schemas.openxmlformats.org/drawingml/2006/picture">
                      <pic:pic>
                        <pic:nvPicPr>
                          <pic:cNvPr id="0" name="week4_optimization_time_comparison.png"/>
                          <pic:cNvPicPr/>
                        </pic:nvPicPr>
                        <pic:blipFill>
                          <a:blip r:embed="rId16"/>
                          <a:stretch>
                            <a:fillRect/>
                          </a:stretch>
                        </pic:blipFill>
                        <pic:spPr>
                          <a:xfrm>
                            <a:off x="0" y="0"/>
                            <a:ext cx="2697479" cy="1821103"/>
                          </a:xfrm>
                          <a:prstGeom prst="rect"/>
                        </pic:spPr>
                      </pic:pic>
                    </a:graphicData>
                  </a:graphic>
                </wp:inline>
              </w:drawing>
            </w:r>
          </w:p>
          <w:p>
            <w:pPr>
              <w:spacing w:after="40"/>
              <w:jc w:val="center"/>
            </w:pPr>
            <w:r>
              <w:rPr>
                <w:rFonts w:ascii="Arial" w:hAnsi="Arial" w:eastAsia="Arial"/>
                <w:b w:val="0"/>
                <w:i/>
                <w:color w:val="5B6573"/>
                <w:sz w:val="15"/>
              </w:rPr>
              <w:t>Figure 6. Mean predicted time under current vs recommended vehicle choices.</w:t>
            </w:r>
          </w:p>
        </w:tc>
        <w:tc>
          <w:tcPr>
            <w:tcW w:type="dxa" w:w="4392"/>
            <w:tcMar>
              <w:top w:w="35" w:type="dxa"/>
              <w:start w:w="45" w:type="dxa"/>
              <w:bottom w:w="35" w:type="dxa"/>
              <w:end w:w="45" w:type="dxa"/>
            </w:tcMar>
            <w:tcBorders>
              <w:top w:val="nil"/>
              <w:left w:val="nil"/>
              <w:bottom w:val="nil"/>
              <w:right w:val="nil"/>
              <w:insideH w:val="nil"/>
              <w:insideV w:val="nil"/>
            </w:tcBorders>
          </w:tcPr>
          <w:p>
            <w:pPr>
              <w:spacing w:after="40"/>
              <w:jc w:val="center"/>
            </w:pPr>
            <w:r>
              <w:drawing>
                <wp:inline xmlns:a="http://schemas.openxmlformats.org/drawingml/2006/main" xmlns:pic="http://schemas.openxmlformats.org/drawingml/2006/picture">
                  <wp:extent cx="2697479" cy="1821103"/>
                  <wp:docPr id="7" name="Picture 7"/>
                  <wp:cNvGraphicFramePr>
                    <a:graphicFrameLocks noChangeAspect="1"/>
                  </wp:cNvGraphicFramePr>
                  <a:graphic>
                    <a:graphicData uri="http://schemas.openxmlformats.org/drawingml/2006/picture">
                      <pic:pic>
                        <pic:nvPicPr>
                          <pic:cNvPr id="0" name="week4_optimization_cost_comparison.png"/>
                          <pic:cNvPicPr/>
                        </pic:nvPicPr>
                        <pic:blipFill>
                          <a:blip r:embed="rId17"/>
                          <a:stretch>
                            <a:fillRect/>
                          </a:stretch>
                        </pic:blipFill>
                        <pic:spPr>
                          <a:xfrm>
                            <a:off x="0" y="0"/>
                            <a:ext cx="2697479" cy="1821103"/>
                          </a:xfrm>
                          <a:prstGeom prst="rect"/>
                        </pic:spPr>
                      </pic:pic>
                    </a:graphicData>
                  </a:graphic>
                </wp:inline>
              </w:drawing>
            </w:r>
          </w:p>
          <w:p>
            <w:pPr>
              <w:spacing w:after="40"/>
              <w:jc w:val="center"/>
            </w:pPr>
            <w:r>
              <w:rPr>
                <w:rFonts w:ascii="Arial" w:hAnsi="Arial" w:eastAsia="Arial"/>
                <w:b w:val="0"/>
                <w:i/>
                <w:color w:val="5B6573"/>
                <w:sz w:val="15"/>
              </w:rPr>
              <w:t>Figure 7. Mean estimated cost under current vs recommended choices.</w:t>
            </w:r>
          </w:p>
        </w:tc>
      </w:tr>
    </w:tbl>
    <w:p>
      <w:pPr>
        <w:spacing w:after="20"/>
      </w:pPr>
    </w:p>
    <w:p>
      <w:pPr>
        <w:spacing w:after="110" w:line="269" w:lineRule="auto"/>
      </w:pPr>
      <w:r>
        <w:rPr>
          <w:rFonts w:ascii="Arial" w:hAnsi="Arial" w:eastAsia="Arial"/>
          <w:b w:val="0"/>
          <w:i w:val="0"/>
          <w:color w:val="202A35"/>
          <w:sz w:val="18"/>
        </w:rPr>
        <w:t>In this synthetic test subset, cost decreases under the assumed rate card but mean predicted time increases slightly (around 0.052 hours). The composite objective improves because it values lower estimated cost more heavily under the chosen ₹85/hour trade-off. Decision-makers should review the cost-time trade-off, verify service constraints, and test different time values before considering any policy change.</w:t>
      </w:r>
    </w:p>
    <w:p>
      <w:r>
        <w:br w:type="page"/>
      </w:r>
    </w:p>
    <w:p>
      <w:pPr>
        <w:pStyle w:val="Heading1"/>
      </w:pPr>
      <w:r>
        <w:t>9. Recommendations for Logistics Operations</w:t>
      </w:r>
    </w:p>
    <w:p>
      <w:pPr>
        <w:spacing w:after="100" w:line="264" w:lineRule="auto"/>
      </w:pPr>
      <w:r>
        <w:rPr>
          <w:rFonts w:ascii="Arial" w:hAnsi="Arial" w:eastAsia="Arial"/>
          <w:b/>
          <w:i w:val="0"/>
          <w:color w:val="17365D"/>
          <w:sz w:val="19"/>
        </w:rPr>
        <w:t xml:space="preserve">Use forecasts for exception triage, not automatic promises. </w:t>
      </w:r>
      <w:r>
        <w:rPr>
          <w:rFonts w:ascii="Arial" w:hAnsi="Arial" w:eastAsia="Arial"/>
          <w:b w:val="0"/>
          <w:i w:val="0"/>
          <w:color w:val="202A35"/>
          <w:sz w:val="19"/>
        </w:rPr>
        <w:t>Prioritize shipments predicted above a validated service threshold for dispatcher review. Display estimates with confidence or error ranges once calibrated on real data.</w:t>
      </w:r>
    </w:p>
    <w:p>
      <w:pPr>
        <w:spacing w:after="100" w:line="264" w:lineRule="auto"/>
      </w:pPr>
      <w:r>
        <w:rPr>
          <w:rFonts w:ascii="Arial" w:hAnsi="Arial" w:eastAsia="Arial"/>
          <w:b/>
          <w:i w:val="0"/>
          <w:color w:val="17365D"/>
          <w:sz w:val="19"/>
        </w:rPr>
        <w:t xml:space="preserve">Add a service-aware objective. </w:t>
      </w:r>
      <w:r>
        <w:rPr>
          <w:rFonts w:ascii="Arial" w:hAnsi="Arial" w:eastAsia="Arial"/>
          <w:b w:val="0"/>
          <w:i w:val="0"/>
          <w:color w:val="202A35"/>
          <w:sz w:val="19"/>
        </w:rPr>
        <w:t>Set business-approved weights for transportation cost, late-delivery penalties, overtime, emissions, and service promises. Test alternative time values rather than assuming ₹85/hour is universal.</w:t>
      </w:r>
    </w:p>
    <w:p>
      <w:pPr>
        <w:spacing w:after="100" w:line="264" w:lineRule="auto"/>
      </w:pPr>
      <w:r>
        <w:rPr>
          <w:rFonts w:ascii="Arial" w:hAnsi="Arial" w:eastAsia="Arial"/>
          <w:b/>
          <w:i w:val="0"/>
          <w:color w:val="17365D"/>
          <w:sz w:val="19"/>
        </w:rPr>
        <w:t xml:space="preserve">Respect vehicle capacity and route feasibility. </w:t>
      </w:r>
      <w:r>
        <w:rPr>
          <w:rFonts w:ascii="Arial" w:hAnsi="Arial" w:eastAsia="Arial"/>
          <w:b w:val="0"/>
          <w:i w:val="0"/>
          <w:color w:val="202A35"/>
          <w:sz w:val="19"/>
        </w:rPr>
        <w:t>Before a recommendation is actionable, check payload, volume, vehicle availability, driver hours, depot allocation, customer time windows, road restrictions, and multi-stop routing.</w:t>
      </w:r>
    </w:p>
    <w:p>
      <w:pPr>
        <w:spacing w:after="100" w:line="264" w:lineRule="auto"/>
      </w:pPr>
      <w:r>
        <w:rPr>
          <w:rFonts w:ascii="Arial" w:hAnsi="Arial" w:eastAsia="Arial"/>
          <w:b/>
          <w:i w:val="0"/>
          <w:color w:val="17365D"/>
          <w:sz w:val="19"/>
        </w:rPr>
        <w:t xml:space="preserve">Move from independent assignments to fleet-level optimization. </w:t>
      </w:r>
      <w:r>
        <w:rPr>
          <w:rFonts w:ascii="Arial" w:hAnsi="Arial" w:eastAsia="Arial"/>
          <w:b w:val="0"/>
          <w:i w:val="0"/>
          <w:color w:val="202A35"/>
          <w:sz w:val="19"/>
        </w:rPr>
        <w:t>The current heuristic selects a vehicle separately for each shipment; it does not schedule an entire fleet. Google OR-Tools can model vehicle routing with capacities and time windows [4], after valid distance/time matrices and constraints are available.</w:t>
      </w:r>
    </w:p>
    <w:p>
      <w:pPr>
        <w:spacing w:after="100" w:line="264" w:lineRule="auto"/>
      </w:pPr>
      <w:r>
        <w:rPr>
          <w:rFonts w:ascii="Arial" w:hAnsi="Arial" w:eastAsia="Arial"/>
          <w:b/>
          <w:i w:val="0"/>
          <w:color w:val="17365D"/>
          <w:sz w:val="19"/>
        </w:rPr>
        <w:t xml:space="preserve">Establish a real-data pilot and monitoring loop. </w:t>
      </w:r>
      <w:r>
        <w:rPr>
          <w:rFonts w:ascii="Arial" w:hAnsi="Arial" w:eastAsia="Arial"/>
          <w:b w:val="0"/>
          <w:i w:val="0"/>
          <w:color w:val="202A35"/>
          <w:sz w:val="19"/>
        </w:rPr>
        <w:t>Use time-stamped dispatch snapshots, actual arrival events, promised times, route and traffic data. Validate chronologically, monitor MAE/RMSE and SLA exception rates by region/vehicle, and retrain only with documented evidence.</w:t>
      </w:r>
    </w:p>
    <w:p>
      <w:pPr>
        <w:pStyle w:val="Heading2"/>
      </w:pPr>
      <w:r>
        <w:t>Implementation roadmap</w:t>
      </w:r>
    </w:p>
    <w:tbl>
      <w:tblPr>
        <w:tblW w:type="auto" w:w="0"/>
        <w:jc w:val="center"/>
        <w:tblLayout w:type="fixed"/>
        <w:tblLook w:firstColumn="1" w:firstRow="1" w:lastColumn="0" w:lastRow="0" w:noHBand="0" w:noVBand="1" w:val="04A0"/>
      </w:tblPr>
      <w:tblGrid>
        <w:gridCol w:w="1440"/>
        <w:gridCol w:w="4320"/>
        <w:gridCol w:w="3312"/>
      </w:tblGrid>
      <w:tr>
        <w:trPr>
          <w:tblHeader w:val="true"/>
          <w:cantSplit/>
        </w:trPr>
        <w:tc>
          <w:tcPr>
            <w:tcW w:type="dxa" w:w="1440"/>
            <w:vAlign w:val="center"/>
            <w:shd w:fill="17365D"/>
            <w:tcMar>
              <w:top w:w="90" w:type="dxa"/>
              <w:start w:w="110" w:type="dxa"/>
              <w:bottom w:w="90" w:type="dxa"/>
              <w:end w:w="110" w:type="dxa"/>
            </w:tcMar>
            <w:tcBorders>
              <w:bottom w:val="single" w:sz="8" w:color="17365D"/>
            </w:tcBorders>
          </w:tcPr>
          <w:p>
            <w:pPr>
              <w:spacing w:after="0" w:line="240" w:lineRule="auto"/>
            </w:pPr>
            <w:r>
              <w:rPr>
                <w:rFonts w:ascii="Arial" w:hAnsi="Arial" w:eastAsia="Arial"/>
                <w:b/>
                <w:i w:val="0"/>
                <w:color w:val="FFFFFF"/>
                <w:sz w:val="15"/>
              </w:rPr>
              <w:t>Stage</w:t>
            </w:r>
          </w:p>
        </w:tc>
        <w:tc>
          <w:tcPr>
            <w:tcW w:type="dxa" w:w="4320"/>
            <w:vAlign w:val="center"/>
            <w:shd w:fill="17365D"/>
            <w:tcMar>
              <w:top w:w="90" w:type="dxa"/>
              <w:start w:w="110" w:type="dxa"/>
              <w:bottom w:w="90" w:type="dxa"/>
              <w:end w:w="110" w:type="dxa"/>
            </w:tcMar>
            <w:tcBorders>
              <w:bottom w:val="single" w:sz="8" w:color="17365D"/>
            </w:tcBorders>
          </w:tcPr>
          <w:p>
            <w:pPr>
              <w:spacing w:after="0" w:line="240" w:lineRule="auto"/>
            </w:pPr>
            <w:r>
              <w:rPr>
                <w:rFonts w:ascii="Arial" w:hAnsi="Arial" w:eastAsia="Arial"/>
                <w:b/>
                <w:i w:val="0"/>
                <w:color w:val="FFFFFF"/>
                <w:sz w:val="15"/>
              </w:rPr>
              <w:t>Action</w:t>
            </w:r>
          </w:p>
        </w:tc>
        <w:tc>
          <w:tcPr>
            <w:tcW w:type="dxa" w:w="3312"/>
            <w:vAlign w:val="center"/>
            <w:shd w:fill="17365D"/>
            <w:tcMar>
              <w:top w:w="90" w:type="dxa"/>
              <w:start w:w="110" w:type="dxa"/>
              <w:bottom w:w="90" w:type="dxa"/>
              <w:end w:w="110" w:type="dxa"/>
            </w:tcMar>
            <w:tcBorders>
              <w:bottom w:val="single" w:sz="8" w:color="17365D"/>
            </w:tcBorders>
          </w:tcPr>
          <w:p>
            <w:pPr>
              <w:spacing w:after="0" w:line="240" w:lineRule="auto"/>
            </w:pPr>
            <w:r>
              <w:rPr>
                <w:rFonts w:ascii="Arial" w:hAnsi="Arial" w:eastAsia="Arial"/>
                <w:b/>
                <w:i w:val="0"/>
                <w:color w:val="FFFFFF"/>
                <w:sz w:val="15"/>
              </w:rPr>
              <w:t>Gate to proceed</w:t>
            </w:r>
          </w:p>
        </w:tc>
      </w:tr>
      <w:tr>
        <w:trPr>
          <w:cantSplit/>
        </w:trPr>
        <w:tc>
          <w:tcPr>
            <w:tcW w:type="dxa" w:w="1440"/>
            <w:vAlign w:val="center"/>
            <w:tcMar>
              <w:top w:w="72" w:type="dxa"/>
              <w:start w:w="95" w:type="dxa"/>
              <w:bottom w:w="72" w:type="dxa"/>
              <w:end w:w="95" w:type="dxa"/>
            </w:tcMar>
            <w:tcBorders>
              <w:bottom w:val="single" w:sz="3" w:color="D9E1F2"/>
            </w:tcBorders>
          </w:tcPr>
          <w:p>
            <w:pPr>
              <w:spacing w:after="0" w:line="245" w:lineRule="auto"/>
            </w:pPr>
            <w:r>
              <w:rPr>
                <w:rFonts w:ascii="Arial" w:hAnsi="Arial" w:eastAsia="Arial"/>
                <w:b w:val="0"/>
                <w:i w:val="0"/>
                <w:color w:val="202A35"/>
                <w:sz w:val="15"/>
              </w:rPr>
              <w:t>1. Define</w:t>
            </w:r>
          </w:p>
        </w:tc>
        <w:tc>
          <w:tcPr>
            <w:tcW w:type="dxa" w:w="4320"/>
            <w:vAlign w:val="center"/>
            <w:tcMar>
              <w:top w:w="72" w:type="dxa"/>
              <w:start w:w="95" w:type="dxa"/>
              <w:bottom w:w="72" w:type="dxa"/>
              <w:end w:w="95" w:type="dxa"/>
            </w:tcMar>
            <w:tcBorders>
              <w:bottom w:val="single" w:sz="3" w:color="D9E1F2"/>
            </w:tcBorders>
          </w:tcPr>
          <w:p>
            <w:pPr>
              <w:spacing w:after="0" w:line="245" w:lineRule="auto"/>
            </w:pPr>
            <w:r>
              <w:rPr>
                <w:rFonts w:ascii="Arial" w:hAnsi="Arial" w:eastAsia="Arial"/>
                <w:b w:val="0"/>
                <w:i w:val="0"/>
                <w:color w:val="202A35"/>
                <w:sz w:val="15"/>
              </w:rPr>
              <w:t>Confirm SLA definition, decision users, feature availability time, and cost/service objective.</w:t>
            </w:r>
          </w:p>
        </w:tc>
        <w:tc>
          <w:tcPr>
            <w:tcW w:type="dxa" w:w="3312"/>
            <w:vAlign w:val="center"/>
            <w:tcMar>
              <w:top w:w="72" w:type="dxa"/>
              <w:start w:w="95" w:type="dxa"/>
              <w:bottom w:w="72" w:type="dxa"/>
              <w:end w:w="95" w:type="dxa"/>
            </w:tcMar>
            <w:tcBorders>
              <w:bottom w:val="single" w:sz="3" w:color="D9E1F2"/>
            </w:tcBorders>
          </w:tcPr>
          <w:p>
            <w:pPr>
              <w:spacing w:after="0" w:line="245" w:lineRule="auto"/>
            </w:pPr>
            <w:r>
              <w:rPr>
                <w:rFonts w:ascii="Arial" w:hAnsi="Arial" w:eastAsia="Arial"/>
                <w:b w:val="0"/>
                <w:i w:val="0"/>
                <w:color w:val="202A35"/>
                <w:sz w:val="15"/>
              </w:rPr>
              <w:t>Business owner approves definitions and constraints.</w:t>
            </w:r>
          </w:p>
        </w:tc>
      </w:tr>
      <w:tr>
        <w:trPr>
          <w:cantSplit/>
        </w:trPr>
        <w:tc>
          <w:tcPr>
            <w:tcW w:type="dxa" w:w="1440"/>
            <w:vAlign w:val="center"/>
            <w:tcMar>
              <w:top w:w="72" w:type="dxa"/>
              <w:start w:w="95" w:type="dxa"/>
              <w:bottom w:w="72" w:type="dxa"/>
              <w:end w:w="95" w:type="dxa"/>
            </w:tcMar>
            <w:shd w:fill="F4F6F8"/>
            <w:tcBorders>
              <w:bottom w:val="single" w:sz="3" w:color="D9E1F2"/>
            </w:tcBorders>
          </w:tcPr>
          <w:p>
            <w:pPr>
              <w:spacing w:after="0" w:line="245" w:lineRule="auto"/>
            </w:pPr>
            <w:r>
              <w:rPr>
                <w:rFonts w:ascii="Arial" w:hAnsi="Arial" w:eastAsia="Arial"/>
                <w:b w:val="0"/>
                <w:i w:val="0"/>
                <w:color w:val="202A35"/>
                <w:sz w:val="15"/>
              </w:rPr>
              <w:t>2. Data readiness</w:t>
            </w:r>
          </w:p>
        </w:tc>
        <w:tc>
          <w:tcPr>
            <w:tcW w:type="dxa" w:w="4320"/>
            <w:vAlign w:val="center"/>
            <w:tcMar>
              <w:top w:w="72" w:type="dxa"/>
              <w:start w:w="95" w:type="dxa"/>
              <w:bottom w:w="72" w:type="dxa"/>
              <w:end w:w="95" w:type="dxa"/>
            </w:tcMar>
            <w:shd w:fill="F4F6F8"/>
            <w:tcBorders>
              <w:bottom w:val="single" w:sz="3" w:color="D9E1F2"/>
            </w:tcBorders>
          </w:tcPr>
          <w:p>
            <w:pPr>
              <w:spacing w:after="0" w:line="245" w:lineRule="auto"/>
            </w:pPr>
            <w:r>
              <w:rPr>
                <w:rFonts w:ascii="Arial" w:hAnsi="Arial" w:eastAsia="Arial"/>
                <w:b w:val="0"/>
                <w:i w:val="0"/>
                <w:color w:val="202A35"/>
                <w:sz w:val="15"/>
              </w:rPr>
              <w:t>Collect appropriate dispatch snapshots, actual delivery events, costs, and route context; audit leakage and missingness.</w:t>
            </w:r>
          </w:p>
        </w:tc>
        <w:tc>
          <w:tcPr>
            <w:tcW w:type="dxa" w:w="3312"/>
            <w:vAlign w:val="center"/>
            <w:tcMar>
              <w:top w:w="72" w:type="dxa"/>
              <w:start w:w="95" w:type="dxa"/>
              <w:bottom w:w="72" w:type="dxa"/>
              <w:end w:w="95" w:type="dxa"/>
            </w:tcMar>
            <w:shd w:fill="F4F6F8"/>
            <w:tcBorders>
              <w:bottom w:val="single" w:sz="3" w:color="D9E1F2"/>
            </w:tcBorders>
          </w:tcPr>
          <w:p>
            <w:pPr>
              <w:spacing w:after="0" w:line="245" w:lineRule="auto"/>
            </w:pPr>
            <w:r>
              <w:rPr>
                <w:rFonts w:ascii="Arial" w:hAnsi="Arial" w:eastAsia="Arial"/>
                <w:b w:val="0"/>
                <w:i w:val="0"/>
                <w:color w:val="202A35"/>
                <w:sz w:val="15"/>
              </w:rPr>
              <w:t>Data quality and temporal alignment documented.</w:t>
            </w:r>
          </w:p>
        </w:tc>
      </w:tr>
      <w:tr>
        <w:trPr>
          <w:cantSplit/>
        </w:trPr>
        <w:tc>
          <w:tcPr>
            <w:tcW w:type="dxa" w:w="1440"/>
            <w:vAlign w:val="center"/>
            <w:tcMar>
              <w:top w:w="72" w:type="dxa"/>
              <w:start w:w="95" w:type="dxa"/>
              <w:bottom w:w="72" w:type="dxa"/>
              <w:end w:w="95" w:type="dxa"/>
            </w:tcMar>
            <w:tcBorders>
              <w:bottom w:val="single" w:sz="3" w:color="D9E1F2"/>
            </w:tcBorders>
          </w:tcPr>
          <w:p>
            <w:pPr>
              <w:spacing w:after="0" w:line="245" w:lineRule="auto"/>
            </w:pPr>
            <w:r>
              <w:rPr>
                <w:rFonts w:ascii="Arial" w:hAnsi="Arial" w:eastAsia="Arial"/>
                <w:b w:val="0"/>
                <w:i w:val="0"/>
                <w:color w:val="202A35"/>
                <w:sz w:val="15"/>
              </w:rPr>
              <w:t>3. Validate</w:t>
            </w:r>
          </w:p>
        </w:tc>
        <w:tc>
          <w:tcPr>
            <w:tcW w:type="dxa" w:w="4320"/>
            <w:vAlign w:val="center"/>
            <w:tcMar>
              <w:top w:w="72" w:type="dxa"/>
              <w:start w:w="95" w:type="dxa"/>
              <w:bottom w:w="72" w:type="dxa"/>
              <w:end w:w="95" w:type="dxa"/>
            </w:tcMar>
            <w:tcBorders>
              <w:bottom w:val="single" w:sz="3" w:color="D9E1F2"/>
            </w:tcBorders>
          </w:tcPr>
          <w:p>
            <w:pPr>
              <w:spacing w:after="0" w:line="245" w:lineRule="auto"/>
            </w:pPr>
            <w:r>
              <w:rPr>
                <w:rFonts w:ascii="Arial" w:hAnsi="Arial" w:eastAsia="Arial"/>
                <w:b w:val="0"/>
                <w:i w:val="0"/>
                <w:color w:val="202A35"/>
                <w:sz w:val="15"/>
              </w:rPr>
              <w:t>Compare baseline and candidate models using chronological holdout and route/region diagnostics.</w:t>
            </w:r>
          </w:p>
        </w:tc>
        <w:tc>
          <w:tcPr>
            <w:tcW w:type="dxa" w:w="3312"/>
            <w:vAlign w:val="center"/>
            <w:tcMar>
              <w:top w:w="72" w:type="dxa"/>
              <w:start w:w="95" w:type="dxa"/>
              <w:bottom w:w="72" w:type="dxa"/>
              <w:end w:w="95" w:type="dxa"/>
            </w:tcMar>
            <w:tcBorders>
              <w:bottom w:val="single" w:sz="3" w:color="D9E1F2"/>
            </w:tcBorders>
          </w:tcPr>
          <w:p>
            <w:pPr>
              <w:spacing w:after="0" w:line="245" w:lineRule="auto"/>
            </w:pPr>
            <w:r>
              <w:rPr>
                <w:rFonts w:ascii="Arial" w:hAnsi="Arial" w:eastAsia="Arial"/>
                <w:b w:val="0"/>
                <w:i w:val="0"/>
                <w:color w:val="202A35"/>
                <w:sz w:val="15"/>
              </w:rPr>
              <w:t>Errors meet an agreed business tolerance.</w:t>
            </w:r>
          </w:p>
        </w:tc>
      </w:tr>
      <w:tr>
        <w:trPr>
          <w:cantSplit/>
        </w:trPr>
        <w:tc>
          <w:tcPr>
            <w:tcW w:type="dxa" w:w="1440"/>
            <w:vAlign w:val="center"/>
            <w:tcMar>
              <w:top w:w="72" w:type="dxa"/>
              <w:start w:w="95" w:type="dxa"/>
              <w:bottom w:w="72" w:type="dxa"/>
              <w:end w:w="95" w:type="dxa"/>
            </w:tcMar>
            <w:shd w:fill="F4F6F8"/>
            <w:tcBorders>
              <w:bottom w:val="single" w:sz="3" w:color="D9E1F2"/>
            </w:tcBorders>
          </w:tcPr>
          <w:p>
            <w:pPr>
              <w:spacing w:after="0" w:line="245" w:lineRule="auto"/>
            </w:pPr>
            <w:r>
              <w:rPr>
                <w:rFonts w:ascii="Arial" w:hAnsi="Arial" w:eastAsia="Arial"/>
                <w:b w:val="0"/>
                <w:i w:val="0"/>
                <w:color w:val="202A35"/>
                <w:sz w:val="15"/>
              </w:rPr>
              <w:t>4. Shadow pilot</w:t>
            </w:r>
          </w:p>
        </w:tc>
        <w:tc>
          <w:tcPr>
            <w:tcW w:type="dxa" w:w="4320"/>
            <w:vAlign w:val="center"/>
            <w:tcMar>
              <w:top w:w="72" w:type="dxa"/>
              <w:start w:w="95" w:type="dxa"/>
              <w:bottom w:w="72" w:type="dxa"/>
              <w:end w:w="95" w:type="dxa"/>
            </w:tcMar>
            <w:shd w:fill="F4F6F8"/>
            <w:tcBorders>
              <w:bottom w:val="single" w:sz="3" w:color="D9E1F2"/>
            </w:tcBorders>
          </w:tcPr>
          <w:p>
            <w:pPr>
              <w:spacing w:after="0" w:line="245" w:lineRule="auto"/>
            </w:pPr>
            <w:r>
              <w:rPr>
                <w:rFonts w:ascii="Arial" w:hAnsi="Arial" w:eastAsia="Arial"/>
                <w:b w:val="0"/>
                <w:i w:val="0"/>
                <w:color w:val="202A35"/>
                <w:sz w:val="15"/>
              </w:rPr>
              <w:t>Generate recommendations without changing dispatch; compare with actual outcomes and planner judgement.</w:t>
            </w:r>
          </w:p>
        </w:tc>
        <w:tc>
          <w:tcPr>
            <w:tcW w:type="dxa" w:w="3312"/>
            <w:vAlign w:val="center"/>
            <w:tcMar>
              <w:top w:w="72" w:type="dxa"/>
              <w:start w:w="95" w:type="dxa"/>
              <w:bottom w:w="72" w:type="dxa"/>
              <w:end w:w="95" w:type="dxa"/>
            </w:tcMar>
            <w:shd w:fill="F4F6F8"/>
            <w:tcBorders>
              <w:bottom w:val="single" w:sz="3" w:color="D9E1F2"/>
            </w:tcBorders>
          </w:tcPr>
          <w:p>
            <w:pPr>
              <w:spacing w:after="0" w:line="245" w:lineRule="auto"/>
            </w:pPr>
            <w:r>
              <w:rPr>
                <w:rFonts w:ascii="Arial" w:hAnsi="Arial" w:eastAsia="Arial"/>
                <w:b w:val="0"/>
                <w:i w:val="0"/>
                <w:color w:val="202A35"/>
                <w:sz w:val="15"/>
              </w:rPr>
              <w:t>Safety, feasibility and service impact reviewed.</w:t>
            </w:r>
          </w:p>
        </w:tc>
      </w:tr>
      <w:tr>
        <w:trPr>
          <w:cantSplit/>
        </w:trPr>
        <w:tc>
          <w:tcPr>
            <w:tcW w:type="dxa" w:w="1440"/>
            <w:vAlign w:val="center"/>
            <w:tcMar>
              <w:top w:w="72" w:type="dxa"/>
              <w:start w:w="95" w:type="dxa"/>
              <w:bottom w:w="72" w:type="dxa"/>
              <w:end w:w="95" w:type="dxa"/>
            </w:tcMar>
            <w:tcBorders>
              <w:bottom w:val="single" w:sz="3" w:color="D9E1F2"/>
            </w:tcBorders>
          </w:tcPr>
          <w:p>
            <w:pPr>
              <w:spacing w:after="0" w:line="245" w:lineRule="auto"/>
            </w:pPr>
            <w:r>
              <w:rPr>
                <w:rFonts w:ascii="Arial" w:hAnsi="Arial" w:eastAsia="Arial"/>
                <w:b w:val="0"/>
                <w:i w:val="0"/>
                <w:color w:val="202A35"/>
                <w:sz w:val="15"/>
              </w:rPr>
              <w:t>5. Controlled pilot</w:t>
            </w:r>
          </w:p>
        </w:tc>
        <w:tc>
          <w:tcPr>
            <w:tcW w:type="dxa" w:w="4320"/>
            <w:vAlign w:val="center"/>
            <w:tcMar>
              <w:top w:w="72" w:type="dxa"/>
              <w:start w:w="95" w:type="dxa"/>
              <w:bottom w:w="72" w:type="dxa"/>
              <w:end w:w="95" w:type="dxa"/>
            </w:tcMar>
            <w:tcBorders>
              <w:bottom w:val="single" w:sz="3" w:color="D9E1F2"/>
            </w:tcBorders>
          </w:tcPr>
          <w:p>
            <w:pPr>
              <w:spacing w:after="0" w:line="245" w:lineRule="auto"/>
            </w:pPr>
            <w:r>
              <w:rPr>
                <w:rFonts w:ascii="Arial" w:hAnsi="Arial" w:eastAsia="Arial"/>
                <w:b w:val="0"/>
                <w:i w:val="0"/>
                <w:color w:val="202A35"/>
                <w:sz w:val="15"/>
              </w:rPr>
              <w:t>Test a limited deployment with human review and rollback criteria.</w:t>
            </w:r>
          </w:p>
        </w:tc>
        <w:tc>
          <w:tcPr>
            <w:tcW w:type="dxa" w:w="3312"/>
            <w:vAlign w:val="center"/>
            <w:tcMar>
              <w:top w:w="72" w:type="dxa"/>
              <w:start w:w="95" w:type="dxa"/>
              <w:bottom w:w="72" w:type="dxa"/>
              <w:end w:w="95" w:type="dxa"/>
            </w:tcMar>
            <w:tcBorders>
              <w:bottom w:val="single" w:sz="3" w:color="D9E1F2"/>
            </w:tcBorders>
          </w:tcPr>
          <w:p>
            <w:pPr>
              <w:spacing w:after="0" w:line="245" w:lineRule="auto"/>
            </w:pPr>
            <w:r>
              <w:rPr>
                <w:rFonts w:ascii="Arial" w:hAnsi="Arial" w:eastAsia="Arial"/>
                <w:b w:val="0"/>
                <w:i w:val="0"/>
                <w:color w:val="202A35"/>
                <w:sz w:val="15"/>
              </w:rPr>
              <w:t>Measured operational benefit demonstrated before scale-up.</w:t>
            </w:r>
          </w:p>
        </w:tc>
      </w:tr>
    </w:tbl>
    <w:p>
      <w:pPr>
        <w:spacing w:after="20"/>
      </w:pPr>
    </w:p>
    <w:p>
      <w:pPr>
        <w:pStyle w:val="Heading1"/>
      </w:pPr>
      <w:r>
        <w:t>10. Limitations and Responsible Use</w:t>
      </w:r>
    </w:p>
    <w:p>
      <w:pPr>
        <w:pStyle w:val="ListBullet"/>
        <w:spacing w:after="60" w:line="259" w:lineRule="auto"/>
        <w:ind w:left="317" w:hanging="173"/>
      </w:pPr>
      <w:r>
        <w:rPr>
          <w:rFonts w:ascii="Arial" w:hAnsi="Arial" w:eastAsia="Arial"/>
          <w:b w:val="0"/>
          <w:i w:val="0"/>
          <w:color w:val="202A35"/>
          <w:sz w:val="19"/>
        </w:rPr>
        <w:t>All 1,200 shipment records, weather/traffic indicators, delivery times, vehicle assignments, cost rates, and scenario outputs are synthetic. There are no real customer or courier records.</w:t>
      </w:r>
    </w:p>
    <w:p>
      <w:pPr>
        <w:pStyle w:val="ListBullet"/>
        <w:spacing w:after="60" w:line="259" w:lineRule="auto"/>
        <w:ind w:left="317" w:hanging="173"/>
      </w:pPr>
      <w:r>
        <w:rPr>
          <w:rFonts w:ascii="Arial" w:hAnsi="Arial" w:eastAsia="Arial"/>
          <w:b w:val="0"/>
          <w:i w:val="0"/>
          <w:color w:val="202A35"/>
          <w:sz w:val="19"/>
        </w:rPr>
        <w:t>The target is generated from a known formula, so high holdout performance is a demonstration of recovering simulated relationships; it is not independent evidence of real-world utility.</w:t>
      </w:r>
    </w:p>
    <w:p>
      <w:pPr>
        <w:pStyle w:val="ListBullet"/>
        <w:spacing w:after="60" w:line="259" w:lineRule="auto"/>
        <w:ind w:left="317" w:hanging="173"/>
      </w:pPr>
      <w:r>
        <w:rPr>
          <w:rFonts w:ascii="Arial" w:hAnsi="Arial" w:eastAsia="Arial"/>
          <w:b w:val="0"/>
          <w:i w:val="0"/>
          <w:color w:val="202A35"/>
          <w:sz w:val="19"/>
        </w:rPr>
        <w:t>Random train/test splitting is used for this randomly generated, cross-sectional teaching exercise. Real dispatch data usually require chronological or rolling validation to control time leakage and drift.</w:t>
      </w:r>
    </w:p>
    <w:p>
      <w:pPr>
        <w:pStyle w:val="ListBullet"/>
        <w:spacing w:after="60" w:line="259" w:lineRule="auto"/>
        <w:ind w:left="317" w:hanging="173"/>
      </w:pPr>
      <w:r>
        <w:rPr>
          <w:rFonts w:ascii="Arial" w:hAnsi="Arial" w:eastAsia="Arial"/>
          <w:b w:val="0"/>
          <w:i w:val="0"/>
          <w:color w:val="202A35"/>
          <w:sz w:val="19"/>
        </w:rPr>
        <w:t>The vehicle what-if uses simplified capacity limits, a fixed rate card, and an independent per-shipment score. It is not a route sequence optimizer, does not model shared fleet resources, and has no measured savings guarantee.</w:t>
      </w:r>
    </w:p>
    <w:p>
      <w:pPr>
        <w:pStyle w:val="ListBullet"/>
        <w:spacing w:after="60" w:line="259" w:lineRule="auto"/>
        <w:ind w:left="317" w:hanging="173"/>
      </w:pPr>
      <w:r>
        <w:rPr>
          <w:rFonts w:ascii="Arial" w:hAnsi="Arial" w:eastAsia="Arial"/>
          <w:b w:val="0"/>
          <w:i w:val="0"/>
          <w:color w:val="202A35"/>
          <w:sz w:val="19"/>
        </w:rPr>
        <w:t>A regression estimate above 12 hours is a rule-based exception flag, not a calibrated delay probability. It should not be presented as a service guarantee.</w:t>
      </w:r>
    </w:p>
    <w:p>
      <w:r>
        <w:br w:type="page"/>
      </w:r>
    </w:p>
    <w:p>
      <w:pPr>
        <w:pStyle w:val="Heading1"/>
      </w:pPr>
      <w:r>
        <w:t>11. Reproducibility and Code Structure</w:t>
      </w:r>
    </w:p>
    <w:p>
      <w:pPr>
        <w:spacing w:after="110" w:line="269" w:lineRule="auto"/>
      </w:pPr>
      <w:r>
        <w:rPr>
          <w:rFonts w:ascii="Arial" w:hAnsi="Arial" w:eastAsia="Arial"/>
          <w:b w:val="0"/>
          <w:i w:val="0"/>
          <w:color w:val="202A35"/>
          <w:sz w:val="20"/>
        </w:rPr>
        <w:t>Run commands from the repository root in a Python 3.10+ environment. The dependency list is in requirements.txt. The script uses a fixed random seed for repeatability; package versions can still affect small numerical differences, so preserve the environment for exact reproduction.</w:t>
      </w:r>
    </w:p>
    <w:p>
      <w:pPr>
        <w:spacing w:before="40" w:after="140"/>
        <w:ind w:left="317" w:right="216"/>
        <w:shd w:fill="F3F5F7"/>
      </w:pPr>
      <w:r>
        <w:rPr>
          <w:rFonts w:ascii="Consolas" w:hAnsi="Consolas" w:eastAsia="Consolas"/>
          <w:b w:val="0"/>
          <w:i w:val="0"/>
          <w:color w:val="17365D"/>
          <w:sz w:val="17"/>
        </w:rPr>
        <w:t>pip install -r requirements.txt</w:t>
      </w:r>
      <w:r>
        <w:br/>
      </w:r>
      <w:r>
        <w:rPr>
          <w:rFonts w:ascii="Consolas" w:hAnsi="Consolas" w:eastAsia="Consolas"/>
          <w:b w:val="0"/>
          <w:i w:val="0"/>
          <w:color w:val="17365D"/>
          <w:sz w:val="17"/>
        </w:rPr>
        <w:t>python src/generate_week4_hypothetical_data.py</w:t>
      </w:r>
      <w:r>
        <w:br/>
      </w:r>
      <w:r>
        <w:rPr>
          <w:rFonts w:ascii="Consolas" w:hAnsi="Consolas" w:eastAsia="Consolas"/>
          <w:b w:val="0"/>
          <w:i w:val="0"/>
          <w:color w:val="17365D"/>
          <w:sz w:val="17"/>
        </w:rPr>
        <w:t>python src/train_evaluate_optimize.py</w:t>
      </w:r>
      <w:r>
        <w:br/>
      </w:r>
      <w:r>
        <w:rPr>
          <w:rFonts w:ascii="Consolas" w:hAnsi="Consolas" w:eastAsia="Consolas"/>
          <w:b w:val="0"/>
          <w:i w:val="0"/>
          <w:color w:val="17365D"/>
          <w:sz w:val="17"/>
        </w:rPr>
        <w:t>python tests/test_week4_modeling.py</w:t>
      </w:r>
      <w:r>
        <w:br/>
      </w:r>
      <w:r>
        <w:rPr>
          <w:rFonts w:ascii="Consolas" w:hAnsi="Consolas" w:eastAsia="Consolas"/>
          <w:b w:val="0"/>
          <w:i w:val="0"/>
          <w:color w:val="17365D"/>
          <w:sz w:val="17"/>
        </w:rPr>
        <w:t>python src/build_week4_report.py</w:t>
      </w:r>
    </w:p>
    <w:p>
      <w:pPr>
        <w:pStyle w:val="Heading2"/>
      </w:pPr>
      <w:r>
        <w:t>Core model-selection example</w:t>
      </w:r>
    </w:p>
    <w:p>
      <w:pPr>
        <w:spacing w:after="120"/>
        <w:ind w:left="317" w:right="216"/>
        <w:shd w:fill="F3F5F7"/>
      </w:pPr>
      <w:r>
        <w:rPr>
          <w:rFonts w:ascii="Consolas" w:hAnsi="Consolas" w:eastAsia="Consolas"/>
          <w:b w:val="0"/>
          <w:i w:val="0"/>
          <w:color w:val="17365D"/>
          <w:sz w:val="16"/>
        </w:rPr>
        <w:t>cv = KFold(n_splits=5, shuffle=True, random_state=20261016)</w:t>
      </w:r>
      <w:r>
        <w:br/>
      </w:r>
      <w:r>
        <w:rPr>
          <w:rFonts w:ascii="Consolas" w:hAnsi="Consolas" w:eastAsia="Consolas"/>
          <w:b w:val="0"/>
          <w:i w:val="0"/>
          <w:color w:val="17365D"/>
          <w:sz w:val="16"/>
        </w:rPr>
        <w:t>mae = -cross_val_score(</w:t>
      </w:r>
      <w:r>
        <w:br/>
      </w:r>
      <w:r>
        <w:rPr>
          <w:rFonts w:ascii="Consolas" w:hAnsi="Consolas" w:eastAsia="Consolas"/>
          <w:b w:val="0"/>
          <w:i w:val="0"/>
          <w:color w:val="17365D"/>
          <w:sz w:val="16"/>
        </w:rPr>
        <w:t xml:space="preserve">    pipeline, X_train, y_train, cv=cv,</w:t>
      </w:r>
      <w:r>
        <w:br/>
      </w:r>
      <w:r>
        <w:rPr>
          <w:rFonts w:ascii="Consolas" w:hAnsi="Consolas" w:eastAsia="Consolas"/>
          <w:b w:val="0"/>
          <w:i w:val="0"/>
          <w:color w:val="17365D"/>
          <w:sz w:val="16"/>
        </w:rPr>
        <w:t xml:space="preserve">    scoring="neg_mean_absolute_error"</w:t>
      </w:r>
      <w:r>
        <w:br/>
      </w:r>
      <w:r>
        <w:rPr>
          <w:rFonts w:ascii="Consolas" w:hAnsi="Consolas" w:eastAsia="Consolas"/>
          <w:b w:val="0"/>
          <w:i w:val="0"/>
          <w:color w:val="17365D"/>
          <w:sz w:val="16"/>
        </w:rPr>
        <w:t>)</w:t>
      </w:r>
      <w:r>
        <w:br/>
      </w:r>
      <w:r>
        <w:rPr>
          <w:rFonts w:ascii="Consolas" w:hAnsi="Consolas" w:eastAsia="Consolas"/>
          <w:b w:val="0"/>
          <w:i w:val="0"/>
          <w:color w:val="17365D"/>
          <w:sz w:val="16"/>
        </w:rPr>
        <w:t># Select using training CV MAE; assess once on held-out test data.</w:t>
      </w:r>
      <w:r>
        <w:br/>
      </w:r>
      <w:r>
        <w:rPr>
          <w:rFonts w:ascii="Consolas" w:hAnsi="Consolas" w:eastAsia="Consolas"/>
          <w:b w:val="0"/>
          <w:i w:val="0"/>
          <w:color w:val="17365D"/>
          <w:sz w:val="16"/>
        </w:rPr>
        <w:t>model.fit(X_train, y_train)</w:t>
      </w:r>
      <w:r>
        <w:br/>
      </w:r>
      <w:r>
        <w:rPr>
          <w:rFonts w:ascii="Consolas" w:hAnsi="Consolas" w:eastAsia="Consolas"/>
          <w:b w:val="0"/>
          <w:i w:val="0"/>
          <w:color w:val="17365D"/>
          <w:sz w:val="16"/>
        </w:rPr>
        <w:t>pred = model.predict(X_test)</w:t>
      </w:r>
    </w:p>
    <w:p>
      <w:pPr>
        <w:spacing w:after="110" w:line="269" w:lineRule="auto"/>
      </w:pPr>
      <w:r>
        <w:rPr>
          <w:rFonts w:ascii="Arial" w:hAnsi="Arial" w:eastAsia="Arial"/>
          <w:b w:val="0"/>
          <w:i w:val="0"/>
          <w:color w:val="202A35"/>
          <w:sz w:val="18"/>
        </w:rPr>
        <w:t>Repository files include the synthetic data generator, model-training/evaluation/optimization script, model metrics, CV results, hyperparameter search output, feature diagnostics, holdout predictions, what-if vehicle recommendations, figure files, and automated integrity tests.</w:t>
      </w:r>
    </w:p>
    <w:p>
      <w:pPr>
        <w:pStyle w:val="Heading1"/>
      </w:pPr>
      <w:r>
        <w:t>References</w:t>
      </w:r>
    </w:p>
    <w:p>
      <w:pPr>
        <w:spacing w:after="100"/>
        <w:ind w:left="317" w:hanging="317"/>
      </w:pPr>
      <w:r>
        <w:rPr>
          <w:rFonts w:ascii="Arial" w:hAnsi="Arial" w:eastAsia="Arial"/>
          <w:b w:val="0"/>
          <w:i w:val="0"/>
          <w:color w:val="202A35"/>
          <w:sz w:val="17"/>
        </w:rPr>
        <w:t>[1] Scikit-learn developers. Model evaluation: quantifying the quality of predictions. https://scikit-learn.org/stable/modules/model_evaluation.html</w:t>
      </w:r>
    </w:p>
    <w:p>
      <w:pPr>
        <w:spacing w:after="100"/>
        <w:ind w:left="317" w:hanging="317"/>
      </w:pPr>
      <w:r>
        <w:rPr>
          <w:rFonts w:ascii="Arial" w:hAnsi="Arial" w:eastAsia="Arial"/>
          <w:b w:val="0"/>
          <w:i w:val="0"/>
          <w:color w:val="202A35"/>
          <w:sz w:val="17"/>
        </w:rPr>
        <w:t>[2] Scikit-learn developers. LinearRegression API documentation. https://scikit-learn.org/stable/modules/generated/sklearn.linear_model.LinearRegression.html</w:t>
      </w:r>
    </w:p>
    <w:p>
      <w:pPr>
        <w:spacing w:after="100"/>
        <w:ind w:left="317" w:hanging="317"/>
      </w:pPr>
      <w:r>
        <w:rPr>
          <w:rFonts w:ascii="Arial" w:hAnsi="Arial" w:eastAsia="Arial"/>
          <w:b w:val="0"/>
          <w:i w:val="0"/>
          <w:color w:val="202A35"/>
          <w:sz w:val="17"/>
        </w:rPr>
        <w:t>[3] Scikit-learn developers. RandomForestRegressor API documentation. https://scikit-learn.org/stable/modules/generated/sklearn.ensemble.RandomForestRegressor.html</w:t>
      </w:r>
    </w:p>
    <w:p>
      <w:pPr>
        <w:spacing w:after="100"/>
        <w:ind w:left="317" w:hanging="317"/>
      </w:pPr>
      <w:r>
        <w:rPr>
          <w:rFonts w:ascii="Arial" w:hAnsi="Arial" w:eastAsia="Arial"/>
          <w:b w:val="0"/>
          <w:i w:val="0"/>
          <w:color w:val="202A35"/>
          <w:sz w:val="17"/>
        </w:rPr>
        <w:t>[4] Google for Developers. Vehicle Routing Problem — OR-Tools. https://developers.google.com/optimization/routing/vrp</w:t>
      </w:r>
    </w:p>
    <w:tbl>
      <w:tblPr>
        <w:tblW w:type="auto" w:w="0"/>
        <w:jc w:val="center"/>
        <w:tblLook w:firstColumn="1" w:firstRow="1" w:lastColumn="0" w:lastRow="0" w:noHBand="0" w:noVBand="1" w:val="04A0"/>
      </w:tblPr>
      <w:tblGrid>
        <w:gridCol w:w="9663"/>
      </w:tblGrid>
      <w:tr>
        <w:tc>
          <w:tcPr>
            <w:tcW w:type="dxa" w:w="9663"/>
            <w:shd w:fill="EAF1F8"/>
            <w:tcMar>
              <w:top w:w="140" w:type="dxa"/>
              <w:start w:w="180" w:type="dxa"/>
              <w:bottom w:w="140" w:type="dxa"/>
              <w:end w:w="180" w:type="dxa"/>
            </w:tcMar>
            <w:tcBorders>
              <w:left w:val="single" w:sz="20" w:color="168A8A"/>
            </w:tcBorders>
          </w:tcPr>
          <w:p>
            <w:pPr>
              <w:spacing w:after="80"/>
            </w:pPr>
            <w:r>
              <w:rPr>
                <w:rFonts w:ascii="Arial" w:hAnsi="Arial" w:eastAsia="Arial"/>
                <w:b/>
                <w:i w:val="0"/>
                <w:color w:val="168A8A"/>
                <w:sz w:val="20"/>
              </w:rPr>
              <w:t>FINAL NOTE</w:t>
            </w:r>
          </w:p>
          <w:p>
            <w:pPr>
              <w:spacing w:after="0" w:line="259" w:lineRule="auto"/>
            </w:pPr>
            <w:r>
              <w:rPr>
                <w:rFonts w:ascii="Arial" w:hAnsi="Arial" w:eastAsia="Arial"/>
                <w:b w:val="0"/>
                <w:i w:val="0"/>
                <w:color w:val="202A35"/>
                <w:sz w:val="18"/>
              </w:rPr>
              <w:t>This is a training and portfolio project. Validate data definitions, model reliability, operational feasibility, and business benefit with real, properly governed logistics data before any production use.</w:t>
            </w:r>
          </w:p>
        </w:tc>
      </w:tr>
    </w:tbl>
    <w:p>
      <w:pPr>
        <w:spacing w:after="20"/>
      </w:pPr>
    </w:p>
    <w:sectPr w:rsidR="00FC693F" w:rsidRPr="0006063C" w:rsidSect="00034616">
      <w:headerReference w:type="default" r:id="rId9"/>
      <w:footerReference w:type="default" r:id="rId10"/>
      <w:pgSz w:w="11909" w:h="16834"/>
      <w:pgMar w:top="979" w:right="1123" w:bottom="965" w:left="1123" w:header="418"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after="0"/>
      <w:jc w:val="left"/>
    </w:pPr>
    <w:r>
      <w:rPr>
        <w:rFonts w:ascii="Arial" w:hAnsi="Arial" w:eastAsia="Arial"/>
        <w:b w:val="0"/>
        <w:i/>
        <w:color w:val="5B6573"/>
        <w:sz w:val="15"/>
      </w:rPr>
      <w:t>Synthetic teaching scenario  •  Not operational data</w:t>
    </w:r>
    <w:r>
      <w:rPr>
        <w:rFonts w:ascii="Arial" w:hAnsi="Arial" w:eastAsia="Arial"/>
        <w:b w:val="0"/>
        <w:i w:val="0"/>
        <w:color w:val="5B6573"/>
        <w:sz w:val="16"/>
      </w:rPr>
      <w:t xml:space="preserve">    Page </w:t>
    </w:r>
    <w:r>
      <w:rPr>
        <w:rFonts w:ascii="Arial" w:hAnsi="Arial"/>
        <w:color w:val="5B6573"/>
        <w:sz w:val="16"/>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5" w:space="3" w:color="D9E1F2"/>
      </w:pBdr>
    </w:pPr>
    <w:r>
      <w:rPr>
        <w:rFonts w:ascii="Arial" w:hAnsi="Arial" w:eastAsia="Arial"/>
        <w:b/>
        <w:i w:val="0"/>
        <w:color w:val="17365D"/>
        <w:sz w:val="16"/>
      </w:rPr>
      <w:t>LOGISTICS DATA ANALYST  /  WEEK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69" w:lineRule="auto"/>
    </w:pPr>
    <w:rPr>
      <w:rFonts w:ascii="Arial" w:hAnsi="Arial" w:eastAsia="Arial"/>
      <w:color w:val="202A3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eastAsia="Arial"/>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rial" w:hAnsi="Arial" w:eastAsia="Arial"/>
      <w:b/>
      <w:bCs/>
      <w:color w:val="168A8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eastAsia="Arial"/>
      <w:b/>
      <w:color w:val="17365D"/>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00"/>
    </w:pPr>
    <w:rPr>
      <w:rFonts w:asciiTheme="majorHAnsi" w:eastAsiaTheme="majorEastAsia" w:hAnsiTheme="majorHAnsi" w:cstheme="majorBidi" w:ascii="Arial" w:hAnsi="Arial" w:eastAsia="Arial"/>
      <w:b w:val="0"/>
      <w:i/>
      <w:iCs/>
      <w:color w:val="168A8A"/>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4 - Predictive Modeling and Optimization in Logistics Systems</dc:title>
  <dc:subject>Synthetic logistics regression modeling and what-if vehicle assignment</dc:subject>
  <dc:creator>Aman Yadav</dc:creator>
  <cp:keywords>logistics, Python, regression, Random Forest, model evaluation, optimization</cp:keywords>
  <dc:description>generated by python-docx</dc:description>
  <cp:lastModifiedBy/>
  <cp:revision>1</cp:revision>
  <dcterms:created xsi:type="dcterms:W3CDTF">2013-12-23T23:15:00Z</dcterms:created>
  <dcterms:modified xsi:type="dcterms:W3CDTF">2013-12-23T23:15:00Z</dcterms:modified>
  <cp:category/>
</cp:coreProperties>
</file>