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80"/>
        <w:jc w:val="center"/>
      </w:pPr>
      <w:r>
        <w:rPr>
          <w:rFonts w:ascii="Arial" w:hAnsi="Arial" w:eastAsia="Arial"/>
          <w:b/>
          <w:color w:val="168C8C"/>
          <w:sz w:val="24"/>
        </w:rPr>
        <w:t>LOGISTICS DATA ANALYST</w:t>
      </w:r>
    </w:p>
    <w:p>
      <w:pPr>
        <w:pStyle w:val="Title"/>
        <w:keepNext/>
        <w:keepLines/>
        <w:jc w:val="center"/>
      </w:pPr>
      <w:r>
        <w:rPr>
          <w:rFonts w:ascii="Arial" w:hAnsi="Arial" w:eastAsia="Arial"/>
          <w:b/>
          <w:color w:val="16324F"/>
          <w:sz w:val="54"/>
        </w:rPr>
        <w:t>Strategic Planning and</w:t>
        <w:br/>
        <w:t>Data Exploration in Logistics</w:t>
      </w:r>
    </w:p>
    <w:p>
      <w:pPr>
        <w:spacing w:before="20" w:after="80"/>
        <w:jc w:val="center"/>
      </w:pPr>
      <w:r>
        <w:rPr>
          <w:rFonts w:ascii="Arial" w:hAnsi="Arial" w:eastAsia="Arial"/>
          <w:b/>
          <w:color w:val="657383"/>
          <w:sz w:val="28"/>
        </w:rPr>
        <w:t>Week 1 | Project Strategy Report</w:t>
      </w:r>
    </w:p>
    <w:p>
      <w:pPr>
        <w:spacing w:before="160" w:after="60"/>
        <w:ind w:left="648" w:right="648"/>
        <w:jc w:val="center"/>
      </w:pPr>
      <w:r>
        <w:rPr>
          <w:rFonts w:ascii="Arial" w:hAnsi="Arial" w:eastAsia="Arial"/>
          <w:i/>
          <w:color w:val="273746"/>
          <w:sz w:val="21"/>
        </w:rPr>
        <w:t>A practical Python-based plan for delivery reliability, cost visibility, and operational insights</w:t>
      </w:r>
    </w:p>
    <w:p/>
    <w:tbl>
      <w:tblPr>
        <w:tblStyle w:val="TableGrid"/>
        <w:tblW w:type="auto" w:w="0"/>
        <w:tblLayout w:type="fixed"/>
        <w:tblLook w:firstColumn="1" w:firstRow="1" w:lastColumn="0" w:lastRow="0" w:noHBand="0" w:noVBand="1" w:val="04A0"/>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4997"/>
        <w:gridCol w:w="4997"/>
      </w:tblGrid>
      <w:tr>
        <w:trPr>
          <w:tblHeader w:val="true"/>
          <w:cantSplit/>
          <w:cantSplit/>
          <w:tblHeader w:val="true"/>
        </w:trPr>
        <w:tc>
          <w:tcPr>
            <w:tcW w:type="dxa" w:w="2376"/>
            <w:shd w:fill="16324F" w:val="clear"/>
            <w:tcMar>
              <w:top w:w="75" w:type="dxa"/>
              <w:start w:w="80" w:type="dxa"/>
              <w:bottom w:w="75" w:type="dxa"/>
              <w:end w:w="80" w:type="dxa"/>
            </w:tcMar>
            <w:vAlign w:val="center"/>
          </w:tcPr>
          <w:p>
            <w:pPr>
              <w:keepLines/>
              <w:spacing w:before="0" w:after="0" w:line="245" w:lineRule="auto"/>
              <w:jc w:val="left"/>
            </w:pPr>
            <w:r>
              <w:rPr>
                <w:rFonts w:ascii="Arial" w:hAnsi="Arial" w:eastAsia="Arial"/>
                <w:b/>
                <w:color w:val="FFFFFF"/>
                <w:sz w:val="18"/>
              </w:rPr>
              <w:t>Report detail</w:t>
            </w:r>
          </w:p>
        </w:tc>
        <w:tc>
          <w:tcPr>
            <w:tcW w:type="dxa" w:w="7401"/>
            <w:shd w:fill="16324F" w:val="clear"/>
            <w:tcMar>
              <w:top w:w="75" w:type="dxa"/>
              <w:start w:w="80" w:type="dxa"/>
              <w:bottom w:w="75" w:type="dxa"/>
              <w:end w:w="80" w:type="dxa"/>
            </w:tcMar>
            <w:vAlign w:val="center"/>
          </w:tcPr>
          <w:p>
            <w:pPr>
              <w:keepLines/>
              <w:spacing w:before="0" w:after="0" w:line="245" w:lineRule="auto"/>
              <w:jc w:val="left"/>
            </w:pPr>
            <w:r>
              <w:rPr>
                <w:rFonts w:ascii="Arial" w:hAnsi="Arial" w:eastAsia="Arial"/>
                <w:b/>
                <w:color w:val="FFFFFF"/>
                <w:sz w:val="18"/>
              </w:rPr>
              <w:t>Value</w:t>
            </w:r>
          </w:p>
        </w:tc>
      </w:tr>
      <w:tr>
        <w:trPr>
          <w:cantSplit/>
          <w:cantSplit/>
        </w:trPr>
        <w:tc>
          <w:tcPr>
            <w:tcW w:type="dxa" w:w="2376"/>
            <w:vAlign w:val="center"/>
            <w:tcMar>
              <w:top w:w="75" w:type="dxa"/>
              <w:start w:w="80" w:type="dxa"/>
              <w:bottom w:w="75" w:type="dxa"/>
              <w:end w:w="80" w:type="dxa"/>
            </w:tcMar>
            <w:shd w:fill="FFFFFF" w:val="clear"/>
          </w:tcPr>
          <w:p>
            <w:pPr>
              <w:keepLines/>
              <w:spacing w:after="0" w:before="0" w:line="245" w:lineRule="auto"/>
              <w:jc w:val="left"/>
            </w:pPr>
            <w:r>
              <w:rPr>
                <w:rFonts w:ascii="Arial" w:hAnsi="Arial" w:eastAsia="Arial"/>
                <w:color w:val="273746"/>
                <w:sz w:val="18"/>
              </w:rPr>
              <w:t>Prepared by</w:t>
            </w:r>
          </w:p>
        </w:tc>
        <w:tc>
          <w:tcPr>
            <w:tcW w:type="dxa" w:w="7401"/>
            <w:vAlign w:val="center"/>
            <w:tcMar>
              <w:top w:w="75" w:type="dxa"/>
              <w:start w:w="80" w:type="dxa"/>
              <w:bottom w:w="75" w:type="dxa"/>
              <w:end w:w="80" w:type="dxa"/>
            </w:tcMar>
            <w:shd w:fill="FFFFFF" w:val="clear"/>
          </w:tcPr>
          <w:p>
            <w:pPr>
              <w:keepLines/>
              <w:spacing w:after="0" w:before="0" w:line="245" w:lineRule="auto"/>
              <w:jc w:val="left"/>
            </w:pPr>
            <w:r>
              <w:rPr>
                <w:rFonts w:ascii="Arial" w:hAnsi="Arial" w:eastAsia="Arial"/>
                <w:color w:val="273746"/>
                <w:sz w:val="18"/>
              </w:rPr>
              <w:t>Aman Yadav</w:t>
            </w:r>
          </w:p>
        </w:tc>
      </w:tr>
      <w:tr>
        <w:trPr>
          <w:cantSplit/>
          <w:cantSplit/>
        </w:trPr>
        <w:tc>
          <w:tcPr>
            <w:tcW w:type="dxa" w:w="2376"/>
            <w:vAlign w:val="center"/>
            <w:tcMar>
              <w:top w:w="75" w:type="dxa"/>
              <w:start w:w="80" w:type="dxa"/>
              <w:bottom w:w="75" w:type="dxa"/>
              <w:end w:w="80" w:type="dxa"/>
            </w:tcMar>
            <w:shd w:fill="F3F6F9" w:val="clear"/>
          </w:tcPr>
          <w:p>
            <w:pPr>
              <w:keepLines/>
              <w:spacing w:after="0" w:before="0" w:line="245" w:lineRule="auto"/>
              <w:jc w:val="left"/>
            </w:pPr>
            <w:r>
              <w:rPr>
                <w:rFonts w:ascii="Arial" w:hAnsi="Arial" w:eastAsia="Arial"/>
                <w:color w:val="273746"/>
                <w:sz w:val="18"/>
              </w:rPr>
              <w:t>Programme</w:t>
            </w:r>
          </w:p>
        </w:tc>
        <w:tc>
          <w:tcPr>
            <w:tcW w:type="dxa" w:w="7401"/>
            <w:vAlign w:val="center"/>
            <w:tcMar>
              <w:top w:w="75" w:type="dxa"/>
              <w:start w:w="80" w:type="dxa"/>
              <w:bottom w:w="75" w:type="dxa"/>
              <w:end w:w="80" w:type="dxa"/>
            </w:tcMar>
            <w:shd w:fill="F3F6F9" w:val="clear"/>
          </w:tcPr>
          <w:p>
            <w:pPr>
              <w:keepLines/>
              <w:spacing w:after="0" w:before="0" w:line="245" w:lineRule="auto"/>
              <w:jc w:val="left"/>
            </w:pPr>
            <w:r>
              <w:rPr>
                <w:rFonts w:ascii="Arial" w:hAnsi="Arial" w:eastAsia="Arial"/>
                <w:color w:val="273746"/>
                <w:sz w:val="18"/>
              </w:rPr>
              <w:t>Logistics Data Analyst Intern</w:t>
            </w:r>
          </w:p>
        </w:tc>
      </w:tr>
      <w:tr>
        <w:trPr>
          <w:cantSplit/>
          <w:cantSplit/>
        </w:trPr>
        <w:tc>
          <w:tcPr>
            <w:tcW w:type="dxa" w:w="2376"/>
            <w:vAlign w:val="center"/>
            <w:tcMar>
              <w:top w:w="75" w:type="dxa"/>
              <w:start w:w="80" w:type="dxa"/>
              <w:bottom w:w="75" w:type="dxa"/>
              <w:end w:w="80" w:type="dxa"/>
            </w:tcMar>
            <w:shd w:fill="FFFFFF" w:val="clear"/>
          </w:tcPr>
          <w:p>
            <w:pPr>
              <w:keepLines/>
              <w:spacing w:after="0" w:before="0" w:line="245" w:lineRule="auto"/>
              <w:jc w:val="left"/>
            </w:pPr>
            <w:r>
              <w:rPr>
                <w:rFonts w:ascii="Arial" w:hAnsi="Arial" w:eastAsia="Arial"/>
                <w:color w:val="273746"/>
                <w:sz w:val="18"/>
              </w:rPr>
              <w:t>Task</w:t>
            </w:r>
          </w:p>
        </w:tc>
        <w:tc>
          <w:tcPr>
            <w:tcW w:type="dxa" w:w="7401"/>
            <w:vAlign w:val="center"/>
            <w:tcMar>
              <w:top w:w="75" w:type="dxa"/>
              <w:start w:w="80" w:type="dxa"/>
              <w:bottom w:w="75" w:type="dxa"/>
              <w:end w:w="80" w:type="dxa"/>
            </w:tcMar>
            <w:shd w:fill="FFFFFF" w:val="clear"/>
          </w:tcPr>
          <w:p>
            <w:pPr>
              <w:keepLines/>
              <w:spacing w:after="0" w:before="0" w:line="245" w:lineRule="auto"/>
              <w:jc w:val="left"/>
            </w:pPr>
            <w:r>
              <w:rPr>
                <w:rFonts w:ascii="Arial" w:hAnsi="Arial" w:eastAsia="Arial"/>
                <w:color w:val="273746"/>
                <w:sz w:val="18"/>
              </w:rPr>
              <w:t>Week 1: Strategic Planning and Data Exploration in Logistics</w:t>
            </w:r>
          </w:p>
        </w:tc>
      </w:tr>
      <w:tr>
        <w:trPr>
          <w:cantSplit/>
          <w:cantSplit/>
        </w:trPr>
        <w:tc>
          <w:tcPr>
            <w:tcW w:type="dxa" w:w="2376"/>
            <w:vAlign w:val="center"/>
            <w:tcMar>
              <w:top w:w="75" w:type="dxa"/>
              <w:start w:w="80" w:type="dxa"/>
              <w:bottom w:w="75" w:type="dxa"/>
              <w:end w:w="80" w:type="dxa"/>
            </w:tcMar>
            <w:shd w:fill="F3F6F9" w:val="clear"/>
          </w:tcPr>
          <w:p>
            <w:pPr>
              <w:keepLines/>
              <w:spacing w:after="0" w:before="0" w:line="245" w:lineRule="auto"/>
              <w:jc w:val="left"/>
            </w:pPr>
            <w:r>
              <w:rPr>
                <w:rFonts w:ascii="Arial" w:hAnsi="Arial" w:eastAsia="Arial"/>
                <w:color w:val="273746"/>
                <w:sz w:val="18"/>
              </w:rPr>
              <w:t>Project setting</w:t>
            </w:r>
          </w:p>
        </w:tc>
        <w:tc>
          <w:tcPr>
            <w:tcW w:type="dxa" w:w="7401"/>
            <w:vAlign w:val="center"/>
            <w:tcMar>
              <w:top w:w="75" w:type="dxa"/>
              <w:start w:w="80" w:type="dxa"/>
              <w:bottom w:w="75" w:type="dxa"/>
              <w:end w:w="80" w:type="dxa"/>
            </w:tcMar>
            <w:shd w:fill="F3F6F9" w:val="clear"/>
          </w:tcPr>
          <w:p>
            <w:pPr>
              <w:keepLines/>
              <w:spacing w:after="0" w:before="0" w:line="245" w:lineRule="auto"/>
              <w:jc w:val="left"/>
            </w:pPr>
            <w:r>
              <w:rPr>
                <w:rFonts w:ascii="Arial" w:hAnsi="Arial" w:eastAsia="Arial"/>
                <w:color w:val="273746"/>
                <w:sz w:val="18"/>
              </w:rPr>
              <w:t>Fictional e-commerce last-mile logistics operator in an urban Indian market</w:t>
            </w:r>
          </w:p>
        </w:tc>
      </w:tr>
      <w:tr>
        <w:trPr>
          <w:cantSplit/>
          <w:cantSplit/>
        </w:trPr>
        <w:tc>
          <w:tcPr>
            <w:tcW w:type="dxa" w:w="2376"/>
            <w:vAlign w:val="center"/>
            <w:tcMar>
              <w:top w:w="75" w:type="dxa"/>
              <w:start w:w="80" w:type="dxa"/>
              <w:bottom w:w="75" w:type="dxa"/>
              <w:end w:w="80" w:type="dxa"/>
            </w:tcMar>
            <w:shd w:fill="FFFFFF" w:val="clear"/>
          </w:tcPr>
          <w:p>
            <w:pPr>
              <w:keepLines/>
              <w:spacing w:after="0" w:before="0" w:line="245" w:lineRule="auto"/>
              <w:jc w:val="left"/>
            </w:pPr>
            <w:r>
              <w:rPr>
                <w:rFonts w:ascii="Arial" w:hAnsi="Arial" w:eastAsia="Arial"/>
                <w:color w:val="273746"/>
                <w:sz w:val="18"/>
              </w:rPr>
              <w:t>Stage</w:t>
            </w:r>
          </w:p>
        </w:tc>
        <w:tc>
          <w:tcPr>
            <w:tcW w:type="dxa" w:w="7401"/>
            <w:vAlign w:val="center"/>
            <w:tcMar>
              <w:top w:w="75" w:type="dxa"/>
              <w:start w:w="80" w:type="dxa"/>
              <w:bottom w:w="75" w:type="dxa"/>
              <w:end w:w="80" w:type="dxa"/>
            </w:tcMar>
            <w:shd w:fill="FFFFFF" w:val="clear"/>
          </w:tcPr>
          <w:p>
            <w:pPr>
              <w:keepLines/>
              <w:spacing w:after="0" w:before="0" w:line="245" w:lineRule="auto"/>
              <w:jc w:val="left"/>
            </w:pPr>
            <w:r>
              <w:rPr>
                <w:rFonts w:ascii="Arial" w:hAnsi="Arial" w:eastAsia="Arial"/>
                <w:color w:val="273746"/>
                <w:sz w:val="18"/>
              </w:rPr>
              <w:t>Planning and code illustration; no real operator dataset analysed</w:t>
            </w:r>
          </w:p>
        </w:tc>
      </w:tr>
      <w:tr>
        <w:trPr>
          <w:cantSplit/>
          <w:cantSplit/>
        </w:trPr>
        <w:tc>
          <w:tcPr>
            <w:tcW w:type="dxa" w:w="2376"/>
            <w:vAlign w:val="center"/>
            <w:tcMar>
              <w:top w:w="75" w:type="dxa"/>
              <w:start w:w="80" w:type="dxa"/>
              <w:bottom w:w="75" w:type="dxa"/>
              <w:end w:w="80" w:type="dxa"/>
            </w:tcMar>
            <w:shd w:fill="F3F6F9" w:val="clear"/>
          </w:tcPr>
          <w:p>
            <w:pPr>
              <w:keepLines/>
              <w:spacing w:after="0" w:before="0" w:line="245" w:lineRule="auto"/>
              <w:jc w:val="left"/>
            </w:pPr>
            <w:r>
              <w:rPr>
                <w:rFonts w:ascii="Arial" w:hAnsi="Arial" w:eastAsia="Arial"/>
                <w:color w:val="273746"/>
                <w:sz w:val="18"/>
              </w:rPr>
              <w:t>Prepared on</w:t>
            </w:r>
          </w:p>
        </w:tc>
        <w:tc>
          <w:tcPr>
            <w:tcW w:type="dxa" w:w="7401"/>
            <w:vAlign w:val="center"/>
            <w:tcMar>
              <w:top w:w="75" w:type="dxa"/>
              <w:start w:w="80" w:type="dxa"/>
              <w:bottom w:w="75" w:type="dxa"/>
              <w:end w:w="80" w:type="dxa"/>
            </w:tcMar>
            <w:shd w:fill="F3F6F9" w:val="clear"/>
          </w:tcPr>
          <w:p>
            <w:pPr>
              <w:keepLines/>
              <w:spacing w:after="0" w:before="0" w:line="245" w:lineRule="auto"/>
              <w:jc w:val="left"/>
            </w:pPr>
            <w:r>
              <w:rPr>
                <w:rFonts w:ascii="Arial" w:hAnsi="Arial" w:eastAsia="Arial"/>
                <w:color w:val="273746"/>
                <w:sz w:val="18"/>
              </w:rPr>
              <w:t>16 October 2026</w:t>
            </w:r>
          </w:p>
        </w:tc>
      </w:tr>
    </w:tbl>
    <w:p>
      <w:pPr>
        <w:spacing w:after="20"/>
      </w:pPr>
    </w:p>
    <w:p>
      <w:pPr>
        <w:spacing w:before="360" w:after="0"/>
        <w:jc w:val="center"/>
      </w:pPr>
      <w:r>
        <w:rPr>
          <w:rFonts w:ascii="Arial" w:hAnsi="Arial" w:eastAsia="Arial"/>
          <w:b/>
          <w:color w:val="168C8C"/>
          <w:sz w:val="15"/>
        </w:rPr>
        <w:t>DATA-INFORMED PLANNING  •  TRANSPARENT KPI DEFINITIONS  •  REPRODUCIBLE WORKFLOW</w:t>
      </w:r>
    </w:p>
    <w:p>
      <w:r>
        <w:br w:type="page"/>
      </w:r>
    </w:p>
    <w:p>
      <w:pPr>
        <w:pStyle w:val="Heading1"/>
        <w:keepNext/>
        <w:keepLines/>
      </w:pPr>
      <w:r>
        <w:rPr>
          <w:rFonts w:ascii="Arial" w:hAnsi="Arial" w:eastAsia="Arial"/>
          <w:b/>
          <w:color w:val="16324F"/>
          <w:sz w:val="30"/>
        </w:rPr>
        <w:t>Executive Summary</w:t>
      </w:r>
    </w:p>
    <w:p>
      <w:pPr>
        <w:keepLines w:val="0"/>
        <w:spacing w:after="100" w:line="259" w:lineRule="auto"/>
      </w:pPr>
      <w:r>
        <w:rPr>
          <w:rFonts w:ascii="Arial" w:hAnsi="Arial" w:eastAsia="Arial"/>
          <w:color w:val="273746"/>
          <w:sz w:val="20"/>
        </w:rPr>
        <w:t>This report proposes a structured analytics project for a fictional e-commerce logistics operator that manages parcel deliveries across several urban service zones. The business challenge is to improve delivery reliability while controlling transportation cost and making operational bottlenecks easier to diagnose. The proposed approach uses Python for data validation, exploratory data analysis (EDA), KPI reporting, and—if suitable data become available—predictive modelling and optimization.</w:t>
      </w:r>
    </w:p>
    <w:p>
      <w:pPr>
        <w:keepLines w:val="0"/>
        <w:spacing w:after="100" w:line="259" w:lineRule="auto"/>
      </w:pPr>
      <w:r>
        <w:rPr>
          <w:rFonts w:ascii="Arial" w:hAnsi="Arial" w:eastAsia="Arial"/>
          <w:color w:val="273746"/>
          <w:sz w:val="20"/>
        </w:rPr>
        <w:t>The report defines the problem, project objectives and boundaries, key stakeholders, five measurable KPIs, potential public context sources, and an end-to-end analytical roadmap. It includes a starter Python script illustrating schema validation, KPI calculation, and basic data-quality checks. Public sources are used to ground the rationale and explain possible analytical methods; they do not provide real shipment-level records for the fictional operator. A small CSV shipped alongside the code is synthetic test data only and is not evidence of actual delivery performance.</w:t>
      </w:r>
    </w:p>
    <w:p>
      <w:pPr>
        <w:pStyle w:val="Heading1"/>
        <w:keepNext/>
        <w:keepLines/>
      </w:pPr>
      <w:r>
        <w:rPr>
          <w:rFonts w:ascii="Arial" w:hAnsi="Arial" w:eastAsia="Arial"/>
          <w:b/>
          <w:color w:val="16324F"/>
          <w:sz w:val="30"/>
        </w:rPr>
        <w:t>1. Background and Project Scenario</w:t>
      </w:r>
    </w:p>
    <w:p>
      <w:pPr>
        <w:keepLines w:val="0"/>
        <w:spacing w:after="100" w:line="259" w:lineRule="auto"/>
      </w:pPr>
      <w:r>
        <w:rPr>
          <w:rFonts w:ascii="Arial" w:hAnsi="Arial" w:eastAsia="Arial"/>
          <w:color w:val="273746"/>
          <w:sz w:val="20"/>
        </w:rPr>
        <w:t>Logistics performance depends on more than moving a parcel from origin to destination. Delivery promises, time reliability, transportation infrastructure, service quality, visibility of shipment status, and resource constraints all affect the customer and operating experience. The World Bank’s Logistics Performance Index describes logistics performance in terms that include infrastructure, logistics service quality, tracking and tracing, and whether shipments arrive within scheduled time. This macro-level perspective supports selecting delivery reliability and operational visibility as useful project themes; it does not establish how any individual company performs [1].</w:t>
      </w:r>
    </w:p>
    <w:p>
      <w:pPr>
        <w:keepLines w:val="0"/>
        <w:spacing w:after="100" w:line="259" w:lineRule="auto"/>
      </w:pPr>
      <w:r>
        <w:rPr>
          <w:rFonts w:ascii="Arial" w:hAnsi="Arial" w:eastAsia="Arial"/>
          <w:color w:val="273746"/>
          <w:sz w:val="20"/>
        </w:rPr>
        <w:t>For this project, assume a fictional mid-sized e-commerce logistics provider serving an urban Indian market. It receives parcels at a local distribution hub and assigns shipments to delivery routes and vehicles. Operations managers have reported anecdotal concerns about late deliveries, inconsistent cost per shipment, and uneven performance across service zones. No actual company or customer data are supplied. The first phase therefore defines a defensible analysis plan and the data schema needed to investigate the questions later.</w:t>
      </w:r>
    </w:p>
    <w:p>
      <w:pPr>
        <w:pStyle w:val="Heading1"/>
        <w:keepNext/>
        <w:keepLines/>
      </w:pPr>
      <w:r>
        <w:rPr>
          <w:rFonts w:ascii="Arial" w:hAnsi="Arial" w:eastAsia="Arial"/>
          <w:b/>
          <w:color w:val="16324F"/>
          <w:sz w:val="30"/>
        </w:rPr>
        <w:t>2. Problem Statement</w:t>
      </w:r>
    </w:p>
    <w:p>
      <w:pPr>
        <w:keepLines w:val="0"/>
        <w:spacing w:after="100" w:line="259" w:lineRule="auto"/>
      </w:pPr>
      <w:r>
        <w:rPr>
          <w:rFonts w:ascii="Arial" w:hAnsi="Arial" w:eastAsia="Arial"/>
          <w:color w:val="273746"/>
          <w:sz w:val="20"/>
        </w:rPr>
        <w:t>How can a logistics operations team use consistently defined shipment data to measure delivery reliability, understand differences in delivery time and transportation cost, identify operational bottlenecks, and prepare a data-supported basis for future forecasting or route planning?</w:t>
      </w:r>
    </w:p>
    <w:p>
      <w:pPr>
        <w:pStyle w:val="Heading2"/>
        <w:keepNext/>
        <w:keepLines/>
      </w:pPr>
      <w:r>
        <w:rPr>
          <w:rFonts w:ascii="Arial" w:hAnsi="Arial" w:eastAsia="Arial"/>
          <w:b/>
          <w:color w:val="168C8C"/>
          <w:sz w:val="23"/>
        </w:rPr>
        <w:t>2.1 Project objectives</w:t>
      </w:r>
    </w:p>
    <w:p>
      <w:pPr>
        <w:pStyle w:val="ListBullet"/>
        <w:keepLines/>
        <w:spacing w:after="48" w:before="0" w:line="254" w:lineRule="auto"/>
      </w:pPr>
      <w:r>
        <w:rPr>
          <w:rFonts w:ascii="Arial" w:hAnsi="Arial" w:eastAsia="Arial"/>
          <w:color w:val="273746"/>
          <w:sz w:val="20"/>
        </w:rPr>
        <w:t>Define a clear, measurable problem focused on last-mile delivery performance.</w:t>
      </w:r>
    </w:p>
    <w:p>
      <w:pPr>
        <w:pStyle w:val="ListBullet"/>
        <w:keepLines/>
        <w:spacing w:after="48" w:before="0" w:line="254" w:lineRule="auto"/>
      </w:pPr>
      <w:r>
        <w:rPr>
          <w:rFonts w:ascii="Arial" w:hAnsi="Arial" w:eastAsia="Arial"/>
          <w:color w:val="273746"/>
          <w:sz w:val="20"/>
        </w:rPr>
        <w:t>Establish KPI definitions with explicit numerators, denominators, units, and inclusion rules.</w:t>
      </w:r>
    </w:p>
    <w:p>
      <w:pPr>
        <w:pStyle w:val="ListBullet"/>
        <w:keepLines/>
        <w:spacing w:after="48" w:before="0" w:line="254" w:lineRule="auto"/>
      </w:pPr>
      <w:r>
        <w:rPr>
          <w:rFonts w:ascii="Arial" w:hAnsi="Arial" w:eastAsia="Arial"/>
          <w:color w:val="273746"/>
          <w:sz w:val="20"/>
        </w:rPr>
        <w:t>Identify relevant public context sources and outline the operational dataset needed for later analysis.</w:t>
      </w:r>
    </w:p>
    <w:p>
      <w:pPr>
        <w:pStyle w:val="ListBullet"/>
        <w:keepLines/>
        <w:spacing w:after="48" w:before="0" w:line="254" w:lineRule="auto"/>
      </w:pPr>
      <w:r>
        <w:rPr>
          <w:rFonts w:ascii="Arial" w:hAnsi="Arial" w:eastAsia="Arial"/>
          <w:color w:val="273746"/>
          <w:sz w:val="20"/>
        </w:rPr>
        <w:t>Specify a reproducible Python workflow for data acquisition, quality checks, EDA, and KPI reporting.</w:t>
      </w:r>
    </w:p>
    <w:p>
      <w:pPr>
        <w:pStyle w:val="ListBullet"/>
        <w:keepLines/>
        <w:spacing w:after="48" w:before="0" w:line="254" w:lineRule="auto"/>
      </w:pPr>
      <w:r>
        <w:rPr>
          <w:rFonts w:ascii="Arial" w:hAnsi="Arial" w:eastAsia="Arial"/>
          <w:color w:val="273746"/>
          <w:sz w:val="20"/>
        </w:rPr>
        <w:t>Propose suitable future analytical methods without claiming that a model has already been trained or validated.</w:t>
      </w:r>
    </w:p>
    <w:p>
      <w:pPr>
        <w:pStyle w:val="ListBullet"/>
        <w:keepLines/>
        <w:spacing w:after="48" w:before="0" w:line="254" w:lineRule="auto"/>
      </w:pPr>
      <w:r>
        <w:rPr>
          <w:rFonts w:ascii="Arial" w:hAnsi="Arial" w:eastAsia="Arial"/>
          <w:color w:val="273746"/>
          <w:sz w:val="20"/>
        </w:rPr>
        <w:t>Document assumptions, risks, limitations, and possible decision uses for operational stakeholders.</w:t>
      </w:r>
    </w:p>
    <w:p>
      <w:pPr>
        <w:pStyle w:val="Heading2"/>
        <w:keepNext/>
        <w:keepLines/>
      </w:pPr>
      <w:r>
        <w:rPr>
          <w:rFonts w:ascii="Arial" w:hAnsi="Arial" w:eastAsia="Arial"/>
          <w:b/>
          <w:color w:val="168C8C"/>
          <w:sz w:val="23"/>
        </w:rPr>
        <w:t>2.2 Scope and boundaries</w:t>
      </w:r>
    </w:p>
    <w:tbl>
      <w:tblPr>
        <w:tblStyle w:val="TableGrid"/>
        <w:tblW w:type="auto" w:w="0"/>
        <w:jc w:val="center"/>
        <w:tblLayout w:type="fixed"/>
        <w:tblLook w:firstColumn="1" w:firstRow="1" w:lastColumn="0" w:lastRow="0" w:noHBand="0" w:noVBand="1" w:val="04A0"/>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4997"/>
        <w:gridCol w:w="4997"/>
      </w:tblGrid>
      <w:tr>
        <w:trPr>
          <w:tblHeader w:val="true"/>
          <w:cantSplit/>
          <w:cantSplit/>
          <w:tblHeader w:val="true"/>
        </w:trPr>
        <w:tc>
          <w:tcPr>
            <w:tcW w:type="dxa" w:w="4888"/>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In scope</w:t>
            </w:r>
          </w:p>
        </w:tc>
        <w:tc>
          <w:tcPr>
            <w:tcW w:type="dxa" w:w="4888"/>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Out of scope for Week 1</w:t>
            </w:r>
          </w:p>
        </w:tc>
      </w:tr>
      <w:tr>
        <w:trPr>
          <w:cantSplit/>
          <w:cantSplit/>
        </w:trPr>
        <w:tc>
          <w:tcPr>
            <w:tcW w:type="dxa" w:w="4888"/>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Scenario definition and business questions</w:t>
            </w:r>
          </w:p>
        </w:tc>
        <w:tc>
          <w:tcPr>
            <w:tcW w:type="dxa" w:w="4888"/>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Access to a real logistics company or confidential customer data</w:t>
            </w:r>
          </w:p>
        </w:tc>
      </w:tr>
      <w:tr>
        <w:trPr>
          <w:cantSplit/>
          <w:cantSplit/>
        </w:trPr>
        <w:tc>
          <w:tcPr>
            <w:tcW w:type="dxa" w:w="4888"/>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KPI definitions and data dictionary proposal</w:t>
            </w:r>
          </w:p>
        </w:tc>
        <w:tc>
          <w:tcPr>
            <w:tcW w:type="dxa" w:w="4888"/>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Production deployment or live operational recommendations</w:t>
            </w:r>
          </w:p>
        </w:tc>
      </w:tr>
      <w:tr>
        <w:trPr>
          <w:cantSplit/>
          <w:cantSplit/>
        </w:trPr>
        <w:tc>
          <w:tcPr>
            <w:tcW w:type="dxa" w:w="4888"/>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Public contextual research and source documentation</w:t>
            </w:r>
          </w:p>
        </w:tc>
        <w:tc>
          <w:tcPr>
            <w:tcW w:type="dxa" w:w="4888"/>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Claiming measured savings, real delivery rates, or verified model accuracy</w:t>
            </w:r>
          </w:p>
        </w:tc>
      </w:tr>
      <w:tr>
        <w:trPr>
          <w:cantSplit/>
          <w:cantSplit/>
        </w:trPr>
        <w:tc>
          <w:tcPr>
            <w:tcW w:type="dxa" w:w="4888"/>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Python code illustration and quality-check plan</w:t>
            </w:r>
          </w:p>
        </w:tc>
        <w:tc>
          <w:tcPr>
            <w:tcW w:type="dxa" w:w="4888"/>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A final optimized route plan without stop coordinates, travel-time matrices, and constraints</w:t>
            </w:r>
          </w:p>
        </w:tc>
      </w:tr>
      <w:tr>
        <w:trPr>
          <w:cantSplit/>
          <w:cantSplit/>
        </w:trPr>
        <w:tc>
          <w:tcPr>
            <w:tcW w:type="dxa" w:w="4888"/>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Roadmap for later EDA and predictive work</w:t>
            </w:r>
          </w:p>
        </w:tc>
        <w:tc>
          <w:tcPr>
            <w:tcW w:type="dxa" w:w="4888"/>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Causal claims based on hypothetical data</w:t>
            </w:r>
          </w:p>
        </w:tc>
      </w:tr>
    </w:tbl>
    <w:p>
      <w:pPr>
        <w:spacing w:after="20"/>
      </w:pPr>
    </w:p>
    <w:p>
      <w:pPr>
        <w:pStyle w:val="Heading1"/>
        <w:keepNext/>
        <w:keepLines/>
      </w:pPr>
      <w:r>
        <w:rPr>
          <w:rFonts w:ascii="Arial" w:hAnsi="Arial" w:eastAsia="Arial"/>
          <w:b/>
          <w:color w:val="16324F"/>
          <w:sz w:val="30"/>
        </w:rPr>
        <w:t>3. Business Questions and Stakeholders</w:t>
      </w:r>
    </w:p>
    <w:p>
      <w:pPr>
        <w:pStyle w:val="Heading2"/>
        <w:keepNext/>
        <w:keepLines/>
      </w:pPr>
      <w:r>
        <w:rPr>
          <w:rFonts w:ascii="Arial" w:hAnsi="Arial" w:eastAsia="Arial"/>
          <w:b/>
          <w:color w:val="168C8C"/>
          <w:sz w:val="23"/>
        </w:rPr>
        <w:t>3.1 Questions the analysis should answer</w:t>
      </w:r>
    </w:p>
    <w:p>
      <w:pPr>
        <w:pStyle w:val="ListBullet"/>
        <w:keepLines/>
        <w:spacing w:after="48" w:before="0" w:line="254" w:lineRule="auto"/>
      </w:pPr>
      <w:r>
        <w:rPr>
          <w:rFonts w:ascii="Arial" w:hAnsi="Arial" w:eastAsia="Arial"/>
          <w:color w:val="273746"/>
          <w:sz w:val="20"/>
        </w:rPr>
        <w:t>What proportion of eligible shipments is delivered by the promised timestamp?</w:t>
      </w:r>
    </w:p>
    <w:p>
      <w:pPr>
        <w:pStyle w:val="ListBullet"/>
        <w:keepLines/>
        <w:spacing w:after="48" w:before="0" w:line="254" w:lineRule="auto"/>
      </w:pPr>
      <w:r>
        <w:rPr>
          <w:rFonts w:ascii="Arial" w:hAnsi="Arial" w:eastAsia="Arial"/>
          <w:color w:val="273746"/>
          <w:sz w:val="20"/>
        </w:rPr>
        <w:t>How much earlier or later than promised are deliveries, and how variable is this difference?</w:t>
      </w:r>
    </w:p>
    <w:p>
      <w:pPr>
        <w:pStyle w:val="ListBullet"/>
        <w:keepLines/>
        <w:spacing w:after="48" w:before="0" w:line="254" w:lineRule="auto"/>
      </w:pPr>
      <w:r>
        <w:rPr>
          <w:rFonts w:ascii="Arial" w:hAnsi="Arial" w:eastAsia="Arial"/>
          <w:color w:val="273746"/>
          <w:sz w:val="20"/>
        </w:rPr>
        <w:t>How does recorded transportation cost per shipment differ by region, vehicle type, distance band, or shipment weight?</w:t>
      </w:r>
    </w:p>
    <w:p>
      <w:pPr>
        <w:pStyle w:val="ListBullet"/>
        <w:keepLines/>
        <w:spacing w:after="48" w:before="0" w:line="254" w:lineRule="auto"/>
      </w:pPr>
      <w:r>
        <w:rPr>
          <w:rFonts w:ascii="Arial" w:hAnsi="Arial" w:eastAsia="Arial"/>
          <w:color w:val="273746"/>
          <w:sz w:val="20"/>
        </w:rPr>
        <w:t>Which segments show repeated late deliveries or high cost and should be investigated first?</w:t>
      </w:r>
    </w:p>
    <w:p>
      <w:pPr>
        <w:pStyle w:val="ListBullet"/>
        <w:keepLines/>
        <w:spacing w:after="48" w:before="0" w:line="254" w:lineRule="auto"/>
      </w:pPr>
      <w:r>
        <w:rPr>
          <w:rFonts w:ascii="Arial" w:hAnsi="Arial" w:eastAsia="Arial"/>
          <w:color w:val="273746"/>
          <w:sz w:val="20"/>
        </w:rPr>
        <w:t>Are data gaps or inconsistent event timestamps large enough to distort reported performance?</w:t>
      </w:r>
    </w:p>
    <w:p>
      <w:pPr>
        <w:pStyle w:val="ListBullet"/>
        <w:keepLines/>
        <w:spacing w:after="48" w:before="0" w:line="254" w:lineRule="auto"/>
      </w:pPr>
      <w:r>
        <w:rPr>
          <w:rFonts w:ascii="Arial" w:hAnsi="Arial" w:eastAsia="Arial"/>
          <w:color w:val="273746"/>
          <w:sz w:val="20"/>
        </w:rPr>
        <w:t>If a sufficiently large, representative dataset is available, can delivery-time estimates or route plans help improve resource allocation?</w:t>
      </w:r>
    </w:p>
    <w:p>
      <w:pPr>
        <w:pStyle w:val="Heading2"/>
        <w:keepNext/>
        <w:keepLines/>
      </w:pPr>
      <w:r>
        <w:rPr>
          <w:rFonts w:ascii="Arial" w:hAnsi="Arial" w:eastAsia="Arial"/>
          <w:b/>
          <w:color w:val="168C8C"/>
          <w:sz w:val="23"/>
        </w:rPr>
        <w:t>3.2 Stakeholders and intended use</w:t>
      </w:r>
    </w:p>
    <w:tbl>
      <w:tblPr>
        <w:tblStyle w:val="TableGrid"/>
        <w:tblW w:type="auto" w:w="0"/>
        <w:jc w:val="center"/>
        <w:tblLayout w:type="fixed"/>
        <w:tblLook w:firstColumn="1" w:firstRow="1" w:lastColumn="0" w:lastRow="0" w:noHBand="0" w:noVBand="1" w:val="04A0"/>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3331"/>
        <w:gridCol w:w="3331"/>
        <w:gridCol w:w="3331"/>
      </w:tblGrid>
      <w:tr>
        <w:trPr>
          <w:tblHeader w:val="true"/>
          <w:cantSplit/>
          <w:cantSplit/>
          <w:tblHeader w:val="true"/>
        </w:trPr>
        <w:tc>
          <w:tcPr>
            <w:tcW w:type="dxa" w:w="2015"/>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Stakeholder</w:t>
            </w:r>
          </w:p>
        </w:tc>
        <w:tc>
          <w:tcPr>
            <w:tcW w:type="dxa" w:w="3384"/>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Information need</w:t>
            </w:r>
          </w:p>
        </w:tc>
        <w:tc>
          <w:tcPr>
            <w:tcW w:type="dxa" w:w="4377"/>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Potential use</w:t>
            </w:r>
          </w:p>
        </w:tc>
      </w:tr>
      <w:tr>
        <w:trPr>
          <w:cantSplit/>
          <w:cantSplit/>
        </w:trPr>
        <w:tc>
          <w:tcPr>
            <w:tcW w:type="dxa" w:w="2015"/>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Operations manager</w:t>
            </w:r>
          </w:p>
        </w:tc>
        <w:tc>
          <w:tcPr>
            <w:tcW w:type="dxa" w:w="3384"/>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On-time rate, delay distribution, hotspot segments</w:t>
            </w:r>
          </w:p>
        </w:tc>
        <w:tc>
          <w:tcPr>
            <w:tcW w:type="dxa" w:w="4377"/>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Investigate service-zone bottlenecks and adjust daily operations</w:t>
            </w:r>
          </w:p>
        </w:tc>
      </w:tr>
      <w:tr>
        <w:trPr>
          <w:cantSplit/>
          <w:cantSplit/>
        </w:trPr>
        <w:tc>
          <w:tcPr>
            <w:tcW w:type="dxa" w:w="2015"/>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Dispatch / route planner</w:t>
            </w:r>
          </w:p>
        </w:tc>
        <w:tc>
          <w:tcPr>
            <w:tcW w:type="dxa" w:w="3384"/>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Distance, vehicle, shipment load and promised times</w:t>
            </w:r>
          </w:p>
        </w:tc>
        <w:tc>
          <w:tcPr>
            <w:tcW w:type="dxa" w:w="4377"/>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Review dispatch plans and route constraints</w:t>
            </w:r>
          </w:p>
        </w:tc>
      </w:tr>
      <w:tr>
        <w:trPr>
          <w:cantSplit/>
          <w:cantSplit/>
        </w:trPr>
        <w:tc>
          <w:tcPr>
            <w:tcW w:type="dxa" w:w="2015"/>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Finance / cost analyst</w:t>
            </w:r>
          </w:p>
        </w:tc>
        <w:tc>
          <w:tcPr>
            <w:tcW w:type="dxa" w:w="3384"/>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Transport cost per shipment and cost variation</w:t>
            </w:r>
          </w:p>
        </w:tc>
        <w:tc>
          <w:tcPr>
            <w:tcW w:type="dxa" w:w="4377"/>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Monitor cost drivers and review cost assumptions</w:t>
            </w:r>
          </w:p>
        </w:tc>
      </w:tr>
      <w:tr>
        <w:trPr>
          <w:cantSplit/>
          <w:cantSplit/>
        </w:trPr>
        <w:tc>
          <w:tcPr>
            <w:tcW w:type="dxa" w:w="2015"/>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Customer service lead</w:t>
            </w:r>
          </w:p>
        </w:tc>
        <w:tc>
          <w:tcPr>
            <w:tcW w:type="dxa" w:w="3384"/>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Late shipments and first-attempt outcomes</w:t>
            </w:r>
          </w:p>
        </w:tc>
        <w:tc>
          <w:tcPr>
            <w:tcW w:type="dxa" w:w="4377"/>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Identify recurring service issues and improve communication</w:t>
            </w:r>
          </w:p>
        </w:tc>
      </w:tr>
      <w:tr>
        <w:trPr>
          <w:cantSplit/>
          <w:cantSplit/>
        </w:trPr>
        <w:tc>
          <w:tcPr>
            <w:tcW w:type="dxa" w:w="2015"/>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Data analyst</w:t>
            </w:r>
          </w:p>
        </w:tc>
        <w:tc>
          <w:tcPr>
            <w:tcW w:type="dxa" w:w="3384"/>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Field definitions, completeness, reliable event timestamps</w:t>
            </w:r>
          </w:p>
        </w:tc>
        <w:tc>
          <w:tcPr>
            <w:tcW w:type="dxa" w:w="4377"/>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Maintain a reproducible dataset and trustworthy reporting</w:t>
            </w:r>
          </w:p>
        </w:tc>
      </w:tr>
    </w:tbl>
    <w:p>
      <w:pPr>
        <w:spacing w:after="20"/>
      </w:pPr>
    </w:p>
    <w:p>
      <w:pPr>
        <w:pStyle w:val="Heading1"/>
        <w:keepNext/>
        <w:keepLines/>
      </w:pPr>
      <w:r>
        <w:rPr>
          <w:rFonts w:ascii="Arial" w:hAnsi="Arial" w:eastAsia="Arial"/>
          <w:b/>
          <w:color w:val="16324F"/>
          <w:sz w:val="30"/>
        </w:rPr>
        <w:t>4. Proposed KPI Framework</w:t>
      </w:r>
    </w:p>
    <w:p>
      <w:pPr>
        <w:keepLines w:val="0"/>
        <w:spacing w:after="100" w:line="259" w:lineRule="auto"/>
      </w:pPr>
      <w:r>
        <w:rPr>
          <w:rFonts w:ascii="Arial" w:hAnsi="Arial" w:eastAsia="Arial"/>
          <w:color w:val="273746"/>
          <w:sz w:val="20"/>
        </w:rPr>
        <w:t>KPI definitions must be agreed before analysis so that reports do not change meaning between weeks. The formulas below are proposed definitions. In an operational implementation, stakeholders must approve the reporting window and the treatment of cancelled, rescheduled, pending, or missing shipment records.</w:t>
      </w:r>
    </w:p>
    <w:tbl>
      <w:tblPr>
        <w:tblStyle w:val="TableGrid"/>
        <w:tblW w:type="auto" w:w="0"/>
        <w:jc w:val="center"/>
        <w:tblLayout w:type="fixed"/>
        <w:tblLook w:firstColumn="1" w:firstRow="1" w:lastColumn="0" w:lastRow="0" w:noHBand="0" w:noVBand="1" w:val="04A0"/>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3331"/>
        <w:gridCol w:w="3331"/>
        <w:gridCol w:w="3331"/>
      </w:tblGrid>
      <w:tr>
        <w:trPr>
          <w:tblHeader w:val="true"/>
          <w:cantSplit/>
          <w:cantSplit/>
          <w:tblHeader w:val="true"/>
        </w:trPr>
        <w:tc>
          <w:tcPr>
            <w:tcW w:type="dxa" w:w="2015"/>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KPI</w:t>
            </w:r>
          </w:p>
        </w:tc>
        <w:tc>
          <w:tcPr>
            <w:tcW w:type="dxa" w:w="3816"/>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Proposed calculation / unit</w:t>
            </w:r>
          </w:p>
        </w:tc>
        <w:tc>
          <w:tcPr>
            <w:tcW w:type="dxa" w:w="3945"/>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Decision value and caveat</w:t>
            </w:r>
          </w:p>
        </w:tc>
      </w:tr>
      <w:tr>
        <w:trPr>
          <w:cantSplit/>
          <w:cantSplit/>
        </w:trPr>
        <w:tc>
          <w:tcPr>
            <w:tcW w:type="dxa" w:w="2015"/>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On-time delivery rate</w:t>
            </w:r>
          </w:p>
        </w:tc>
        <w:tc>
          <w:tcPr>
            <w:tcW w:type="dxa" w:w="3816"/>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Deliveries completed on or before promise time ÷ eligible shipments in the agreed reporting population × 100 (%)</w:t>
            </w:r>
          </w:p>
        </w:tc>
        <w:tc>
          <w:tcPr>
            <w:tcW w:type="dxa" w:w="3945"/>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Measures reliability. Define eligibility and how pending shipments and promise-time changes are handled.</w:t>
            </w:r>
          </w:p>
        </w:tc>
      </w:tr>
      <w:tr>
        <w:trPr>
          <w:cantSplit/>
          <w:cantSplit/>
        </w:trPr>
        <w:tc>
          <w:tcPr>
            <w:tcW w:type="dxa" w:w="2015"/>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Average delivery-time variance</w:t>
            </w:r>
          </w:p>
        </w:tc>
        <w:tc>
          <w:tcPr>
            <w:tcW w:type="dxa" w:w="3816"/>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Mean(actual delivery timestamp − promised timestamp) among delivered shipments (hours)</w:t>
            </w:r>
          </w:p>
        </w:tc>
        <w:tc>
          <w:tcPr>
            <w:tcW w:type="dxa" w:w="3945"/>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Negative means early and positive means late. Show the distribution too; a mean can hide outliers.</w:t>
            </w:r>
          </w:p>
        </w:tc>
      </w:tr>
      <w:tr>
        <w:trPr>
          <w:cantSplit/>
          <w:cantSplit/>
        </w:trPr>
        <w:tc>
          <w:tcPr>
            <w:tcW w:type="dxa" w:w="2015"/>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Average late-delivery duration</w:t>
            </w:r>
          </w:p>
        </w:tc>
        <w:tc>
          <w:tcPr>
            <w:tcW w:type="dxa" w:w="3816"/>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Mean positive delivery-time variance among late delivered shipments (hours)</w:t>
            </w:r>
          </w:p>
        </w:tc>
        <w:tc>
          <w:tcPr>
            <w:tcW w:type="dxa" w:w="3945"/>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Shows the typical size of delay among late deliveries; report late-shipment count alongside it.</w:t>
            </w:r>
          </w:p>
        </w:tc>
      </w:tr>
      <w:tr>
        <w:trPr>
          <w:cantSplit/>
          <w:cantSplit/>
        </w:trPr>
        <w:tc>
          <w:tcPr>
            <w:tcW w:type="dxa" w:w="2015"/>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Transportation cost per shipment</w:t>
            </w:r>
          </w:p>
        </w:tc>
        <w:tc>
          <w:tcPr>
            <w:tcW w:type="dxa" w:w="3816"/>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Sum of eligible recorded transport costs ÷ number of shipments with valid costs (INR/shipment)</w:t>
            </w:r>
          </w:p>
        </w:tc>
        <w:tc>
          <w:tcPr>
            <w:tcW w:type="dxa" w:w="3945"/>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Enables cost monitoring; cost components and missing values must be defined.</w:t>
            </w:r>
          </w:p>
        </w:tc>
      </w:tr>
      <w:tr>
        <w:trPr>
          <w:cantSplit/>
          <w:cantSplit/>
        </w:trPr>
        <w:tc>
          <w:tcPr>
            <w:tcW w:type="dxa" w:w="2015"/>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First-attempt success rate</w:t>
            </w:r>
          </w:p>
        </w:tc>
        <w:tc>
          <w:tcPr>
            <w:tcW w:type="dxa" w:w="3816"/>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Shipments successful on the first attempt ÷ shipments with a valid first-attempt outcome × 100 (%)</w:t>
            </w:r>
          </w:p>
        </w:tc>
        <w:tc>
          <w:tcPr>
            <w:tcW w:type="dxa" w:w="3945"/>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Can help identify address, availability, or dispatch issues; outcome definitions must be consistent.</w:t>
            </w:r>
          </w:p>
        </w:tc>
      </w:tr>
    </w:tbl>
    <w:p>
      <w:pPr>
        <w:spacing w:after="20"/>
      </w:pPr>
    </w:p>
    <w:p>
      <w:pPr>
        <w:pStyle w:val="Heading1"/>
        <w:keepNext/>
        <w:keepLines/>
      </w:pPr>
      <w:r>
        <w:rPr>
          <w:rFonts w:ascii="Arial" w:hAnsi="Arial" w:eastAsia="Arial"/>
          <w:b/>
          <w:color w:val="16324F"/>
          <w:sz w:val="30"/>
        </w:rPr>
        <w:t>5. Background Research and Potential Data Sources</w:t>
      </w:r>
    </w:p>
    <w:p>
      <w:pPr>
        <w:keepLines w:val="0"/>
        <w:spacing w:after="100" w:line="259" w:lineRule="auto"/>
      </w:pPr>
      <w:r>
        <w:rPr>
          <w:rFonts w:ascii="Arial" w:hAnsi="Arial" w:eastAsia="Arial"/>
          <w:color w:val="273746"/>
          <w:sz w:val="20"/>
        </w:rPr>
        <w:t>The sources below are intended to guide project framing, context, and later technical design. They are not substitutes for shipment-level data needed to compute the proposed KPIs.</w:t>
      </w:r>
    </w:p>
    <w:tbl>
      <w:tblPr>
        <w:tblStyle w:val="TableGrid"/>
        <w:tblW w:type="auto" w:w="0"/>
        <w:jc w:val="center"/>
        <w:tblLayout w:type="fixed"/>
        <w:tblLook w:firstColumn="1" w:firstRow="1" w:lastColumn="0" w:lastRow="0" w:noHBand="0" w:noVBand="1" w:val="04A0"/>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3331"/>
        <w:gridCol w:w="3331"/>
        <w:gridCol w:w="3331"/>
      </w:tblGrid>
      <w:tr>
        <w:trPr>
          <w:tblHeader w:val="true"/>
          <w:cantSplit/>
          <w:cantSplit/>
          <w:tblHeader w:val="true"/>
        </w:trPr>
        <w:tc>
          <w:tcPr>
            <w:tcW w:type="dxa" w:w="2664"/>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Source</w:t>
            </w:r>
          </w:p>
        </w:tc>
        <w:tc>
          <w:tcPr>
            <w:tcW w:type="dxa" w:w="3311"/>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How it may be used</w:t>
            </w:r>
          </w:p>
        </w:tc>
        <w:tc>
          <w:tcPr>
            <w:tcW w:type="dxa" w:w="3801"/>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Important limitation</w:t>
            </w:r>
          </w:p>
        </w:tc>
      </w:tr>
      <w:tr>
        <w:trPr>
          <w:cantSplit/>
          <w:cantSplit/>
        </w:trPr>
        <w:tc>
          <w:tcPr>
            <w:tcW w:type="dxa" w:w="2664"/>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World Bank Logistics Performance Index (LPI) [1]</w:t>
            </w:r>
          </w:p>
        </w:tc>
        <w:tc>
          <w:tcPr>
            <w:tcW w:type="dxa" w:w="3311"/>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Frame why timeliness, infrastructure, logistics service quality, and tracking/traceability matter in logistics performance.</w:t>
            </w:r>
          </w:p>
        </w:tc>
        <w:tc>
          <w:tcPr>
            <w:tcW w:type="dxa" w:w="3801"/>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Country-level / macro context only; cannot calculate a fictional operator’s on-time delivery rate.</w:t>
            </w:r>
          </w:p>
        </w:tc>
      </w:tr>
      <w:tr>
        <w:trPr>
          <w:cantSplit/>
          <w:cantSplit/>
        </w:trPr>
        <w:tc>
          <w:tcPr>
            <w:tcW w:type="dxa" w:w="2664"/>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Government of India portal: Ministry of Road Transport and Highways annual reports [2]</w:t>
            </w:r>
          </w:p>
        </w:tc>
        <w:tc>
          <w:tcPr>
            <w:tcW w:type="dxa" w:w="3311"/>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Review national road transport and infrastructure context relevant to a road-based logistics scenario.</w:t>
            </w:r>
          </w:p>
        </w:tc>
        <w:tc>
          <w:tcPr>
            <w:tcW w:type="dxa" w:w="3801"/>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Reports may use aggregated indicators; verify the exact year, table definitions, and relevance before citing figures.</w:t>
            </w:r>
          </w:p>
        </w:tc>
      </w:tr>
      <w:tr>
        <w:trPr>
          <w:cantSplit/>
          <w:cantSplit/>
        </w:trPr>
        <w:tc>
          <w:tcPr>
            <w:tcW w:type="dxa" w:w="2664"/>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OpenStreetMap [3]</w:t>
            </w:r>
          </w:p>
        </w:tc>
        <w:tc>
          <w:tcPr>
            <w:tcW w:type="dxa" w:w="3311"/>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Potential road-network/geographic reference for future route context or mapping, subject to usage terms and attribution.</w:t>
            </w:r>
          </w:p>
        </w:tc>
        <w:tc>
          <w:tcPr>
            <w:tcW w:type="dxa" w:w="3801"/>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Road geometry alone does not provide actual traffic, travel time, delivery stops, or business constraints.</w:t>
            </w:r>
          </w:p>
        </w:tc>
      </w:tr>
      <w:tr>
        <w:trPr>
          <w:cantSplit/>
          <w:cantSplit/>
        </w:trPr>
        <w:tc>
          <w:tcPr>
            <w:tcW w:type="dxa" w:w="2664"/>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Google OR-Tools routing documentation [4]</w:t>
            </w:r>
          </w:p>
        </w:tc>
        <w:tc>
          <w:tcPr>
            <w:tcW w:type="dxa" w:w="3311"/>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Technical reference for later route optimization concepts, including vehicle-routing constraints and distance matrices.</w:t>
            </w:r>
          </w:p>
        </w:tc>
        <w:tc>
          <w:tcPr>
            <w:tcW w:type="dxa" w:w="3801"/>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A solver needs a defensible distance/time matrix and operating constraints; a tutorial is not evidence of operational savings.</w:t>
            </w:r>
          </w:p>
        </w:tc>
      </w:tr>
      <w:tr>
        <w:trPr>
          <w:cantSplit/>
          <w:cantSplit/>
        </w:trPr>
        <w:tc>
          <w:tcPr>
            <w:tcW w:type="dxa" w:w="2664"/>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Shipment-level operational table or clearly labelled synthetic fixture</w:t>
            </w:r>
          </w:p>
        </w:tc>
        <w:tc>
          <w:tcPr>
            <w:tcW w:type="dxa" w:w="3311"/>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Enables row-level KPI computation, EDA, and pipeline testing in later weeks.</w:t>
            </w:r>
          </w:p>
        </w:tc>
        <w:tc>
          <w:tcPr>
            <w:tcW w:type="dxa" w:w="3801"/>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Real data need lawful access and documentation. Synthetic data must be labelled and cannot substantiate real-world conclusions.</w:t>
            </w:r>
          </w:p>
        </w:tc>
      </w:tr>
    </w:tbl>
    <w:p>
      <w:pPr>
        <w:spacing w:after="20"/>
      </w:pPr>
    </w:p>
    <w:p>
      <w:pPr>
        <w:keepLines/>
        <w:spacing w:before="40" w:after="100"/>
      </w:pPr>
      <w:r>
        <w:rPr>
          <w:rFonts w:ascii="Arial" w:hAnsi="Arial" w:eastAsia="Arial"/>
          <w:i/>
          <w:color w:val="657383"/>
          <w:sz w:val="19"/>
        </w:rPr>
        <w:t>Source-selection decision: use public sources for background and method design; do not invent operational records. For Week 2 onward, select a genuinely accessible, suitably licensed public dataset if one supports the business questions, or use a clearly labelled synthetic dataset where the task explicitly allows hypothetical data. Record its owner/source URL, download date, licence, schema, and known limitations.</w:t>
      </w:r>
    </w:p>
    <w:p>
      <w:pPr>
        <w:pStyle w:val="Heading1"/>
        <w:keepNext/>
        <w:keepLines/>
      </w:pPr>
      <w:r>
        <w:rPr>
          <w:rFonts w:ascii="Arial" w:hAnsi="Arial" w:eastAsia="Arial"/>
          <w:b/>
          <w:color w:val="16324F"/>
          <w:sz w:val="30"/>
        </w:rPr>
        <w:t>6. Proposed Dataset and Data Dictionary</w:t>
      </w:r>
    </w:p>
    <w:p>
      <w:pPr>
        <w:keepLines w:val="0"/>
        <w:spacing w:after="100" w:line="259" w:lineRule="auto"/>
      </w:pPr>
      <w:r>
        <w:rPr>
          <w:rFonts w:ascii="Arial" w:hAnsi="Arial" w:eastAsia="Arial"/>
          <w:color w:val="273746"/>
          <w:sz w:val="20"/>
        </w:rPr>
        <w:t>A later shipment-level table should ideally contain one row per shipment or a well-defined event-level structure. The first implementation should prefer one row per shipment for clarity, with timestamps normalized to one time zone and clear rules for reattempts and rescheduling.</w:t>
      </w:r>
    </w:p>
    <w:tbl>
      <w:tblPr>
        <w:tblStyle w:val="TableGrid"/>
        <w:tblW w:type="auto" w:w="0"/>
        <w:jc w:val="center"/>
        <w:tblLayout w:type="fixed"/>
        <w:tblLook w:firstColumn="1" w:firstRow="1" w:lastColumn="0" w:lastRow="0" w:noHBand="0" w:noVBand="1" w:val="04A0"/>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3331"/>
        <w:gridCol w:w="3331"/>
        <w:gridCol w:w="3331"/>
      </w:tblGrid>
      <w:tr>
        <w:trPr>
          <w:tblHeader w:val="true"/>
          <w:cantSplit/>
          <w:cantSplit/>
          <w:tblHeader w:val="true"/>
        </w:trPr>
        <w:tc>
          <w:tcPr>
            <w:tcW w:type="dxa" w:w="2232"/>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Field</w:t>
            </w:r>
          </w:p>
        </w:tc>
        <w:tc>
          <w:tcPr>
            <w:tcW w:type="dxa" w:w="3384"/>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Meaning / format</w:t>
            </w:r>
          </w:p>
        </w:tc>
        <w:tc>
          <w:tcPr>
            <w:tcW w:type="dxa" w:w="4161"/>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Why it matters</w:t>
            </w:r>
          </w:p>
        </w:tc>
      </w:tr>
      <w:tr>
        <w:trPr>
          <w:cantSplit/>
          <w:cantSplit/>
        </w:trPr>
        <w:tc>
          <w:tcPr>
            <w:tcW w:type="dxa" w:w="2232"/>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shipment_id</w:t>
            </w:r>
          </w:p>
        </w:tc>
        <w:tc>
          <w:tcPr>
            <w:tcW w:type="dxa" w:w="3384"/>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Unique shipment identifier (string)</w:t>
            </w:r>
          </w:p>
        </w:tc>
        <w:tc>
          <w:tcPr>
            <w:tcW w:type="dxa" w:w="4161"/>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Deduplication, row-level audit, and joins</w:t>
            </w:r>
          </w:p>
        </w:tc>
      </w:tr>
      <w:tr>
        <w:trPr>
          <w:cantSplit/>
          <w:cantSplit/>
        </w:trPr>
        <w:tc>
          <w:tcPr>
            <w:tcW w:type="dxa" w:w="2232"/>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order_date</w:t>
            </w:r>
          </w:p>
        </w:tc>
        <w:tc>
          <w:tcPr>
            <w:tcW w:type="dxa" w:w="3384"/>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Order creation timestamp</w:t>
            </w:r>
          </w:p>
        </w:tc>
        <w:tc>
          <w:tcPr>
            <w:tcW w:type="dxa" w:w="4161"/>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Cohort and time-based demand context</w:t>
            </w:r>
          </w:p>
        </w:tc>
      </w:tr>
      <w:tr>
        <w:trPr>
          <w:cantSplit/>
          <w:cantSplit/>
        </w:trPr>
        <w:tc>
          <w:tcPr>
            <w:tcW w:type="dxa" w:w="2232"/>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promised_delivery_at</w:t>
            </w:r>
          </w:p>
        </w:tc>
        <w:tc>
          <w:tcPr>
            <w:tcW w:type="dxa" w:w="3384"/>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Promised delivery timestamp</w:t>
            </w:r>
          </w:p>
        </w:tc>
        <w:tc>
          <w:tcPr>
            <w:tcW w:type="dxa" w:w="4161"/>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Reference point for on-time calculation</w:t>
            </w:r>
          </w:p>
        </w:tc>
      </w:tr>
      <w:tr>
        <w:trPr>
          <w:cantSplit/>
          <w:cantSplit/>
        </w:trPr>
        <w:tc>
          <w:tcPr>
            <w:tcW w:type="dxa" w:w="2232"/>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delivered_at</w:t>
            </w:r>
          </w:p>
        </w:tc>
        <w:tc>
          <w:tcPr>
            <w:tcW w:type="dxa" w:w="3384"/>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Actual delivery timestamp; missing while undelivered</w:t>
            </w:r>
          </w:p>
        </w:tc>
        <w:tc>
          <w:tcPr>
            <w:tcW w:type="dxa" w:w="4161"/>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Actual result and delivery-time variance</w:t>
            </w:r>
          </w:p>
        </w:tc>
      </w:tr>
      <w:tr>
        <w:trPr>
          <w:cantSplit/>
          <w:cantSplit/>
        </w:trPr>
        <w:tc>
          <w:tcPr>
            <w:tcW w:type="dxa" w:w="2232"/>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region</w:t>
            </w:r>
          </w:p>
        </w:tc>
        <w:tc>
          <w:tcPr>
            <w:tcW w:type="dxa" w:w="3384"/>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Service zone / region category</w:t>
            </w:r>
          </w:p>
        </w:tc>
        <w:tc>
          <w:tcPr>
            <w:tcW w:type="dxa" w:w="4161"/>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Segment comparisons and hotspot analysis</w:t>
            </w:r>
          </w:p>
        </w:tc>
      </w:tr>
      <w:tr>
        <w:trPr>
          <w:cantSplit/>
          <w:cantSplit/>
        </w:trPr>
        <w:tc>
          <w:tcPr>
            <w:tcW w:type="dxa" w:w="2232"/>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distance_km</w:t>
            </w:r>
          </w:p>
        </w:tc>
        <w:tc>
          <w:tcPr>
            <w:tcW w:type="dxa" w:w="3384"/>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Planned or measured route distance (numeric, km)</w:t>
            </w:r>
          </w:p>
        </w:tc>
        <w:tc>
          <w:tcPr>
            <w:tcW w:type="dxa" w:w="4161"/>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Potential delivery-time and cost driver; distinguish planned from actual distance</w:t>
            </w:r>
          </w:p>
        </w:tc>
      </w:tr>
      <w:tr>
        <w:trPr>
          <w:cantSplit/>
          <w:cantSplit/>
        </w:trPr>
        <w:tc>
          <w:tcPr>
            <w:tcW w:type="dxa" w:w="2232"/>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shipment_weight_kg</w:t>
            </w:r>
          </w:p>
        </w:tc>
        <w:tc>
          <w:tcPr>
            <w:tcW w:type="dxa" w:w="3384"/>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Shipment weight (numeric, kg)</w:t>
            </w:r>
          </w:p>
        </w:tc>
        <w:tc>
          <w:tcPr>
            <w:tcW w:type="dxa" w:w="4161"/>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Potential load and vehicle-capacity driver</w:t>
            </w:r>
          </w:p>
        </w:tc>
      </w:tr>
      <w:tr>
        <w:trPr>
          <w:cantSplit/>
          <w:cantSplit/>
        </w:trPr>
        <w:tc>
          <w:tcPr>
            <w:tcW w:type="dxa" w:w="2232"/>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transport_cost_inr</w:t>
            </w:r>
          </w:p>
        </w:tc>
        <w:tc>
          <w:tcPr>
            <w:tcW w:type="dxa" w:w="3384"/>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Defined transportation cost amount (numeric, INR)</w:t>
            </w:r>
          </w:p>
        </w:tc>
        <w:tc>
          <w:tcPr>
            <w:tcW w:type="dxa" w:w="4161"/>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Cost KPI; document which cost components are included</w:t>
            </w:r>
          </w:p>
        </w:tc>
      </w:tr>
      <w:tr>
        <w:trPr>
          <w:cantSplit/>
          <w:cantSplit/>
        </w:trPr>
        <w:tc>
          <w:tcPr>
            <w:tcW w:type="dxa" w:w="2232"/>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vehicle_type</w:t>
            </w:r>
          </w:p>
        </w:tc>
        <w:tc>
          <w:tcPr>
            <w:tcW w:type="dxa" w:w="3384"/>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Vehicle category</w:t>
            </w:r>
          </w:p>
        </w:tc>
        <w:tc>
          <w:tcPr>
            <w:tcW w:type="dxa" w:w="4161"/>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Compare operations across vehicle categories</w:t>
            </w:r>
          </w:p>
        </w:tc>
      </w:tr>
      <w:tr>
        <w:trPr>
          <w:cantSplit/>
          <w:cantSplit/>
        </w:trPr>
        <w:tc>
          <w:tcPr>
            <w:tcW w:type="dxa" w:w="2232"/>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first_attempt_status</w:t>
            </w:r>
          </w:p>
        </w:tc>
        <w:tc>
          <w:tcPr>
            <w:tcW w:type="dxa" w:w="3384"/>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Standardized status such as Success / Failed</w:t>
            </w:r>
          </w:p>
        </w:tc>
        <w:tc>
          <w:tcPr>
            <w:tcW w:type="dxa" w:w="4161"/>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First-attempt delivery performance</w:t>
            </w:r>
          </w:p>
        </w:tc>
      </w:tr>
    </w:tbl>
    <w:p>
      <w:pPr>
        <w:spacing w:after="20"/>
      </w:pPr>
    </w:p>
    <w:p>
      <w:pPr>
        <w:pStyle w:val="Heading1"/>
        <w:keepNext/>
        <w:keepLines/>
      </w:pPr>
      <w:r>
        <w:rPr>
          <w:rFonts w:ascii="Arial" w:hAnsi="Arial" w:eastAsia="Arial"/>
          <w:b/>
          <w:color w:val="16324F"/>
          <w:sz w:val="30"/>
        </w:rPr>
        <w:t>7. End-to-End Strategic Roadmap</w:t>
      </w:r>
    </w:p>
    <w:tbl>
      <w:tblPr>
        <w:tblStyle w:val="TableGrid"/>
        <w:tblW w:type="auto" w:w="0"/>
        <w:jc w:val="center"/>
        <w:tblLayout w:type="fixed"/>
        <w:tblLook w:firstColumn="1" w:firstRow="1" w:lastColumn="0" w:lastRow="0" w:noHBand="0" w:noVBand="1" w:val="04A0"/>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3331"/>
        <w:gridCol w:w="3331"/>
        <w:gridCol w:w="3331"/>
      </w:tblGrid>
      <w:tr>
        <w:trPr>
          <w:tblHeader w:val="true"/>
          <w:cantSplit/>
          <w:cantSplit/>
          <w:tblHeader w:val="true"/>
        </w:trPr>
        <w:tc>
          <w:tcPr>
            <w:tcW w:type="dxa" w:w="1800"/>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Phase</w:t>
            </w:r>
          </w:p>
        </w:tc>
        <w:tc>
          <w:tcPr>
            <w:tcW w:type="dxa" w:w="4464"/>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Planned activities</w:t>
            </w:r>
          </w:p>
        </w:tc>
        <w:tc>
          <w:tcPr>
            <w:tcW w:type="dxa" w:w="3513"/>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Output / gate</w:t>
            </w:r>
          </w:p>
        </w:tc>
      </w:tr>
      <w:tr>
        <w:trPr>
          <w:cantSplit/>
          <w:cantSplit/>
        </w:trPr>
        <w:tc>
          <w:tcPr>
            <w:tcW w:type="dxa" w:w="1800"/>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1. Define</w:t>
            </w:r>
          </w:p>
        </w:tc>
        <w:tc>
          <w:tcPr>
            <w:tcW w:type="dxa" w:w="4464"/>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Approve problem statement, business questions, KPI formulas, scope, and stakeholder expectations.</w:t>
            </w:r>
          </w:p>
        </w:tc>
        <w:tc>
          <w:tcPr>
            <w:tcW w:type="dxa" w:w="3513"/>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Signed-off definitions and assumptions.</w:t>
            </w:r>
          </w:p>
        </w:tc>
      </w:tr>
      <w:tr>
        <w:trPr>
          <w:cantSplit/>
          <w:cantSplit/>
        </w:trPr>
        <w:tc>
          <w:tcPr>
            <w:tcW w:type="dxa" w:w="1800"/>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2. Source</w:t>
            </w:r>
          </w:p>
        </w:tc>
        <w:tc>
          <w:tcPr>
            <w:tcW w:type="dxa" w:w="4464"/>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Select lawful public data or clearly labelled synthetic input; record source, date, licence, schema, and limitations.</w:t>
            </w:r>
          </w:p>
        </w:tc>
        <w:tc>
          <w:tcPr>
            <w:tcW w:type="dxa" w:w="3513"/>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Source register and data dictionary.</w:t>
            </w:r>
          </w:p>
        </w:tc>
      </w:tr>
      <w:tr>
        <w:trPr>
          <w:cantSplit/>
          <w:cantSplit/>
        </w:trPr>
        <w:tc>
          <w:tcPr>
            <w:tcW w:type="dxa" w:w="1800"/>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3. Validate</w:t>
            </w:r>
          </w:p>
        </w:tc>
        <w:tc>
          <w:tcPr>
            <w:tcW w:type="dxa" w:w="4464"/>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Load into pandas; check required columns, types, unique identifiers, missingness, impossible values, timestamp ordering, and units.</w:t>
            </w:r>
          </w:p>
        </w:tc>
        <w:tc>
          <w:tcPr>
            <w:tcW w:type="dxa" w:w="3513"/>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Quality log; no silent row deletion.</w:t>
            </w:r>
          </w:p>
        </w:tc>
      </w:tr>
      <w:tr>
        <w:trPr>
          <w:cantSplit/>
          <w:cantSplit/>
        </w:trPr>
        <w:tc>
          <w:tcPr>
            <w:tcW w:type="dxa" w:w="1800"/>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4. Clean</w:t>
            </w:r>
          </w:p>
        </w:tc>
        <w:tc>
          <w:tcPr>
            <w:tcW w:type="dxa" w:w="4464"/>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Standardize categories and timestamps; investigate duplicates/outliers; handle missing data with documented, variable-specific rules.</w:t>
            </w:r>
          </w:p>
        </w:tc>
        <w:tc>
          <w:tcPr>
            <w:tcW w:type="dxa" w:w="3513"/>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Reproducible cleaned dataset and cleaning log.</w:t>
            </w:r>
          </w:p>
        </w:tc>
      </w:tr>
      <w:tr>
        <w:trPr>
          <w:cantSplit/>
          <w:cantSplit/>
        </w:trPr>
        <w:tc>
          <w:tcPr>
            <w:tcW w:type="dxa" w:w="1800"/>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5. Explore</w:t>
            </w:r>
          </w:p>
        </w:tc>
        <w:tc>
          <w:tcPr>
            <w:tcW w:type="dxa" w:w="4464"/>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Review distributions, summary statistics, trends over time, and segment differences by region, vehicle, distance, and weight.</w:t>
            </w:r>
          </w:p>
        </w:tc>
        <w:tc>
          <w:tcPr>
            <w:tcW w:type="dxa" w:w="3513"/>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EDA charts and a short list of evidence-backed observations.</w:t>
            </w:r>
          </w:p>
        </w:tc>
      </w:tr>
      <w:tr>
        <w:trPr>
          <w:cantSplit/>
          <w:cantSplit/>
        </w:trPr>
        <w:tc>
          <w:tcPr>
            <w:tcW w:type="dxa" w:w="1800"/>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6. Measure</w:t>
            </w:r>
          </w:p>
        </w:tc>
        <w:tc>
          <w:tcPr>
            <w:tcW w:type="dxa" w:w="4464"/>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Calculate agreed KPIs; show denominators, date range, sample size, and data coverage alongside values.</w:t>
            </w:r>
          </w:p>
        </w:tc>
        <w:tc>
          <w:tcPr>
            <w:tcW w:type="dxa" w:w="3513"/>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KPI summary and segment comparison.</w:t>
            </w:r>
          </w:p>
        </w:tc>
      </w:tr>
      <w:tr>
        <w:trPr>
          <w:cantSplit/>
          <w:cantSplit/>
        </w:trPr>
        <w:tc>
          <w:tcPr>
            <w:tcW w:type="dxa" w:w="1800"/>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7. Model later</w:t>
            </w:r>
          </w:p>
        </w:tc>
        <w:tc>
          <w:tcPr>
            <w:tcW w:type="dxa" w:w="4464"/>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Only if suitable data exist: define a target, establish a baseline, split data appropriately, compare models, and evaluate error.</w:t>
            </w:r>
          </w:p>
        </w:tc>
        <w:tc>
          <w:tcPr>
            <w:tcW w:type="dxa" w:w="3513"/>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Validated model results with limitations; no unsupported performance claims.</w:t>
            </w:r>
          </w:p>
        </w:tc>
      </w:tr>
      <w:tr>
        <w:trPr>
          <w:cantSplit/>
          <w:cantSplit/>
        </w:trPr>
        <w:tc>
          <w:tcPr>
            <w:tcW w:type="dxa" w:w="1800"/>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8. Optimize later</w:t>
            </w:r>
          </w:p>
        </w:tc>
        <w:tc>
          <w:tcPr>
            <w:tcW w:type="dxa" w:w="4464"/>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Where route data and constraints permit, explore route/vehicle assignment scenarios and compare with a documented baseline.</w:t>
            </w:r>
          </w:p>
        </w:tc>
        <w:tc>
          <w:tcPr>
            <w:tcW w:type="dxa" w:w="3513"/>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Scenario comparison and operational feasibility review.</w:t>
            </w:r>
          </w:p>
        </w:tc>
      </w:tr>
      <w:tr>
        <w:trPr>
          <w:cantSplit/>
          <w:cantSplit/>
        </w:trPr>
        <w:tc>
          <w:tcPr>
            <w:tcW w:type="dxa" w:w="1800"/>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9. Communicate</w:t>
            </w:r>
          </w:p>
        </w:tc>
        <w:tc>
          <w:tcPr>
            <w:tcW w:type="dxa" w:w="4464"/>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Present key results, caveats, recommendations, and next steps in a reproducible report.</w:t>
            </w:r>
          </w:p>
        </w:tc>
        <w:tc>
          <w:tcPr>
            <w:tcW w:type="dxa" w:w="3513"/>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Stakeholder-ready report and versioned code.</w:t>
            </w:r>
          </w:p>
        </w:tc>
      </w:tr>
    </w:tbl>
    <w:p>
      <w:pPr>
        <w:spacing w:after="20"/>
      </w:pPr>
    </w:p>
    <w:p>
      <w:pPr>
        <w:pStyle w:val="Heading2"/>
        <w:keepNext/>
        <w:keepLines/>
      </w:pPr>
      <w:r>
        <w:rPr>
          <w:rFonts w:ascii="Arial" w:hAnsi="Arial" w:eastAsia="Arial"/>
          <w:b/>
          <w:color w:val="168C8C"/>
          <w:sz w:val="23"/>
        </w:rPr>
        <w:t>7.1 Workflow summary</w:t>
      </w:r>
    </w:p>
    <w:tbl>
      <w:tblPr>
        <w:tblStyle w:val="TableGrid"/>
        <w:tblW w:type="auto" w:w="0"/>
        <w:jc w:val="center"/>
        <w:tblLayout w:type="fixed"/>
        <w:tblLook w:firstColumn="1" w:firstRow="1" w:lastColumn="0" w:lastRow="0" w:noHBand="0" w:noVBand="1" w:val="04A0"/>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1666"/>
        <w:gridCol w:w="1666"/>
        <w:gridCol w:w="1666"/>
        <w:gridCol w:w="1666"/>
        <w:gridCol w:w="1666"/>
        <w:gridCol w:w="1666"/>
      </w:tblGrid>
      <w:tr>
        <w:trPr>
          <w:tblHeader w:val="true"/>
          <w:cantSplit/>
          <w:cantSplit/>
          <w:tblHeader w:val="true"/>
        </w:trPr>
        <w:tc>
          <w:tcPr>
            <w:tcW w:type="dxa" w:w="1629"/>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4"/>
              </w:rPr>
              <w:t>Business question</w:t>
            </w:r>
          </w:p>
        </w:tc>
        <w:tc>
          <w:tcPr>
            <w:tcW w:type="dxa" w:w="1629"/>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4"/>
              </w:rPr>
              <w:t>Data sourcing</w:t>
            </w:r>
          </w:p>
        </w:tc>
        <w:tc>
          <w:tcPr>
            <w:tcW w:type="dxa" w:w="1629"/>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4"/>
              </w:rPr>
              <w:t>Quality checks</w:t>
            </w:r>
          </w:p>
        </w:tc>
        <w:tc>
          <w:tcPr>
            <w:tcW w:type="dxa" w:w="1629"/>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4"/>
              </w:rPr>
              <w:t>EDA + KPIs</w:t>
            </w:r>
          </w:p>
        </w:tc>
        <w:tc>
          <w:tcPr>
            <w:tcW w:type="dxa" w:w="1629"/>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4"/>
              </w:rPr>
              <w:t>Model / optimize later</w:t>
            </w:r>
          </w:p>
        </w:tc>
        <w:tc>
          <w:tcPr>
            <w:tcW w:type="dxa" w:w="1629"/>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4"/>
              </w:rPr>
              <w:t>Decision review</w:t>
            </w:r>
          </w:p>
        </w:tc>
      </w:tr>
      <w:tr>
        <w:trPr>
          <w:cantSplit/>
          <w:cantSplit/>
        </w:trPr>
        <w:tc>
          <w:tcPr>
            <w:tcW w:type="dxa" w:w="1629"/>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4"/>
              </w:rPr>
              <w:t>Define problem and metrics</w:t>
            </w:r>
          </w:p>
        </w:tc>
        <w:tc>
          <w:tcPr>
            <w:tcW w:type="dxa" w:w="1629"/>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4"/>
              </w:rPr>
              <w:t>Source register + data dictionary</w:t>
            </w:r>
          </w:p>
        </w:tc>
        <w:tc>
          <w:tcPr>
            <w:tcW w:type="dxa" w:w="1629"/>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4"/>
              </w:rPr>
              <w:t>Schema, missingness, duplicates, units</w:t>
            </w:r>
          </w:p>
        </w:tc>
        <w:tc>
          <w:tcPr>
            <w:tcW w:type="dxa" w:w="1629"/>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4"/>
              </w:rPr>
              <w:t>Distributions, segments, time trends</w:t>
            </w:r>
          </w:p>
        </w:tc>
        <w:tc>
          <w:tcPr>
            <w:tcW w:type="dxa" w:w="1629"/>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4"/>
              </w:rPr>
              <w:t>Only with adequate data and constraints</w:t>
            </w:r>
          </w:p>
        </w:tc>
        <w:tc>
          <w:tcPr>
            <w:tcW w:type="dxa" w:w="1629"/>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4"/>
              </w:rPr>
              <w:t>Interpret results with caveats</w:t>
            </w:r>
          </w:p>
        </w:tc>
      </w:tr>
    </w:tbl>
    <w:p>
      <w:pPr>
        <w:spacing w:after="20"/>
      </w:pPr>
    </w:p>
    <w:p>
      <w:pPr>
        <w:pStyle w:val="Heading1"/>
        <w:keepNext/>
        <w:keepLines/>
      </w:pPr>
      <w:r>
        <w:rPr>
          <w:rFonts w:ascii="Arial" w:hAnsi="Arial" w:eastAsia="Arial"/>
          <w:b/>
          <w:color w:val="16324F"/>
          <w:sz w:val="30"/>
        </w:rPr>
        <w:t>8. Python Code Illustration</w:t>
      </w:r>
    </w:p>
    <w:p>
      <w:pPr>
        <w:keepLines w:val="0"/>
        <w:spacing w:after="100" w:line="259" w:lineRule="auto"/>
      </w:pPr>
      <w:r>
        <w:rPr>
          <w:rFonts w:ascii="Arial" w:hAnsi="Arial" w:eastAsia="Arial"/>
          <w:color w:val="273746"/>
          <w:sz w:val="20"/>
        </w:rPr>
        <w:t>The accompanying repository includes a starter script (src/kpi_framework.py) that demonstrates required-column checks, timestamp conversion, basic quality checks, and proposed KPI logic. The short excerpt below illustrates the core calculation; it is not a completed analysis of a real logistics operation.</w:t>
      </w:r>
    </w:p>
    <w:p>
      <w:pPr>
        <w:spacing w:after="20" w:line="240" w:lineRule="auto" w:before="20"/>
        <w:ind w:left="216" w:right="216"/>
        <w:keepLines/>
        <w:shd w:fill="F2F5F7"/>
      </w:pPr>
      <w:r>
        <w:rPr>
          <w:rFonts w:ascii="Consolas" w:hAnsi="Consolas" w:eastAsia="Consolas"/>
          <w:color w:val="203040"/>
          <w:sz w:val="16"/>
        </w:rPr>
        <w:t>for c in ["promised_delivery_at", "delivered_at"]: df[c] = pd.to_datetime(df[c], errors="coerce")</w:t>
      </w:r>
    </w:p>
    <w:p>
      <w:pPr>
        <w:spacing w:after="20" w:line="240" w:lineRule="auto" w:before="20"/>
        <w:ind w:left="216" w:right="216"/>
        <w:keepLines/>
        <w:shd w:fill="F2F5F7"/>
      </w:pPr>
      <w:r>
        <w:rPr>
          <w:rFonts w:ascii="Consolas" w:hAnsi="Consolas" w:eastAsia="Consolas"/>
          <w:color w:val="203040"/>
          <w:sz w:val="16"/>
        </w:rPr>
        <w:t>lag_h = (df.delivered_at - df.promised_delivery_at).dt.total_seconds() / 3600</w:t>
      </w:r>
    </w:p>
    <w:p>
      <w:pPr>
        <w:spacing w:after="20" w:line="240" w:lineRule="auto" w:before="20"/>
        <w:ind w:left="216" w:right="216"/>
        <w:keepLines/>
        <w:shd w:fill="F2F5F7"/>
      </w:pPr>
      <w:r>
        <w:rPr>
          <w:rFonts w:ascii="Consolas" w:hAnsi="Consolas" w:eastAsia="Consolas"/>
          <w:color w:val="203040"/>
          <w:sz w:val="16"/>
        </w:rPr>
        <w:t>on_time_pct = 100 * (df.delivered_at.notna() &amp; lag_h.le(0)).mean() if len(df) else None</w:t>
      </w:r>
    </w:p>
    <w:p>
      <w:pPr>
        <w:keepLines/>
        <w:spacing w:before="60" w:after="100"/>
      </w:pPr>
      <w:r>
        <w:rPr>
          <w:rFonts w:ascii="Arial" w:hAnsi="Arial" w:eastAsia="Arial"/>
          <w:i/>
          <w:color w:val="657383"/>
          <w:sz w:val="18"/>
        </w:rPr>
        <w:t>Interpretation note: this starter excerpt uses a simplified snapshot denominator in which all rows in the extract are eligible and undelivered rows do not count as successful on-time deliveries. A real project must confirm the reporting window and business rules for pending, cancelled, rescheduled, or otherwise ineligible shipments before this KPI is published.</w:t>
      </w:r>
    </w:p>
    <w:p>
      <w:pPr>
        <w:pStyle w:val="Heading1"/>
        <w:keepNext/>
        <w:keepLines/>
      </w:pPr>
      <w:r>
        <w:rPr>
          <w:rFonts w:ascii="Arial" w:hAnsi="Arial" w:eastAsia="Arial"/>
          <w:b/>
          <w:color w:val="16324F"/>
          <w:sz w:val="30"/>
        </w:rPr>
        <w:t>9. Proposed Analytical Techniques</w:t>
      </w:r>
    </w:p>
    <w:tbl>
      <w:tblPr>
        <w:tblStyle w:val="TableGrid"/>
        <w:tblW w:type="auto" w:w="0"/>
        <w:jc w:val="center"/>
        <w:tblLayout w:type="fixed"/>
        <w:tblLook w:firstColumn="1" w:firstRow="1" w:lastColumn="0" w:lastRow="0" w:noHBand="0" w:noVBand="1" w:val="04A0"/>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3331"/>
        <w:gridCol w:w="3331"/>
        <w:gridCol w:w="3331"/>
      </w:tblGrid>
      <w:tr>
        <w:trPr>
          <w:tblHeader w:val="true"/>
          <w:cantSplit/>
          <w:cantSplit/>
          <w:tblHeader w:val="true"/>
        </w:trPr>
        <w:tc>
          <w:tcPr>
            <w:tcW w:type="dxa" w:w="2015"/>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Technique</w:t>
            </w:r>
          </w:p>
        </w:tc>
        <w:tc>
          <w:tcPr>
            <w:tcW w:type="dxa" w:w="4536"/>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Proposed role</w:t>
            </w:r>
          </w:p>
        </w:tc>
        <w:tc>
          <w:tcPr>
            <w:tcW w:type="dxa" w:w="3225"/>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Guardrail</w:t>
            </w:r>
          </w:p>
        </w:tc>
      </w:tr>
      <w:tr>
        <w:trPr>
          <w:cantSplit/>
          <w:cantSplit/>
        </w:trPr>
        <w:tc>
          <w:tcPr>
            <w:tcW w:type="dxa" w:w="2015"/>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Descriptive statistics</w:t>
            </w:r>
          </w:p>
        </w:tc>
        <w:tc>
          <w:tcPr>
            <w:tcW w:type="dxa" w:w="4536"/>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Summarize mean, median, spread, and counts for delivery-time variance, distance, and cost.</w:t>
            </w:r>
          </w:p>
        </w:tc>
        <w:tc>
          <w:tcPr>
            <w:tcW w:type="dxa" w:w="3225"/>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Report sample size and missingness; inspect skew and outliers.</w:t>
            </w:r>
          </w:p>
        </w:tc>
      </w:tr>
      <w:tr>
        <w:trPr>
          <w:cantSplit/>
          <w:cantSplit/>
        </w:trPr>
        <w:tc>
          <w:tcPr>
            <w:tcW w:type="dxa" w:w="2015"/>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Segment analysis / clustering</w:t>
            </w:r>
          </w:p>
        </w:tc>
        <w:tc>
          <w:tcPr>
            <w:tcW w:type="dxa" w:w="4536"/>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Identify operationally similar zones or shipment profiles for investigation.</w:t>
            </w:r>
          </w:p>
        </w:tc>
        <w:tc>
          <w:tcPr>
            <w:tcW w:type="dxa" w:w="3225"/>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Clustering reveals similarity, not cause; scale numerical fields and validate usefulness.</w:t>
            </w:r>
          </w:p>
        </w:tc>
      </w:tr>
      <w:tr>
        <w:trPr>
          <w:cantSplit/>
          <w:cantSplit/>
        </w:trPr>
        <w:tc>
          <w:tcPr>
            <w:tcW w:type="dxa" w:w="2015"/>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Regression</w:t>
            </w:r>
          </w:p>
        </w:tc>
        <w:tc>
          <w:tcPr>
            <w:tcW w:type="dxa" w:w="4536"/>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Potential baseline for estimating delivery duration or cost if reliable target and predictor data exist.</w:t>
            </w:r>
          </w:p>
        </w:tc>
        <w:tc>
          <w:tcPr>
            <w:tcW w:type="dxa" w:w="3225"/>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Avoid leakage; use sensible validation and compare to a simple baseline.</w:t>
            </w:r>
          </w:p>
        </w:tc>
      </w:tr>
      <w:tr>
        <w:trPr>
          <w:cantSplit/>
          <w:cantSplit/>
        </w:trPr>
        <w:tc>
          <w:tcPr>
            <w:tcW w:type="dxa" w:w="2015"/>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Route optimization</w:t>
            </w:r>
          </w:p>
        </w:tc>
        <w:tc>
          <w:tcPr>
            <w:tcW w:type="dxa" w:w="4536"/>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Explore vehicle-routing formulations once stops, travel-time/distance matrices, capacities, time windows, and shift limits are available.</w:t>
            </w:r>
          </w:p>
        </w:tc>
        <w:tc>
          <w:tcPr>
            <w:tcW w:type="dxa" w:w="3225"/>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Feasibility and business constraints matter; a mathematical solution is not automatically operationally optimal.</w:t>
            </w:r>
          </w:p>
        </w:tc>
      </w:tr>
    </w:tbl>
    <w:p>
      <w:pPr>
        <w:spacing w:after="20"/>
      </w:pPr>
    </w:p>
    <w:p>
      <w:pPr>
        <w:keepLines w:val="0"/>
        <w:spacing w:after="100" w:line="259" w:lineRule="auto"/>
      </w:pPr>
      <w:r>
        <w:rPr>
          <w:rFonts w:ascii="Arial" w:hAnsi="Arial" w:eastAsia="Arial"/>
          <w:color w:val="273746"/>
          <w:sz w:val="20"/>
        </w:rPr>
        <w:t>The Google OR-Tools routing guide explains vehicle-routing problems with distance matrices and constraints such as vehicle capacity and customer time windows [4]. It is a relevant technical starting point for a future phase, but this Week 1 plan does not claim that a route optimizer has been built or that it would necessarily produce a particular saving.</w:t>
      </w:r>
    </w:p>
    <w:p>
      <w:pPr>
        <w:pStyle w:val="Heading1"/>
        <w:keepNext/>
        <w:keepLines/>
      </w:pPr>
      <w:r>
        <w:rPr>
          <w:rFonts w:ascii="Arial" w:hAnsi="Arial" w:eastAsia="Arial"/>
          <w:b/>
          <w:color w:val="16324F"/>
          <w:sz w:val="30"/>
        </w:rPr>
        <w:t>10. Risks, Assumptions, and Mitigations</w:t>
      </w:r>
    </w:p>
    <w:tbl>
      <w:tblPr>
        <w:tblStyle w:val="TableGrid"/>
        <w:tblW w:type="auto" w:w="0"/>
        <w:jc w:val="center"/>
        <w:tblLayout w:type="fixed"/>
        <w:tblLook w:firstColumn="1" w:firstRow="1" w:lastColumn="0" w:lastRow="0" w:noHBand="0" w:noVBand="1" w:val="04A0"/>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3331"/>
        <w:gridCol w:w="3331"/>
        <w:gridCol w:w="3331"/>
      </w:tblGrid>
      <w:tr>
        <w:trPr>
          <w:tblHeader w:val="true"/>
          <w:cantSplit/>
          <w:cantSplit/>
          <w:tblHeader w:val="true"/>
        </w:trPr>
        <w:tc>
          <w:tcPr>
            <w:tcW w:type="dxa" w:w="2088"/>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Risk / assumption</w:t>
            </w:r>
          </w:p>
        </w:tc>
        <w:tc>
          <w:tcPr>
            <w:tcW w:type="dxa" w:w="3311"/>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Potential effect</w:t>
            </w:r>
          </w:p>
        </w:tc>
        <w:tc>
          <w:tcPr>
            <w:tcW w:type="dxa" w:w="4377"/>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Mitigation</w:t>
            </w:r>
          </w:p>
        </w:tc>
      </w:tr>
      <w:tr>
        <w:trPr>
          <w:cantSplit/>
          <w:cantSplit/>
        </w:trPr>
        <w:tc>
          <w:tcPr>
            <w:tcW w:type="dxa" w:w="2088"/>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Inconsistent promise-time changes</w:t>
            </w:r>
          </w:p>
        </w:tc>
        <w:tc>
          <w:tcPr>
            <w:tcW w:type="dxa" w:w="3311"/>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Can artificially improve or worsen on-time rate.</w:t>
            </w:r>
          </w:p>
        </w:tc>
        <w:tc>
          <w:tcPr>
            <w:tcW w:type="dxa" w:w="4377"/>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Retain original and revised promise timestamps with change reason where possible; agree policy.</w:t>
            </w:r>
          </w:p>
        </w:tc>
      </w:tr>
      <w:tr>
        <w:trPr>
          <w:cantSplit/>
          <w:cantSplit/>
        </w:trPr>
        <w:tc>
          <w:tcPr>
            <w:tcW w:type="dxa" w:w="2088"/>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Missing delivery timestamps/statuses</w:t>
            </w:r>
          </w:p>
        </w:tc>
        <w:tc>
          <w:tcPr>
            <w:tcW w:type="dxa" w:w="3311"/>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May bias the delivered-only duration metrics.</w:t>
            </w:r>
          </w:p>
        </w:tc>
        <w:tc>
          <w:tcPr>
            <w:tcW w:type="dxa" w:w="4377"/>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Report completeness; define snapshot and eligibility; never silently discard pending shipments.</w:t>
            </w:r>
          </w:p>
        </w:tc>
      </w:tr>
      <w:tr>
        <w:trPr>
          <w:cantSplit/>
          <w:cantSplit/>
        </w:trPr>
        <w:tc>
          <w:tcPr>
            <w:tcW w:type="dxa" w:w="2088"/>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Duplicate shipment IDs or multiple event rows</w:t>
            </w:r>
          </w:p>
        </w:tc>
        <w:tc>
          <w:tcPr>
            <w:tcW w:type="dxa" w:w="3311"/>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Can inflate counts or confuse shipment-level metrics.</w:t>
            </w:r>
          </w:p>
        </w:tc>
        <w:tc>
          <w:tcPr>
            <w:tcW w:type="dxa" w:w="4377"/>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Define row grain and unique key; reconcile repeated events before aggregation.</w:t>
            </w:r>
          </w:p>
        </w:tc>
      </w:tr>
      <w:tr>
        <w:trPr>
          <w:cantSplit/>
          <w:cantSplit/>
        </w:trPr>
        <w:tc>
          <w:tcPr>
            <w:tcW w:type="dxa" w:w="2088"/>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Inconsistent cost components</w:t>
            </w:r>
          </w:p>
        </w:tc>
        <w:tc>
          <w:tcPr>
            <w:tcW w:type="dxa" w:w="3311"/>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Cost-per-shipment comparisons may not be comparable.</w:t>
            </w:r>
          </w:p>
        </w:tc>
        <w:tc>
          <w:tcPr>
            <w:tcW w:type="dxa" w:w="4377"/>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Document whether fuel, tolls, labour, returns, and third-party fees are included.</w:t>
            </w:r>
          </w:p>
        </w:tc>
      </w:tr>
      <w:tr>
        <w:trPr>
          <w:cantSplit/>
          <w:cantSplit/>
        </w:trPr>
        <w:tc>
          <w:tcPr>
            <w:tcW w:type="dxa" w:w="2088"/>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Synthetic data mistaken for real evidence</w:t>
            </w:r>
          </w:p>
        </w:tc>
        <w:tc>
          <w:tcPr>
            <w:tcW w:type="dxa" w:w="3311"/>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Could undermine credibility and lead to unsupported claims.</w:t>
            </w:r>
          </w:p>
        </w:tc>
        <w:tc>
          <w:tcPr>
            <w:tcW w:type="dxa" w:w="4377"/>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Label synthetic sources in the report, filenames, notebook, and charts.</w:t>
            </w:r>
          </w:p>
        </w:tc>
      </w:tr>
      <w:tr>
        <w:trPr>
          <w:cantSplit/>
          <w:cantSplit/>
        </w:trPr>
        <w:tc>
          <w:tcPr>
            <w:tcW w:type="dxa" w:w="2088"/>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Model trained on insufficient or biased data</w:t>
            </w:r>
          </w:p>
        </w:tc>
        <w:tc>
          <w:tcPr>
            <w:tcW w:type="dxa" w:w="3311"/>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Unreliable predictions across zones or seasons.</w:t>
            </w:r>
          </w:p>
        </w:tc>
        <w:tc>
          <w:tcPr>
            <w:tcW w:type="dxa" w:w="4377"/>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Establish baseline, holdout validation, error analysis, and limitations; delay modelling if data are inadequate.</w:t>
            </w:r>
          </w:p>
        </w:tc>
      </w:tr>
    </w:tbl>
    <w:p>
      <w:pPr>
        <w:spacing w:after="20"/>
      </w:pPr>
    </w:p>
    <w:p>
      <w:pPr>
        <w:pStyle w:val="Heading1"/>
        <w:keepNext/>
        <w:keepLines/>
      </w:pPr>
      <w:r>
        <w:rPr>
          <w:rFonts w:ascii="Arial" w:hAnsi="Arial" w:eastAsia="Arial"/>
          <w:b/>
          <w:color w:val="16324F"/>
          <w:sz w:val="30"/>
        </w:rPr>
        <w:t>11. Timeline and Milestones</w:t>
      </w:r>
    </w:p>
    <w:tbl>
      <w:tblPr>
        <w:tblStyle w:val="TableGrid"/>
        <w:tblW w:type="auto" w:w="0"/>
        <w:jc w:val="center"/>
        <w:tblLayout w:type="fixed"/>
        <w:tblLook w:firstColumn="1" w:firstRow="1" w:lastColumn="0" w:lastRow="0" w:noHBand="0" w:noVBand="1" w:val="04A0"/>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3331"/>
        <w:gridCol w:w="3331"/>
        <w:gridCol w:w="3331"/>
      </w:tblGrid>
      <w:tr>
        <w:trPr>
          <w:tblHeader w:val="true"/>
          <w:cantSplit/>
          <w:cantSplit/>
          <w:tblHeader w:val="true"/>
        </w:trPr>
        <w:tc>
          <w:tcPr>
            <w:tcW w:type="dxa" w:w="2376"/>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Milestone</w:t>
            </w:r>
          </w:p>
        </w:tc>
        <w:tc>
          <w:tcPr>
            <w:tcW w:type="dxa" w:w="4104"/>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Planned work</w:t>
            </w:r>
          </w:p>
        </w:tc>
        <w:tc>
          <w:tcPr>
            <w:tcW w:type="dxa" w:w="3297"/>
            <w:shd w:fill="16324F" w:val="clear"/>
            <w:tcMar>
              <w:top w:w="52" w:type="dxa"/>
              <w:start w:w="80" w:type="dxa"/>
              <w:bottom w:w="52" w:type="dxa"/>
              <w:end w:w="80" w:type="dxa"/>
            </w:tcMar>
            <w:vAlign w:val="center"/>
          </w:tcPr>
          <w:p>
            <w:pPr>
              <w:keepLines/>
              <w:spacing w:before="0" w:after="0" w:line="245" w:lineRule="auto"/>
            </w:pPr>
            <w:r>
              <w:rPr>
                <w:rFonts w:ascii="Arial" w:hAnsi="Arial" w:eastAsia="Arial"/>
                <w:b/>
                <w:color w:val="FFFFFF"/>
                <w:sz w:val="16"/>
              </w:rPr>
              <w:t>Expected output</w:t>
            </w:r>
          </w:p>
        </w:tc>
      </w:tr>
      <w:tr>
        <w:trPr>
          <w:cantSplit/>
          <w:cantSplit/>
        </w:trPr>
        <w:tc>
          <w:tcPr>
            <w:tcW w:type="dxa" w:w="2376"/>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M1 — Problem and KPI sign-off</w:t>
            </w:r>
          </w:p>
        </w:tc>
        <w:tc>
          <w:tcPr>
            <w:tcW w:type="dxa" w:w="4104"/>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Confirm scenario, questions, definitions, and scope.</w:t>
            </w:r>
          </w:p>
        </w:tc>
        <w:tc>
          <w:tcPr>
            <w:tcW w:type="dxa" w:w="3297"/>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Project brief and KPI dictionary</w:t>
            </w:r>
          </w:p>
        </w:tc>
      </w:tr>
      <w:tr>
        <w:trPr>
          <w:cantSplit/>
          <w:cantSplit/>
        </w:trPr>
        <w:tc>
          <w:tcPr>
            <w:tcW w:type="dxa" w:w="2376"/>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M2 — Research and source assessment</w:t>
            </w:r>
          </w:p>
        </w:tc>
        <w:tc>
          <w:tcPr>
            <w:tcW w:type="dxa" w:w="4104"/>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Review logistics context sources and data access/licensing options.</w:t>
            </w:r>
          </w:p>
        </w:tc>
        <w:tc>
          <w:tcPr>
            <w:tcW w:type="dxa" w:w="3297"/>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Annotated source register</w:t>
            </w:r>
          </w:p>
        </w:tc>
      </w:tr>
      <w:tr>
        <w:trPr>
          <w:cantSplit/>
          <w:cantSplit/>
        </w:trPr>
        <w:tc>
          <w:tcPr>
            <w:tcW w:type="dxa" w:w="2376"/>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M3 — Data schema and pipeline design</w:t>
            </w:r>
          </w:p>
        </w:tc>
        <w:tc>
          <w:tcPr>
            <w:tcW w:type="dxa" w:w="4104"/>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Define fields, validations, cleaning rules, and documentation.</w:t>
            </w:r>
          </w:p>
        </w:tc>
        <w:tc>
          <w:tcPr>
            <w:tcW w:type="dxa" w:w="3297"/>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Data dictionary and pipeline outline</w:t>
            </w:r>
          </w:p>
        </w:tc>
      </w:tr>
      <w:tr>
        <w:trPr>
          <w:cantSplit/>
          <w:cantSplit/>
        </w:trPr>
        <w:tc>
          <w:tcPr>
            <w:tcW w:type="dxa" w:w="2376"/>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M4 — EDA and KPI plan</w:t>
            </w:r>
          </w:p>
        </w:tc>
        <w:tc>
          <w:tcPr>
            <w:tcW w:type="dxa" w:w="4104"/>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Select summary statistics, charts, segmentation, and reporting conventions.</w:t>
            </w:r>
          </w:p>
        </w:tc>
        <w:tc>
          <w:tcPr>
            <w:tcW w:type="dxa" w:w="3297"/>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EDA and metric plan</w:t>
            </w:r>
          </w:p>
        </w:tc>
      </w:tr>
      <w:tr>
        <w:trPr>
          <w:cantSplit/>
          <w:cantSplit/>
        </w:trPr>
        <w:tc>
          <w:tcPr>
            <w:tcW w:type="dxa" w:w="2376"/>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M5 — Modeling/optimization feasibility review</w:t>
            </w:r>
          </w:p>
        </w:tc>
        <w:tc>
          <w:tcPr>
            <w:tcW w:type="dxa" w:w="4104"/>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Identify target availability, sample-size needs, constraints, and baseline options.</w:t>
            </w:r>
          </w:p>
        </w:tc>
        <w:tc>
          <w:tcPr>
            <w:tcW w:type="dxa" w:w="3297"/>
            <w:vAlign w:val="center"/>
            <w:tcMar>
              <w:top w:w="52" w:type="dxa"/>
              <w:start w:w="80" w:type="dxa"/>
              <w:bottom w:w="52" w:type="dxa"/>
              <w:end w:w="80" w:type="dxa"/>
            </w:tcMar>
            <w:shd w:fill="FFFFFF" w:val="clear"/>
          </w:tcPr>
          <w:p>
            <w:pPr>
              <w:keepLines/>
              <w:spacing w:after="0" w:before="0" w:line="245" w:lineRule="auto"/>
            </w:pPr>
            <w:r>
              <w:rPr>
                <w:rFonts w:ascii="Arial" w:hAnsi="Arial" w:eastAsia="Arial"/>
                <w:color w:val="273746"/>
                <w:sz w:val="16"/>
              </w:rPr>
              <w:t>Go/no-go criteria for later modelling</w:t>
            </w:r>
          </w:p>
        </w:tc>
      </w:tr>
      <w:tr>
        <w:trPr>
          <w:cantSplit/>
          <w:cantSplit/>
        </w:trPr>
        <w:tc>
          <w:tcPr>
            <w:tcW w:type="dxa" w:w="2376"/>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M6 — Review and handoff</w:t>
            </w:r>
          </w:p>
        </w:tc>
        <w:tc>
          <w:tcPr>
            <w:tcW w:type="dxa" w:w="4104"/>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Check report, code illustration, sources, limitations, and next-week dependencies.</w:t>
            </w:r>
          </w:p>
        </w:tc>
        <w:tc>
          <w:tcPr>
            <w:tcW w:type="dxa" w:w="3297"/>
            <w:vAlign w:val="center"/>
            <w:tcMar>
              <w:top w:w="52" w:type="dxa"/>
              <w:start w:w="80" w:type="dxa"/>
              <w:bottom w:w="52" w:type="dxa"/>
              <w:end w:w="80" w:type="dxa"/>
            </w:tcMar>
            <w:shd w:fill="F3F6F9" w:val="clear"/>
          </w:tcPr>
          <w:p>
            <w:pPr>
              <w:keepLines/>
              <w:spacing w:after="0" w:before="0" w:line="245" w:lineRule="auto"/>
            </w:pPr>
            <w:r>
              <w:rPr>
                <w:rFonts w:ascii="Arial" w:hAnsi="Arial" w:eastAsia="Arial"/>
                <w:color w:val="273746"/>
                <w:sz w:val="16"/>
              </w:rPr>
              <w:t>Final Week 1 submission package</w:t>
            </w:r>
          </w:p>
        </w:tc>
      </w:tr>
    </w:tbl>
    <w:p>
      <w:pPr>
        <w:spacing w:after="20"/>
      </w:pPr>
    </w:p>
    <w:p>
      <w:pPr>
        <w:keepLines/>
        <w:spacing w:before="40" w:after="100"/>
      </w:pPr>
      <w:r>
        <w:rPr>
          <w:rFonts w:ascii="Arial" w:hAnsi="Arial" w:eastAsia="Arial"/>
          <w:i/>
          <w:color w:val="657383"/>
          <w:sz w:val="19"/>
        </w:rPr>
        <w:t>This is a proposed milestone sequence, not a claim that each analytical phase has already been executed. The next week’s task should build from the agreed dataset/source decision and documented cleaning requirements.</w:t>
      </w:r>
    </w:p>
    <w:p>
      <w:pPr>
        <w:pStyle w:val="Heading1"/>
        <w:keepNext/>
        <w:keepLines/>
      </w:pPr>
      <w:r>
        <w:rPr>
          <w:rFonts w:ascii="Arial" w:hAnsi="Arial" w:eastAsia="Arial"/>
          <w:b/>
          <w:color w:val="16324F"/>
          <w:sz w:val="30"/>
        </w:rPr>
        <w:t>12. Expected Outcomes and Conclusion</w:t>
      </w:r>
    </w:p>
    <w:p>
      <w:pPr>
        <w:keepLines w:val="0"/>
        <w:spacing w:after="100" w:line="259" w:lineRule="auto"/>
      </w:pPr>
      <w:r>
        <w:rPr>
          <w:rFonts w:ascii="Arial" w:hAnsi="Arial" w:eastAsia="Arial"/>
          <w:color w:val="273746"/>
          <w:sz w:val="20"/>
        </w:rPr>
        <w:t>The expected outcome of Week 1 is a well-defined and reproducible plan—not a verified operational diagnosis. It establishes the business scenario, stakeholder questions, KPI framework, candidate sources, data schema, quality-control principles, Python starter code, and a staged path toward EDA, modelling, and optimization. When suitable data become available, the later analysis can identify patterns and segments worth investigating, quantify delivery and cost performance under approved definitions, and test whether prediction or routing methods add value beyond a baseline. All findings should state their data source, population, reporting period, assumptions, and limitations. This discipline makes the work credible as both an internship submission and a portfolio project.</w:t>
      </w:r>
    </w:p>
    <w:p>
      <w:r/>
    </w:p>
    <w:p>
      <w:pPr>
        <w:pStyle w:val="Heading1"/>
        <w:keepNext/>
        <w:keepLines/>
      </w:pPr>
      <w:r>
        <w:rPr>
          <w:rFonts w:ascii="Arial" w:hAnsi="Arial" w:eastAsia="Arial"/>
          <w:b/>
          <w:color w:val="16324F"/>
          <w:sz w:val="30"/>
        </w:rPr>
        <w:t>References</w:t>
      </w:r>
    </w:p>
    <w:p>
      <w:pPr>
        <w:keepLines/>
        <w:spacing w:after="80" w:before="0" w:line="247" w:lineRule="auto"/>
        <w:ind w:left="259" w:hanging="259"/>
      </w:pPr>
      <w:r>
        <w:rPr>
          <w:rFonts w:ascii="Arial" w:hAnsi="Arial" w:eastAsia="Arial"/>
          <w:color w:val="273746"/>
          <w:sz w:val="16"/>
        </w:rPr>
        <w:t>[1] World Bank (2023). “World Bank Releases Logistics Performance Index 2023.” https://www.worldbank.org/en/news/press-release/2023/04/21/world-bank-releases-logistics-performance-index-2023</w:t>
      </w:r>
    </w:p>
    <w:p>
      <w:pPr>
        <w:keepLines/>
        <w:spacing w:after="80" w:before="0" w:line="247" w:lineRule="auto"/>
        <w:ind w:left="259" w:hanging="259"/>
      </w:pPr>
      <w:r>
        <w:rPr>
          <w:rFonts w:ascii="Arial" w:hAnsi="Arial" w:eastAsia="Arial"/>
          <w:color w:val="273746"/>
          <w:sz w:val="16"/>
        </w:rPr>
        <w:t>[2] Government of India, National Portal of India. “Annual Reports of Ministry of Road Transport and Highways.” https://www.india.gov.in/category/driving-transport/subcategory/roads-road-transport/details/annual-reports-of-ministry-of-road-transport-and-highways</w:t>
      </w:r>
    </w:p>
    <w:p>
      <w:pPr>
        <w:keepLines/>
        <w:spacing w:after="80" w:before="0" w:line="247" w:lineRule="auto"/>
        <w:ind w:left="259" w:hanging="259"/>
      </w:pPr>
      <w:r>
        <w:rPr>
          <w:rFonts w:ascii="Arial" w:hAnsi="Arial" w:eastAsia="Arial"/>
          <w:color w:val="273746"/>
          <w:sz w:val="16"/>
        </w:rPr>
        <w:t>[3] OpenStreetMap. “About OpenStreetMap.” https://www.openstreetmap.org/about. Review relevant attribution requirements and applicable terms before reuse.</w:t>
      </w:r>
    </w:p>
    <w:p>
      <w:pPr>
        <w:keepLines/>
        <w:spacing w:after="80" w:before="0" w:line="247" w:lineRule="auto"/>
        <w:ind w:left="259" w:hanging="259"/>
      </w:pPr>
      <w:r>
        <w:rPr>
          <w:rFonts w:ascii="Arial" w:hAnsi="Arial" w:eastAsia="Arial"/>
          <w:color w:val="273746"/>
          <w:sz w:val="16"/>
        </w:rPr>
        <w:t>[4] Google for Developers. “Vehicle Routing Problem | OR-Tools.” https://developers.google.com/optimization/routing/vrp</w:t>
      </w:r>
    </w:p>
    <w:sectPr w:rsidR="00FC693F" w:rsidRPr="0006063C" w:rsidSect="00034616">
      <w:headerReference w:type="default" r:id="rId9"/>
      <w:footerReference w:type="default" r:id="rId10"/>
      <w:headerReference w:type="first" r:id="rId11"/>
      <w:footerReference w:type="first" r:id="rId12"/>
      <w:pgSz w:w="11909" w:h="16834"/>
      <w:pgMar w:top="1123" w:right="1066" w:bottom="1037" w:left="1066"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single" w:sz="5" w:space="0" w:color="CBD5DF"/>
        <w:left w:val="nil"/>
        <w:bottom w:val="nil"/>
        <w:right w:val="nil"/>
        <w:insideH w:val="nil"/>
        <w:insideV w:val="nil"/>
      </w:tblBorders>
    </w:tblPr>
    <w:tblGrid>
      <w:gridCol w:w="4889"/>
      <w:gridCol w:w="4889"/>
    </w:tblGrid>
    <w:tr>
      <w:tc>
        <w:tcPr>
          <w:tcW w:type="dxa" w:w="7333"/>
          <w:tcMar>
            <w:top w:w="55" w:type="dxa"/>
            <w:start w:w="0" w:type="dxa"/>
            <w:bottom w:w="0" w:type="dxa"/>
            <w:end w:w="0" w:type="dxa"/>
          </w:tcMar>
          <w:vAlign w:val="center"/>
        </w:tcPr>
        <w:p>
          <w:pPr>
            <w:spacing w:before="0" w:after="0" w:line="240" w:lineRule="auto"/>
            <w:jc w:val="left"/>
          </w:pPr>
          <w:r>
            <w:rPr>
              <w:rFonts w:ascii="Arial" w:hAnsi="Arial" w:eastAsia="Arial"/>
              <w:color w:val="657383"/>
              <w:sz w:val="16"/>
            </w:rPr>
            <w:t>Fictional case study  •  Planning framework only</w:t>
          </w:r>
        </w:p>
      </w:tc>
      <w:tc>
        <w:tcPr>
          <w:tcW w:type="dxa" w:w="2444"/>
          <w:tcMar>
            <w:top w:w="55" w:type="dxa"/>
            <w:start w:w="0" w:type="dxa"/>
            <w:bottom w:w="0" w:type="dxa"/>
            <w:end w:w="0" w:type="dxa"/>
          </w:tcMar>
          <w:vAlign w:val="center"/>
        </w:tcPr>
        <w:p>
          <w:pPr>
            <w:spacing w:before="0" w:after="0" w:line="240" w:lineRule="auto"/>
            <w:jc w:val="right"/>
          </w:pPr>
          <w:r>
            <w:rPr>
              <w:rFonts w:ascii="Arial" w:hAnsi="Arial" w:eastAsia="Arial"/>
              <w:color w:val="657383"/>
              <w:sz w:val="16"/>
            </w:rPr>
            <w:t xml:space="preserve">Page </w:t>
          </w:r>
          <w:r>
            <w:rPr>
              <w:rFonts w:ascii="Arial" w:hAnsi="Arial" w:eastAsia="Arial"/>
              <w:color w:val="657383"/>
              <w:sz w:val="16"/>
            </w:rPr>
            <w:fldChar w:fldCharType="begin"/>
            <w:instrText xml:space="preserve">PAGE</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single" w:sz="8" w:space="0" w:color="CBD5DF"/>
        <w:right w:val="nil"/>
        <w:insideH w:val="nil"/>
        <w:insideV w:val="nil"/>
      </w:tblBorders>
    </w:tblPr>
    <w:tblGrid>
      <w:gridCol w:w="4889"/>
      <w:gridCol w:w="4889"/>
    </w:tblGrid>
    <w:tr>
      <w:tc>
        <w:tcPr>
          <w:tcW w:type="dxa" w:w="7039"/>
          <w:tcMar>
            <w:top w:w="0" w:type="dxa"/>
            <w:start w:w="0" w:type="dxa"/>
            <w:bottom w:w="55" w:type="dxa"/>
            <w:end w:w="0" w:type="dxa"/>
          </w:tcMar>
          <w:vAlign w:val="center"/>
        </w:tcPr>
        <w:p>
          <w:pPr>
            <w:spacing w:before="0" w:after="0" w:line="240" w:lineRule="auto"/>
            <w:jc w:val="left"/>
          </w:pPr>
          <w:r>
            <w:rPr>
              <w:rFonts w:ascii="Arial" w:hAnsi="Arial" w:eastAsia="Arial"/>
              <w:b/>
              <w:color w:val="168C8C"/>
              <w:sz w:val="16"/>
            </w:rPr>
            <w:t>LOGISTICS DATA ANALYST  |  WEEK 1 PROJECT PLAN</w:t>
          </w:r>
        </w:p>
      </w:tc>
      <w:tc>
        <w:tcPr>
          <w:tcW w:type="dxa" w:w="2737"/>
          <w:tcMar>
            <w:top w:w="0" w:type="dxa"/>
            <w:start w:w="0" w:type="dxa"/>
            <w:bottom w:w="55" w:type="dxa"/>
            <w:end w:w="0" w:type="dxa"/>
          </w:tcMar>
          <w:vAlign w:val="center"/>
        </w:tcPr>
        <w:p>
          <w:pPr>
            <w:spacing w:before="0" w:after="0" w:line="240" w:lineRule="auto"/>
            <w:jc w:val="right"/>
          </w:pPr>
          <w:r>
            <w:rPr>
              <w:rFonts w:ascii="Arial" w:hAnsi="Arial" w:eastAsia="Arial"/>
              <w:b/>
              <w:color w:val="657383"/>
              <w:sz w:val="15"/>
            </w:rPr>
            <w:t>STRATEGIC PLANNING</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7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40" w:lineRule="auto"/>
      <w:outlineLvl w:val="0"/>
    </w:pPr>
    <w:rPr>
      <w:rFonts w:asciiTheme="majorHAnsi" w:eastAsiaTheme="majorEastAsia" w:hAnsiTheme="majorHAnsi" w:cstheme="majorBidi" w:ascii="Arial" w:hAnsi="Arial"/>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160" w:after="70" w:line="240" w:lineRule="auto"/>
      <w:outlineLvl w:val="1"/>
    </w:pPr>
    <w:rPr>
      <w:rFonts w:asciiTheme="majorHAnsi" w:eastAsiaTheme="majorEastAsia" w:hAnsiTheme="majorHAnsi" w:cstheme="majorBidi" w:ascii="Arial" w:hAnsi="Arial"/>
      <w:b/>
      <w:bCs/>
      <w:color w:val="168C8C"/>
      <w:sz w:val="23"/>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6324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7" w:lineRule="auto" w:before="0"/>
      <w:contextualSpacing/>
    </w:pPr>
    <w:rPr>
      <w:rFonts w:asciiTheme="majorHAnsi" w:eastAsiaTheme="majorEastAsia" w:hAnsiTheme="majorHAnsi" w:cstheme="majorBidi" w:ascii="Arial" w:hAnsi="Arial"/>
      <w:b/>
      <w:color w:val="1632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Planning and Data Exploration in Logistics</dc:title>
  <dc:subject>Logistics Data Analyst Internship – Week 1 Project Strategy Report</dc:subject>
  <dc:creator>Aman Yadav</dc:creator>
  <cp:keywords>Logistics, Data Analysis, Python, KPI, Strategic Planning</cp:keywords>
  <dc:description>Fictional case study. Planning deliverable; no real operational results are claimed.</dc:description>
  <cp:lastModifiedBy/>
  <cp:revision>1</cp:revision>
  <dcterms:created xsi:type="dcterms:W3CDTF">2013-12-23T23:15:00Z</dcterms:created>
  <dcterms:modified xsi:type="dcterms:W3CDTF">2013-12-23T23:15:00Z</dcterms:modified>
  <cp:category/>
</cp:coreProperties>
</file>