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40"/>
        </w:rPr>
        <w:t>Industrial Unit Assessment Report</w:t>
      </w:r>
    </w:p>
    <w:p>
      <w:r>
        <w:rPr>
          <w:i/>
          <w:sz w:val="18"/>
        </w:rPr>
        <w:t>KAVAAI Sovereign On-Premise AI | Generated: 2026-09-16 19:21:36</w:t>
      </w:r>
    </w:p>
    <w:p>
      <w:pPr>
        <w:pStyle w:val="Heading1"/>
      </w:pPr>
      <w:r>
        <w:t>Executive Summary</w:t>
      </w:r>
    </w:p>
    <w:p>
      <w:r>
        <w:t>All systems operational within tolerances.</w:t>
      </w:r>
    </w:p>
    <w:p>
      <w:pPr>
        <w:pStyle w:val="Heading1"/>
      </w:pPr>
      <w:r>
        <w:t>Diagnostic Results</w:t>
      </w:r>
    </w:p>
    <w:p>
      <w:r>
        <w:t>Fan RPM stable at 1240 RPM.</w:t>
      </w:r>
    </w:p>
    <w:p>
      <w:pPr>
        <w:pStyle w:val="Heading1"/>
      </w:pPr>
      <w:r>
        <w:t>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Sensor Parameter</w:t>
            </w:r>
          </w:p>
        </w:tc>
        <w:tc>
          <w:tcPr>
            <w:tcW w:type="dxa" w:w="4320"/>
          </w:tcPr>
          <w:p>
            <w:r>
              <w:t>Measured Value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Fan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