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ВІДОКРЕМЛЕНИЙ СТРУКТУРНИЙ ПІДРОЗДІЛ</w:t>
        <w:br w:type="textWrapping"/>
        <w:t xml:space="preserve">«ПОЛТАВСЬКИЙ  ПОЛІТЕХНІЧНИЙ ФАХОВИЙ КОЛЕДЖ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НАЦІОНАЛЬНОГО ТЕХНІЧНОГО УНІВЕРСИТЕТУ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«ХАРКІВСЬКИЙ ПОЛІТЕХНІЧНИЙ ІНСТИТУТ»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Циклова  комісія  «Дисциплін програмної інженерії»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ЗАТВЕРДЖУЮ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Заступник директора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навчальної роботи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 Олена БАБИЧ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 31 » серпня 2023 року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РОБОЧА ПРОГРАМА НАВЧАЛЬНОЇ ДИСЦИПЛІНИ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50800</wp:posOffset>
                </wp:positionV>
                <wp:extent cx="6665595" cy="5143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17965" y="3527588"/>
                          <a:ext cx="665607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ПРОГРАМУВАННЯ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50800</wp:posOffset>
                </wp:positionV>
                <wp:extent cx="6665595" cy="5143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559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(назва навчальної дисципліни)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галузь знань: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12 Інформаційні технології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121 Інженерія програмного забезпечення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спеціалізація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Розробка програмного забезпечення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відділення: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Комп’ютерних технологій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Робоча програма дисципліни «ОСНОВИ ПРОГРАМУВАННЯ ТА АЛГОРИТМІЧНІ МОВИ» для здобувачів фахової передвищої освіти 2 курсу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спеціальності: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121 Інженерія програмного забезпечення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спеціалізації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Розробка програмного забезпечення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 25 » серпня 2023 року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Розробник (-и):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викладач спеціаліст другої кваліфікаційної категорії Владислав ОЛІЙНИК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" w:right="0" w:hanging="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Робоча програма розглянута та схвалена на засіданні циклової комісії дисциплін програмної інженерії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1" w:right="0" w:hanging="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Протокол від «28» серпня 2023 року № 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" w:right="0" w:hanging="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Голова циклової  комісії  ___________________   Олександр БАБИЧ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" w:right="0" w:hanging="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ОПИС НАВЧАЛЬНОЇ ДИСЦИПЛІНИ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44"/>
        <w:gridCol w:w="4220"/>
        <w:gridCol w:w="2609"/>
        <w:tblGridChange w:id="0">
          <w:tblGrid>
            <w:gridCol w:w="4144"/>
            <w:gridCol w:w="4220"/>
            <w:gridCol w:w="2609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Найменування показників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Галузь знань, спеціальність, спеціалізація, освітньо-професійний ступінь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Характеристика навчальної дисципліни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0" w:hRule="atLeast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Кількість кредитів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ECTS – 7</w:t>
            </w:r>
          </w:p>
        </w:tc>
        <w:tc>
          <w:tcPr>
            <w:vMerge w:val="restart"/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галузь знань: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Інформаційні технології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Форма навчання: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Денна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Заочна</w:t>
            </w:r>
          </w:p>
        </w:tc>
      </w:tr>
      <w:tr>
        <w:trPr>
          <w:cantSplit w:val="1"/>
          <w:trHeight w:val="293" w:hRule="atLeast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Модулів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71" w:hRule="atLeast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Змістових модулів –10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спеціальність: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121 Інженерія програмного забезпечення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 дисципліни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Нормативна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Вибіркова</w:t>
            </w:r>
          </w:p>
        </w:tc>
      </w:tr>
      <w:tr>
        <w:trPr>
          <w:cantSplit w:val="1"/>
          <w:trHeight w:val="1597" w:hRule="atLeast"/>
          <w:tblHeader w:val="0"/>
        </w:trPr>
        <w:tc>
          <w:tcPr>
            <w:vMerge w:val="restart"/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Загальна кількість – 210 год.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аудиторних  – 106 год.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самостійної роботи – 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877.0000000000005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25"/>
              <w:gridCol w:w="763"/>
              <w:gridCol w:w="763"/>
              <w:gridCol w:w="763"/>
              <w:gridCol w:w="763"/>
              <w:tblGridChange w:id="0">
                <w:tblGrid>
                  <w:gridCol w:w="825"/>
                  <w:gridCol w:w="763"/>
                  <w:gridCol w:w="763"/>
                  <w:gridCol w:w="763"/>
                  <w:gridCol w:w="763"/>
                </w:tblGrid>
              </w:tblGridChange>
            </w:tblGrid>
            <w:tr>
              <w:trPr>
                <w:cantSplit w:val="1"/>
                <w:trHeight w:val="242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13" w:right="113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Семестр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13" w:right="113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Лекції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13" w:right="113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ПР/Семінарські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13" w:right="113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ЛР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113" w:right="113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Самостійна робота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93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77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ІІ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93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ІІІ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12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22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42</w:t>
                  </w:r>
                </w:p>
              </w:tc>
            </w:tr>
            <w:tr>
              <w:trPr>
                <w:cantSplit w:val="0"/>
                <w:trHeight w:val="393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ІV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28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44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62</w:t>
                  </w:r>
                </w:p>
              </w:tc>
            </w:tr>
            <w:tr>
              <w:trPr>
                <w:cantSplit w:val="0"/>
                <w:trHeight w:val="393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V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77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VІ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9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VІІ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9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VІІІ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 контролю: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Іспит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Диференційований залік</w:t>
            </w:r>
          </w:p>
        </w:tc>
      </w:tr>
      <w:tr>
        <w:trPr>
          <w:cantSplit w:val="1"/>
          <w:trHeight w:val="3880" w:hRule="atLeast"/>
          <w:tblHeader w:val="0"/>
        </w:trPr>
        <w:tc>
          <w:tcPr>
            <w:vMerge w:val="continue"/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спеціалізація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Розробка програмного забезпечення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75" w:hRule="atLeast"/>
          <w:tblHeader w:val="0"/>
        </w:trPr>
        <w:tc>
          <w:tcPr>
            <w:vMerge w:val="continue"/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-113" w:firstLine="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Освітньо-професійний ступінь –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фаховий молодший бакалавр</w:t>
            </w:r>
          </w:p>
        </w:tc>
        <w:tc>
          <w:tcPr>
            <w:vMerge w:val="continue"/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МЕТА ТА ЗАВДАННЯ НАВЧАЛЬНОЇ ДИСЦИПЛІНИ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40" w:lineRule="auto"/>
        <w:ind w:left="280" w:right="374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Метою викладання навчальної дисципліни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Програмування»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є: вивчення методів алгоритмізації, основ програмування на алгоритмічних мовах високого рівня і  використання отриманих навиків при вирішенні задач різних типів.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280" w:right="374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Основними завданнями вивчення дисципліни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Програмування»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644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формування базових знань по алгоритмізації та програмуванню - про стиль написання програм, про раціональні методи їх розробки и оптимізації, про стратегії відладки і тестування програм;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отримання базового рівня по програмуванню на мовах С, C++  з використанням простих типів даних, базових типів даних і масивів;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вивчення  структур даних в пам’яті  і в файлах і алгоритмів роботи з ними з використанням мов С; С++;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знайомство с основними принципами організації зберігання та пошуку даних, алгоритмами сортування та пошуку;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придбання навиків використання базового набору фрагментів і алгоритмів у процесі розробки програм, навиків аналізу і “читання” програм;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вивчення основ технології програмування та методів рішення обчислювальних задач і задач обробки символьних даних;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формування рівня знань мови, який дозволяє вільно оперувати типами даних і змінними довільної складності, а також модульними алгоритмами їх обробки.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2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Згідно з вимогами освітньо-професійної програми здобувачі освіти повинні: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сучасні методи і засоби розробки алгоритмів і програм на мовах С, C++;</w:t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синтаксис і семантику основних конструкцій мов С, С++;</w:t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способи організації складних структур даних (масиви, структури, списки, дерева), основні методи представлення і алгоритми обробки цих даних;</w:t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особливості роботи з файлами у мові С;</w:t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особливості технології розробки програм складної структури на мові С;</w:t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вміти: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РН04. Використовувати знання математичних методів на рівні, необхідному для розв’язання типових задач програмної інженерії;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РН05. Розробляти та супроводжувати програмне забезпечення;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РН10. Обирати та застосовувати ефективні методи оптимізації алгоритмів;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РН17. Вміння демонструвати процеси та результати професійної діяльності, шляхом публічних презентацій та розробляючи пакети проектної документації, презентації, звіти.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Сформовані компетенції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5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Загальні компетентності: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3" w:right="57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ЗК04. Здатність спілкуватися іноземною мовою;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3" w:right="57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ЗК05. Знання та розуміння предметної області та розуміння професійної діяльності;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43" w:right="57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ЗК07. Здатність застосовувати знання у практичних ситуаціях;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5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Спеціальні (фахові) компетентності спеціальності: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238" w:line="240" w:lineRule="auto"/>
        <w:ind w:left="640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СК01. Здатність алгоритмічно та логічно мислити.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240" w:lineRule="auto"/>
        <w:ind w:left="640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СК02. Здатність вдосконалювати знання і навички в галузі інформаційних технологій та усвідомлення важливості навчання протягом усього життя.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240" w:lineRule="auto"/>
        <w:ind w:left="640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СК03. Здатність застосовувати теоретичні та емпіричні знання для розроблення, тестування, впровадження та супроводу програмного забезпечення.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240" w:lineRule="auto"/>
        <w:ind w:left="640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СК07. Здатність розробляти модулі і компоненти програмного забезпечення за допомогою типових алгоритмів та інструментів.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240" w:lineRule="auto"/>
        <w:ind w:left="640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СК08. Здатність забезпечувати інформаційну та функціональну безпеку програмного забезпечення.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240" w:lineRule="auto"/>
        <w:ind w:left="640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СК-9. Уміння готувати та презентувати документацію та методичні матеріали щодо програмного забезпечення.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240" w:lineRule="auto"/>
        <w:ind w:left="640" w:right="37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СК-16. Вміння з оформлення пакету проєктної документації, підготовки презентаційних матеріалів, публічного захисту проєктів та самопрезентації.</w:t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КРИТЕРІЇ ОЦІНЮВАННЯ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Оцінювання знань, вмінь та навичок здобувачів освіти здійснюється за: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9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Чотирьохбальною шкалою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9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Дванадцятибальною шкалою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Оцінювання знань, вмінь та навичок здобувачів освіти за дванадцятибальною шкалою </w:t>
      </w:r>
      <w:bookmarkStart w:colFirst="0" w:colLast="0" w:name="bookmark=id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здійснюється у відповідності до наказу МОН України №329 від 13.04.2011р.(Про затвердження критеріїв оцінювання навчальних досягнень учнів (вихованців) у системі загальної середньої освіти)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Оцінювання знань, вмінь та навичок здобувачів освіти за чотирьохбальною шкалою: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"відмінно"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здобувач освіти  володіє навчальним матеріалом у повному обсязі (міцно засвоїв увесь програмний матеріал, виявив глибоке його розуміння, вичерпно відповів і обґрунтував власні висновки, прийняв обґрунтоване рішення і вміло використав на практиці, упевнено виконав завдання);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"добре"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здобувач освіти засвоїв навчальний матеріал на достатньо високому рівні (загалом знає весь програмний матеріал, на питання відповідає вільно, але недостатньо широко, правильно використовує свої знання на практиці тощо);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"задовільно"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здобувач освіти загалом засвоїв основний навчальний матеріал, оперує ним недостатньо чітко та упевнено, слабо визначає зв'язки й відносини між предметами і явищами (виявляє знання тільки основного матеріалу, передбаченого програмою, спроможний використовувати свої знання на практиці, правильно виконує прийоми і дії та ін.);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hanging="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"незадовільно"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здобувач освіти загалом має поверхове уявлення про основний навчальний матеріал, не може ним оперувати.</w:t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ІНФОРМАЦІЙНИЙ ОБСЯГ НАВЧАЛЬНОЇ ДИСЦИПЛІНИ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Змістовий модуль 1. Основні поняття та означення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1.1. Мова програмування, інтегроване середовище розробки. Історія і класифікація мов програмування 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0" w:right="260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1.2.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Компілятор,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нтерпретатор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компонувальник.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Структура і способи опису мов програмування високого рівня.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Змістовий модуль 2. Елементи мови програмування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" w:right="260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2.1. Вступ в програмування. Найпростіші програми.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" w:right="260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2.2. Типи даних і змінні. Знаходження суми двох чисел (ввід і вивід).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78" w:right="260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2.3. Арифметичні вирази. Формати для виводу даних.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Змістовий модуль 3. Керування порядком обчислень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" w:right="260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3.1. Алгоритмічний вибір альтернатив (Умовний оператор if — else. Множинний вибір switch).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78" w:right="260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3.2. Циклічні алгоритми та програми (Цикл з відомою кількістю кроків  (for). Цикл з передумовою (while). Цикл з післяумовою (do — while). Достроковий вихід з циклу. Розрахунок сум послідовностей.)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Змістовий модуль 4. Процедурно-орієнтоване програмування . Функції користувача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4.1. Підпрограми, їх різновиди та способи використання (Процедури. Функції користувача).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0" w:right="260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4.2. Структура програм. Складові частини програми. Глобальні та локальні змінні.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Змістовий модуль 5. Основи алгоритмізації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5.1.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Алгоритми і величини.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Лінійні обчислювальні алгоритми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5.2. Розгалуження і цикли в обчислювальних алгоритмах. Допоміжні алгоритми і процедури.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Змістовий модуль 6.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6.1. Одновимірні масиви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6.2. Символьні строки. Стандартний ввід-вивід. Функції для роботи зі строками. Строки в функціях і процедурах.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6.3. Багатовимірні масиви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6.4.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Массиви символьних строк. Оголошення і ініціалізація. Ввід-вивід. Сортуванн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Змістовий модуль 7. Структури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7.1. Структури.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7.2. Масиви структур.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Змістовий модуль 8. Покажчики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8.1. Оголошення і ініціалізація змінної покажчика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8.2. Масиви покажчиків. Покажчики на функцію.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Змістовий модуль 9. Робота з файлами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9.1. Робота з текстовими файлами.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9.2. Створення файлу послідовного доступу.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9.3. Створення файлу довільного доступу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9.4. Робота з двійковими файлами.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Змістовий модуль 10. Динамічні структури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10.1. Списки. Зв’язаний список.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10.2. Стеки, черги, деки.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10.3. Дерева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0" w:right="26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540" w:top="1060" w:left="440" w:right="340" w:header="0" w:footer="347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10.4. Графи</w:t>
      </w:r>
    </w:p>
    <w:p w:rsidR="00000000" w:rsidDel="00000000" w:rsidP="00000000" w:rsidRDefault="00000000" w:rsidRPr="00000000" w14:paraId="000000D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РОЗПОДІЛ ГОДИН ЗА ВИДАМИ ЗАНЯТЬ ВІДПОВІДНО ДО РОБОЧОГО ПЛАНУ</w:t>
      </w:r>
    </w:p>
    <w:tbl>
      <w:tblPr>
        <w:tblStyle w:val="Table3"/>
        <w:tblW w:w="10466.999999999998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5528"/>
        <w:gridCol w:w="709"/>
        <w:gridCol w:w="709"/>
        <w:gridCol w:w="879"/>
        <w:gridCol w:w="709"/>
        <w:gridCol w:w="799"/>
        <w:tblGridChange w:id="0">
          <w:tblGrid>
            <w:gridCol w:w="1134"/>
            <w:gridCol w:w="5528"/>
            <w:gridCol w:w="709"/>
            <w:gridCol w:w="709"/>
            <w:gridCol w:w="879"/>
            <w:gridCol w:w="709"/>
            <w:gridCol w:w="799"/>
          </w:tblGrid>
        </w:tblGridChange>
      </w:tblGrid>
      <w:tr>
        <w:trPr>
          <w:cantSplit w:val="1"/>
          <w:trHeight w:val="595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заняття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Назва теми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Кількість годин</w:t>
            </w:r>
          </w:p>
        </w:tc>
      </w:tr>
      <w:tr>
        <w:trPr>
          <w:cantSplit w:val="1"/>
          <w:trHeight w:val="2514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Лекції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Семінарські та практичні заняття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Лабораторні роботи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вивчення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Всього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Змістовий модуль 1. Основні поняття та означення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1.1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Мова програмування, інтегроване середовище розробки. Історія і класифікація мов програмування 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1.2. Компілятор, інтерпретатор, компонувальник. Структура і способи опису мов програмування високого рівня.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Разом за змістовим модулем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Змістовий модуль 2. Елементи мови програмування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2.1. Вступ в програмування. Найпростіші програми.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5/6/7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2.2. Типи даних і змінні. Знаходження суми двох чисел (ввід і вивід).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8/9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2.3. Арифметичні вирази. Формати для виводу даних.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Разом за змістовим модулем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Змістовий модуль 3. Керування порядком обчислень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10/11/12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3.1. Алгоритмічний вибір альтернатив (Умовний оператор if — else. Множинний вибір switch).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13/14/15/16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3.2. Циклічні алгоритми та програми (Цикл з відомою кількістю кроків  (for). Цикл з передумовою (while). Цикл з післяумовою (do — while). Достроковий вихід з циклу. Розрахунок сум послідовностей.)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Підведення підсумків за перший семестр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Разом за змістовим модулем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Разом за перший семестр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Змістовий модуль 4. Процедурно-орієнтоване програмування . Функції користувача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4.1. Підпрограми, їх різновиди та способи використання (Процедури. Функції користувача).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20/21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4.2. Структура програм. Складові частини програми. Глобальні та локальні змінні.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Разом за змістовим модулем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Змістовий модуль 5. Основи алгоритмізації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22/23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5.1. Алгоритми і величини.  Лінійні обчислювальні алгоритми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5.2. Розгалуження і цикли в обчислювальних алгоритмах. Допоміжні алгоритми і процедури.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Разом за змістовим модулем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Змістовий модуль 6. Масиви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6.1. Одновимірні масиви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28/29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6.2. Символьні строки. Стандартний ввід-вивід. Функції для роботи зі строками. Строки в функціях і процедурах.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6.3. Багатовимірні масиви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6.4. Массиви символьних строк. Оголошення і ініціалізація. Ввід-вивід. Сортуванн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Разом за змістовим модулем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Змістовий модуль 7. Структури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33/34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7.1. Структури.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35/36/37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7.2. Масиви структур.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Разом за змістовим модулем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Змістовий модуль 8. Покажчики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38/39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8.1. Оголошення і ініціалізація змінної покажчика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40/41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8.2. Масиви покажчиків. Покажчики на функцію.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Разом за змістовим модулем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Змістовий модуль 9. Робота з файлами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42/43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9.1. Робота з текстовими файлами.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9.2. Створення файлу послідовного доступу.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9.3. Створення файлу довільного доступу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9.4. Робота з двійковими файлами.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Разом за змістовим модулем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Змістовий модуль 10. Динамічні структури даних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47/48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10.1. Списки. Зв’язаний список.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49/50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10.2. Стеки, черги, деки.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51/52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10.3. Дерева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Тема 10.4. Графи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Разом за змістовим модулем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Разом за другий  семестр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ВСЬОГО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МЕТОДИ НАВЧАННЯ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Словесні методи навчання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Розповіді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Пояснення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Дискусія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Лекції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Лекції з використанням мультимедійних презентацій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Бесіди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Евристичні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Репродуктивні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 навчання за джерелами знань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 роботи з книгою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Питання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Переказ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Виписування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Складання плану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Складання таблиць, схем та ін.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Наочні методі навчання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Демонстрації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Ілюстрації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Спостереження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Практичні методи навчання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Лабораторна робота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Практична робота 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Виконання вправ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Самостійна робота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Проблемно-пошукові роботи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Розгляд творчо-аналітичних завдань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Робота в групах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Розв’язування ситуаційних завдань</w:t>
      </w:r>
    </w:p>
    <w:p w:rsidR="00000000" w:rsidDel="00000000" w:rsidP="00000000" w:rsidRDefault="00000000" w:rsidRPr="00000000" w14:paraId="000002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hanging="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ЗАСОБИ ОЦІНЮВАННЯ (МЕТОДИ КОНТРОЛЮ)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Засоби оцінювання: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Екзамен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Диференційований залік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Підсумковий тест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Курсова робота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Курсовий проект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Командний проект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Комплект звітів про виконання лабораторних /практичних робіт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Реферат, есе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Розрахункова / розрахунково-графічна робота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Презентація результатів виконаних завдань та досліджень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Виконання завдання на лабораторному обладнанні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 контролю: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Поточний: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Усне опитування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Фронтальне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Групове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Індивідуальне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Комбіноване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Письмовий контроль: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Самостійна робота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Вправи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Диктанти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Реферати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Презентації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Звіти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Періодичний контроль: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Підсумкові письмові контрольні роботи за змістовими модулями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Тематичні роботи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Підсумковий контроль: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Екзамен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Диференційований залік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Захист курсового проекту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Захист курсової роботи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Захист розрахунково-графічної роботи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hanging="2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МЕТОДИЧНЕ ЗАБЕЗПЕЧЕННЯ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Конспект лекцій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Презентації лекцій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Роздатковий матеріал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Таблиці, схеми, ментальні карти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Електронний підручник з дисципліни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Програмне забезпечення навчального призначення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Пакет завдань для контрольної роботи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Пакет завдань для самостійної роботи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Комплект тестових завдань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Комплексна контрольна робота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Екзаменаційні білети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Методичні вказівки до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Семінарських занять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Практичних занять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Лабораторних занять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Самостійної та індивідуальної роботи</w:t>
      </w:r>
    </w:p>
    <w:p w:rsidR="00000000" w:rsidDel="00000000" w:rsidP="00000000" w:rsidRDefault="00000000" w:rsidRPr="00000000" w14:paraId="000002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РЕКОМЕНДОВАНА ЛІТЕРАТУРА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Основна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641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Бєлов Ю.А. Вступ до програмування мовою С++. / Ю.А. Бєлов, Т.О. Карнаух, Ю.В. Коваль, А.Б. Ставровський. – К.: Видавничо-поліграфічний центр «Київський університет», 2012. – 175 c.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1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Вступ до програмування мовою С++. Організація даних / Т. О. Карнаух, Ю. В. Коваль, М. В. Потієнко, А. Б. Ставровський. – К.: ВПЦ "Київський університет", 2015.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1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Пекарський Б. Г. Основи програмування [Текст]: навчальний посібник К. : Кондор, 2008.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641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Ковалюк Т.В. Основи програмування. – К.: Видавнича група BHV,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Додаткова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641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Вступ до програмування мовою С++. Організація даних / Т. О. Карнаух, Ю. В. Коваль,М. В. Потієнко, А. Б. Ставровський. . К.: ВПЦ "Київський університет", 2015.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641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Вступ до програмування мовою С++. Структури даних / Р. А. Веклич, Т. О. Карнаух,А. Б. Ставровський. . К.: ВПЦ "Київський університет",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Інформаційні ресурси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Програмування: C/C++/C#.[Електронний ресурс]. – Режим доступу: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http://citforum.ru/programming/c.shtml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Standard ISO/IEC 14882:2014(E) – Programming Language C++.[Електронний ресурс]. – Режим доступу: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https://isocpp.org/std/the-standard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Підручник для початківців що вивчають Microsoft Visual C++.[Електронний ресурс]. – Режим доступу: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http://chesworth.com/pv/languages/c/visual_cpptutuorial.htm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2"/>
      <w:bookmarkEnd w:id="2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КОРЕКЦІЯ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Навчальний рік 2021-2022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0"/>
        <w:gridCol w:w="995"/>
        <w:gridCol w:w="1422"/>
        <w:gridCol w:w="5257"/>
        <w:gridCol w:w="1506"/>
        <w:tblGridChange w:id="0">
          <w:tblGrid>
            <w:gridCol w:w="1530"/>
            <w:gridCol w:w="995"/>
            <w:gridCol w:w="1422"/>
            <w:gridCol w:w="5257"/>
            <w:gridCol w:w="1506"/>
          </w:tblGrid>
        </w:tblGridChange>
      </w:tblGrid>
      <w:tr>
        <w:trPr>
          <w:cantSplit w:val="0"/>
          <w:trHeight w:val="9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Аудиторні год.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(за семестр)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Зняття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Корекція заняття (об’єднання тем, винесення на самостійне опрацювання)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Навчальний рік 2022-2023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6"/>
        <w:gridCol w:w="992"/>
        <w:gridCol w:w="1418"/>
        <w:gridCol w:w="5244"/>
        <w:gridCol w:w="1502"/>
        <w:tblGridChange w:id="0">
          <w:tblGrid>
            <w:gridCol w:w="1526"/>
            <w:gridCol w:w="992"/>
            <w:gridCol w:w="1418"/>
            <w:gridCol w:w="5244"/>
            <w:gridCol w:w="150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Аудиторні год.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(за семестр)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Зняття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Корекція заняття (об’єднання тем, винесення на самостійне опрацювання)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Навчальний рік 2023-2024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6"/>
        <w:gridCol w:w="992"/>
        <w:gridCol w:w="1418"/>
        <w:gridCol w:w="5244"/>
        <w:gridCol w:w="1502"/>
        <w:tblGridChange w:id="0">
          <w:tblGrid>
            <w:gridCol w:w="1526"/>
            <w:gridCol w:w="992"/>
            <w:gridCol w:w="1418"/>
            <w:gridCol w:w="5244"/>
            <w:gridCol w:w="150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Аудиторні год.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(за семестр)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Зняття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 виконання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Корекція заняття (об’єднання тем, винесення на самостійне опрацювання)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720" w:top="720" w:left="720" w:right="72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⎯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0"/>
      <w:numFmt w:val="bullet"/>
      <w:lvlText w:val="⎯"/>
      <w:lvlJc w:val="left"/>
      <w:pPr>
        <w:ind w:left="644" w:hanging="359.99999999999994"/>
      </w:pPr>
      <w:rPr>
        <w:rFonts w:ascii="Noto Sans Symbols" w:cs="Noto Sans Symbols" w:eastAsia="Noto Sans Symbols" w:hAnsi="Noto Sans Symbols"/>
        <w:sz w:val="28"/>
        <w:szCs w:val="28"/>
        <w:vertAlign w:val="baseline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0"/>
      <w:numFmt w:val="bullet"/>
      <w:lvlText w:val="—"/>
      <w:lvlJc w:val="left"/>
      <w:pPr>
        <w:ind w:left="643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363" w:hanging="359.9999999999999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0"/>
      <w:numFmt w:val="bullet"/>
      <w:lvlText w:val="⎯"/>
      <w:lvlJc w:val="left"/>
      <w:pPr>
        <w:ind w:left="644" w:hanging="359.99999999999994"/>
      </w:pPr>
      <w:rPr>
        <w:rFonts w:ascii="Noto Sans Symbols" w:cs="Noto Sans Symbols" w:eastAsia="Noto Sans Symbols" w:hAnsi="Noto Sans Symbols"/>
        <w:sz w:val="28"/>
        <w:szCs w:val="28"/>
        <w:vertAlign w:val="baseline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⬜"/>
      <w:lvlJc w:val="left"/>
      <w:pPr>
        <w:ind w:left="720" w:hanging="360"/>
      </w:pPr>
      <w:rPr>
        <w:rFonts w:ascii="Noto Sans Symbols" w:cs="Noto Sans Symbols" w:eastAsia="Noto Sans Symbols" w:hAnsi="Noto Sans Symbols"/>
        <w:sz w:val="40"/>
        <w:szCs w:val="4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☑"/>
      <w:lvlJc w:val="left"/>
      <w:pPr>
        <w:ind w:left="720" w:hanging="360"/>
      </w:pPr>
      <w:rPr>
        <w:rFonts w:ascii="Noto Sans Symbols" w:cs="Noto Sans Symbols" w:eastAsia="Noto Sans Symbols" w:hAnsi="Noto Sans Symbols"/>
        <w:sz w:val="40"/>
        <w:szCs w:val="4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⬜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3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5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6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7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8">
    <w:lvl w:ilvl="0">
      <w:start w:val="1"/>
      <w:numFmt w:val="bullet"/>
      <w:lvlText w:val="⬜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9">
    <w:lvl w:ilvl="0">
      <w:start w:val="1"/>
      <w:numFmt w:val="bullet"/>
      <w:lvlText w:val="⬜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0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1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2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3">
    <w:lvl w:ilvl="0">
      <w:start w:val="1"/>
      <w:numFmt w:val="bullet"/>
      <w:lvlText w:val="☑"/>
      <w:lvlJc w:val="left"/>
      <w:pPr>
        <w:ind w:left="360" w:hanging="360"/>
      </w:pPr>
      <w:rPr>
        <w:rFonts w:ascii="Noto Sans Symbols" w:cs="Noto Sans Symbols" w:eastAsia="Noto Sans Symbols" w:hAnsi="Noto Sans Symbols"/>
        <w:sz w:val="40"/>
        <w:szCs w:val="4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4">
    <w:lvl w:ilvl="0">
      <w:start w:val="1"/>
      <w:numFmt w:val="bullet"/>
      <w:lvlText w:val="⬜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5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6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7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8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9">
    <w:lvl w:ilvl="0">
      <w:start w:val="1"/>
      <w:numFmt w:val="bullet"/>
      <w:lvlText w:val="☑"/>
      <w:lvlJc w:val="left"/>
      <w:pPr>
        <w:ind w:left="71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0">
    <w:lvl w:ilvl="0">
      <w:start w:val="1"/>
      <w:numFmt w:val="bullet"/>
      <w:lvlText w:val="⬜"/>
      <w:lvlJc w:val="left"/>
      <w:pPr>
        <w:ind w:left="360" w:hanging="360"/>
      </w:pPr>
      <w:rPr>
        <w:rFonts w:ascii="Noto Sans Symbols" w:cs="Noto Sans Symbols" w:eastAsia="Noto Sans Symbols" w:hAnsi="Noto Sans Symbols"/>
        <w:sz w:val="40"/>
        <w:szCs w:val="4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1">
    <w:lvl w:ilvl="0">
      <w:start w:val="1"/>
      <w:numFmt w:val="bullet"/>
      <w:lvlText w:val="☑"/>
      <w:lvlJc w:val="left"/>
      <w:pPr>
        <w:ind w:left="360" w:hanging="360"/>
      </w:pPr>
      <w:rPr>
        <w:rFonts w:ascii="Noto Sans Symbols" w:cs="Noto Sans Symbols" w:eastAsia="Noto Sans Symbols" w:hAnsi="Noto Sans Symbols"/>
        <w:sz w:val="40"/>
        <w:szCs w:val="4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2">
    <w:lvl w:ilvl="0">
      <w:start w:val="1"/>
      <w:numFmt w:val="bullet"/>
      <w:lvlText w:val="⬜"/>
      <w:lvlJc w:val="left"/>
      <w:pPr>
        <w:ind w:left="360" w:hanging="360"/>
      </w:pPr>
      <w:rPr>
        <w:rFonts w:ascii="Noto Sans Symbols" w:cs="Noto Sans Symbols" w:eastAsia="Noto Sans Symbols" w:hAnsi="Noto Sans Symbols"/>
        <w:sz w:val="40"/>
        <w:szCs w:val="4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3">
    <w:lvl w:ilvl="0">
      <w:start w:val="1"/>
      <w:numFmt w:val="bullet"/>
      <w:lvlText w:val="☑"/>
      <w:lvlJc w:val="left"/>
      <w:pPr>
        <w:ind w:left="360" w:hanging="360"/>
      </w:pPr>
      <w:rPr>
        <w:rFonts w:ascii="Noto Sans Symbols" w:cs="Noto Sans Symbols" w:eastAsia="Noto Sans Symbols" w:hAnsi="Noto Sans Symbols"/>
        <w:sz w:val="40"/>
        <w:szCs w:val="4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4">
    <w:lvl w:ilvl="0">
      <w:start w:val="1"/>
      <w:numFmt w:val="bullet"/>
      <w:lvlText w:val="⬜"/>
      <w:lvlJc w:val="left"/>
      <w:pPr>
        <w:ind w:left="360" w:hanging="360"/>
      </w:pPr>
      <w:rPr>
        <w:rFonts w:ascii="Noto Sans Symbols" w:cs="Noto Sans Symbols" w:eastAsia="Noto Sans Symbols" w:hAnsi="Noto Sans Symbols"/>
        <w:sz w:val="40"/>
        <w:szCs w:val="4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5">
    <w:lvl w:ilvl="0">
      <w:start w:val="0"/>
      <w:numFmt w:val="bullet"/>
      <w:lvlText w:val="⎯"/>
      <w:lvlJc w:val="left"/>
      <w:pPr>
        <w:ind w:left="640" w:hanging="360"/>
      </w:pPr>
      <w:rPr>
        <w:rFonts w:ascii="Noto Sans Symbols" w:cs="Noto Sans Symbols" w:eastAsia="Noto Sans Symbols" w:hAnsi="Noto Sans Symbols"/>
        <w:sz w:val="28"/>
        <w:szCs w:val="28"/>
        <w:vertAlign w:val="baseline"/>
      </w:rPr>
    </w:lvl>
    <w:lvl w:ilvl="1">
      <w:start w:val="1"/>
      <w:numFmt w:val="decimal"/>
      <w:lvlText w:val="%2."/>
      <w:lvlJc w:val="left"/>
      <w:pPr>
        <w:ind w:left="1672" w:hanging="320"/>
      </w:pPr>
      <w:rPr>
        <w:rFonts w:ascii="Times New Roman" w:cs="Times New Roman" w:eastAsia="Times New Roman" w:hAnsi="Times New Roman"/>
        <w:b w:val="1"/>
        <w:sz w:val="32"/>
        <w:szCs w:val="32"/>
        <w:vertAlign w:val="baseline"/>
      </w:rPr>
    </w:lvl>
    <w:lvl w:ilvl="2">
      <w:start w:val="0"/>
      <w:numFmt w:val="bullet"/>
      <w:lvlText w:val="•"/>
      <w:lvlJc w:val="left"/>
      <w:pPr>
        <w:ind w:left="2729" w:hanging="320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779" w:hanging="320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828" w:hanging="320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5878" w:hanging="320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6928" w:hanging="320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7977" w:hanging="320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9027" w:hanging="32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Calibri Light" w:cs="Times New Roman" w:eastAsia="Times New Roman" w:hAnsi="Calibri Light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Заголовок3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2"/>
    </w:pPr>
    <w:rPr>
      <w:b w:val="1"/>
      <w:bCs w:val="1"/>
      <w:w w:val="100"/>
      <w:position w:val="-1"/>
      <w:sz w:val="27"/>
      <w:szCs w:val="27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r">
    <w:name w:val="tr"/>
    <w:basedOn w:val="Обычный"/>
    <w:next w:val="tr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tc">
    <w:name w:val="tc"/>
    <w:basedOn w:val="Обычный"/>
    <w:next w:val="tc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fs2">
    <w:name w:val="fs2"/>
    <w:basedOn w:val="Основнойшрифтабзаца"/>
    <w:next w:val="fs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l">
    <w:name w:val="tl"/>
    <w:basedOn w:val="Обычный"/>
    <w:next w:val="tl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tj">
    <w:name w:val="tj"/>
    <w:basedOn w:val="Обычный"/>
    <w:next w:val="tj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apple-converted-space">
    <w:name w:val="apple-converted-space"/>
    <w:basedOn w:val="Основнойшрифтабзаца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cbmf">
    <w:name w:val="tc bmf"/>
    <w:basedOn w:val="Обычный"/>
    <w:next w:val="tcbmf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Style3">
    <w:name w:val="Style3"/>
    <w:basedOn w:val="Обычный"/>
    <w:next w:val="Style3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92" w:lineRule="atLeast"/>
      <w:ind w:leftChars="-1" w:rightChars="0" w:hanging="24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fontstyle01">
    <w:name w:val="fontstyle01"/>
    <w:next w:val="fontstyle01"/>
    <w:autoRedefine w:val="0"/>
    <w:hidden w:val="0"/>
    <w:qFormat w:val="0"/>
    <w:rPr>
      <w:rFonts w:ascii="TimesNewRomanPSMT" w:hAnsi="TimesNewRomanPSMT" w:hint="default"/>
      <w:color w:val="000000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Абзацсписка">
    <w:name w:val="Абзац списка"/>
    <w:basedOn w:val="Обычный"/>
    <w:next w:val="Абзацсписка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8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ru-RU" w:val="ru-RU"/>
    </w:rPr>
  </w:style>
  <w:style w:type="character" w:styleId="Строгий">
    <w:name w:val="Строгий"/>
    <w:next w:val="Строгий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Схемадокумента">
    <w:name w:val="Схема документа"/>
    <w:basedOn w:val="Обычный"/>
    <w:next w:val="Схемадокумент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character" w:styleId="СхемадокументаЗнак">
    <w:name w:val="Схема документа Знак"/>
    <w:next w:val="СхемадокументаЗнак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СтандартныйHTML">
    <w:name w:val="Стандартный HTML"/>
    <w:basedOn w:val="Обычный"/>
    <w:next w:val="СтандартныйHTML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СтандартныйHTMLЗнак">
    <w:name w:val="Стандартный HTML Знак"/>
    <w:next w:val="СтандартныйHTMLЗнак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Заголовок2Знак">
    <w:name w:val="Заголовок 2 Знак"/>
    <w:next w:val="Заголовок2Знак"/>
    <w:autoRedefine w:val="0"/>
    <w:hidden w:val="0"/>
    <w:qFormat w:val="0"/>
    <w:rPr>
      <w:rFonts w:ascii="Calibri Light" w:cs="Times New Roman" w:eastAsia="Times New Roman" w:hAnsi="Calibri Light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ru-RU" w:val="ru-RU"/>
    </w:rPr>
  </w:style>
  <w:style w:type="paragraph" w:styleId="Основнойтекст2">
    <w:name w:val="Основной текст 2"/>
    <w:basedOn w:val="Обычный"/>
    <w:next w:val="Основнойтекст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6"/>
      <w:szCs w:val="24"/>
      <w:effect w:val="none"/>
      <w:vertAlign w:val="baseline"/>
      <w:cs w:val="0"/>
      <w:em w:val="none"/>
      <w:lang w:bidi="ar-SA" w:eastAsia="ru-RU" w:val="uk-UA"/>
    </w:rPr>
  </w:style>
  <w:style w:type="character" w:styleId="Основнойтекст2Знак">
    <w:name w:val="Основной текст 2 Знак"/>
    <w:next w:val="Основнойтекст2Знак"/>
    <w:autoRedefine w:val="0"/>
    <w:hidden w:val="0"/>
    <w:qFormat w:val="0"/>
    <w:rPr>
      <w:b w:val="1"/>
      <w:bCs w:val="1"/>
      <w:w w:val="100"/>
      <w:position w:val="-1"/>
      <w:sz w:val="26"/>
      <w:szCs w:val="24"/>
      <w:effect w:val="none"/>
      <w:vertAlign w:val="baseline"/>
      <w:cs w:val="0"/>
      <w:em w:val="none"/>
      <w:lang w:eastAsia="ru-RU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Гиперссылка">
    <w:name w:val="Гиперссылка"/>
    <w:next w:val="Гиперссылка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chesworth.com/pv/languages/c/visual_cpptutuorial.htm" TargetMode="External"/><Relationship Id="rId9" Type="http://schemas.openxmlformats.org/officeDocument/2006/relationships/hyperlink" Target="https://isocpp.org/std/the-standar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citforum.ru/programming/c.s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oUr5Qv8j2iUBOa1qy07f7UVlqA==">CgMxLjAyCGguZ2pkZ3hzMgppZC4zMGowemxsMgloLjMwajB6bGw4AHIhMWZOb1lPLXBwRGtYUkJ3bnNHMkhtOFd4c2VDN20wVzdJ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2023-08-27T19:44:00Z</dcterms:created>
  <dc:creator>Olena</dc:creator>
</cp:coreProperties>
</file>