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FC3617">
        <w:trPr>
          <w:cantSplit/>
          <w:jc w:val="center"/>
        </w:trPr>
        <w:tc>
          <w:tcPr>
            <w:tcW w:w="10092" w:type="dxa"/>
            <w:shd w:val="clear" w:color="auto" w:fill="002857"/>
            <w:tcMar>
              <w:top w:w="600" w:type="dxa"/>
              <w:left w:w="600" w:type="dxa"/>
              <w:bottom w:w="600" w:type="dxa"/>
              <w:right w:w="600" w:type="dxa"/>
            </w:tcMar>
            <w:vAlign w:val="bottom"/>
          </w:tcPr>
          <w:p w:rsidR="00FC3617" w:rsidRDefault="0014512D">
            <w:pPr>
              <w:spacing w:before="2400" w:after="20" w:line="240" w:lineRule="auto"/>
            </w:pPr>
            <w:bookmarkStart w:id="0" w:name="_GoBack"/>
            <w:bookmarkEnd w:id="0"/>
            <w:r>
              <w:rPr>
                <w:b/>
                <w:color w:val="E2E8F0"/>
                <w:spacing w:val="60"/>
                <w:sz w:val="21"/>
              </w:rPr>
              <w:t>Coherent Quadrant</w:t>
            </w:r>
          </w:p>
          <w:p w:rsidR="00FC3617" w:rsidRDefault="0014512D">
            <w:pPr>
              <w:pBdr>
                <w:bottom w:val="single" w:sz="24" w:space="10" w:color="52B69A"/>
              </w:pBdr>
              <w:spacing w:after="120" w:line="240" w:lineRule="auto"/>
            </w:pPr>
            <w:r>
              <w:rPr>
                <w:b/>
                <w:color w:val="FFFFFF"/>
                <w:sz w:val="52"/>
              </w:rPr>
              <w:t>Global Data Center Market</w:t>
            </w:r>
          </w:p>
          <w:p w:rsidR="00FC3617" w:rsidRDefault="0014512D">
            <w:pPr>
              <w:spacing w:after="40" w:line="240" w:lineRule="auto"/>
            </w:pPr>
            <w:r>
              <w:rPr>
                <w:b/>
                <w:color w:val="FFFFFF"/>
                <w:sz w:val="22"/>
              </w:rPr>
              <w:t>Global</w:t>
            </w:r>
          </w:p>
          <w:p w:rsidR="00FC3617" w:rsidRDefault="0014512D">
            <w:pPr>
              <w:spacing w:after="360" w:line="240" w:lineRule="auto"/>
            </w:pPr>
            <w:r>
              <w:rPr>
                <w:color w:val="CBD5E1"/>
                <w:sz w:val="20"/>
              </w:rPr>
              <w:t>166 Solution Provider scored on Technology Capability (X) and Business Capability (Y)</w:t>
            </w:r>
          </w:p>
        </w:tc>
      </w:tr>
    </w:tbl>
    <w:p w:rsidR="00FC3617" w:rsidRDefault="00FC3617">
      <w:pPr>
        <w:spacing w:after="120"/>
      </w:pPr>
    </w:p>
    <w:p w:rsidR="00FC3617" w:rsidRDefault="0014512D">
      <w:pPr>
        <w:keepNext/>
        <w:pBdr>
          <w:bottom w:val="single" w:sz="24" w:space="6" w:color="52B69A"/>
        </w:pBdr>
        <w:spacing w:after="160"/>
      </w:pPr>
      <w:r>
        <w:rPr>
          <w:b/>
          <w:color w:val="002857"/>
          <w:sz w:val="40"/>
        </w:rPr>
        <w:lastRenderedPageBreak/>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FC3617">
        <w:trPr>
          <w:cantSplit/>
          <w:jc w:val="center"/>
        </w:trPr>
        <w:tc>
          <w:tcPr>
            <w:tcW w:w="5046" w:type="dxa"/>
            <w:gridSpan w:val="2"/>
            <w:shd w:val="clear" w:color="auto" w:fill="F8FAFC"/>
            <w:tcMar>
              <w:top w:w="160" w:type="dxa"/>
              <w:left w:w="160" w:type="dxa"/>
              <w:bottom w:w="160" w:type="dxa"/>
              <w:right w:w="160" w:type="dxa"/>
            </w:tcMar>
          </w:tcPr>
          <w:p w:rsidR="00FC3617" w:rsidRDefault="0014512D">
            <w:pPr>
              <w:spacing w:after="20" w:line="240" w:lineRule="auto"/>
            </w:pPr>
            <w:r>
              <w:rPr>
                <w:b/>
                <w:color w:val="0F172A"/>
                <w:sz w:val="20"/>
              </w:rPr>
              <w:t>Market</w:t>
            </w:r>
          </w:p>
          <w:p w:rsidR="00FC3617" w:rsidRDefault="0014512D">
            <w:pPr>
              <w:spacing w:after="20" w:line="240" w:lineRule="auto"/>
            </w:pPr>
            <w:r>
              <w:t>Global Data Center Market</w:t>
            </w:r>
          </w:p>
          <w:p w:rsidR="00FC3617" w:rsidRDefault="0014512D">
            <w:pPr>
              <w:spacing w:after="20" w:line="240" w:lineRule="auto"/>
            </w:pPr>
            <w:r>
              <w:rPr>
                <w:b/>
                <w:color w:val="0F172A"/>
                <w:sz w:val="20"/>
              </w:rPr>
              <w:t>Market Type</w:t>
            </w:r>
          </w:p>
          <w:p w:rsidR="00FC3617" w:rsidRDefault="0014512D">
            <w:pPr>
              <w:spacing w:after="20" w:line="240" w:lineRule="auto"/>
            </w:pPr>
            <w:r>
              <w:t xml:space="preserve">The Global Data Center Market covers dedicated </w:t>
            </w:r>
            <w:r>
              <w:t>data center facilities -- enterprise / captive, colocation, hyperscale / cloud and edge data centers -- and the technology, equipment, software and infrastructure installed in them. This landscape compares the TECHNOLOGY, EQUIPMENT, SOFTWARE AND INFRASTRUC</w:t>
            </w:r>
            <w:r>
              <w:t>TURE SOLUTION PROVIDERS that supply data centers. Hardware: servers (rack, blade, tower, mainframe, appliance), storage infrastructure (direct-attached, network-attached, storage area network, tape / optical / archival), network infrastructure (data center</w:t>
            </w:r>
            <w:r>
              <w:t xml:space="preserve"> switches, routers, network interface cards and adapters, application delivery controllers and load balancers, network security appliances, structured copper and fiber cabling and connectivity, data center interconnect and other networking devices), power </w:t>
            </w:r>
            <w:r>
              <w:t xml:space="preserve">infrastructure (UPS systems, power distribution units, switchgear, transfer switches, transformers, backup generators, battery energy storage systems, busways and remote power panels), cooling infrastructure (IT-space air cooling, IT-space liquid cooling, </w:t>
            </w:r>
            <w:r>
              <w:t>chillers, cooling towers and dry coolers, coolant distribution units and fluid distribution, pumps, heat exchangers and cooling controls), rack and enclosure infrastructure (racks, cabinets and enclosures, hot- and cold-aisle containment, rack cable manage</w:t>
            </w:r>
            <w:r>
              <w:t>ment and accessories), fire and life-safety infrastructure (fire and smoke detection, fire suppression, water and leak detection, emergency alarms, emergency power-off) and physical security infrastructure (access control, video surveillance, intrusion and</w:t>
            </w:r>
            <w:r>
              <w:t xml:space="preserve"> perimeter detection, biometrics). Software: data center infrastructure management (DCIM), building and facility management, energy and power management, environmental and thermal management, digital twin and capacity planning, predictive maintenance, anal</w:t>
            </w:r>
            <w:r>
              <w:t>ytics and automation, and sustainability and carbon management software. Served data center types: enterprise and institutional, hyperscale and cloud, retail and wholesale colocation, telecom and network operator and other data centers, of every IT load ca</w:t>
            </w:r>
            <w:r>
              <w:t>pacity, across IT and telecom, BFSI, healthcare, retail, manufacturing, energy, government, media, education and transport. Geography: global (North America, Europe, Asia-Pacific, Latin America, Middle East &amp; Africa).</w:t>
            </w:r>
          </w:p>
        </w:tc>
        <w:tc>
          <w:tcPr>
            <w:tcW w:w="5046" w:type="dxa"/>
            <w:gridSpan w:val="2"/>
            <w:shd w:val="clear" w:color="auto" w:fill="F8FAFC"/>
            <w:tcMar>
              <w:top w:w="160" w:type="dxa"/>
              <w:left w:w="160" w:type="dxa"/>
              <w:bottom w:w="160" w:type="dxa"/>
              <w:right w:w="160" w:type="dxa"/>
            </w:tcMar>
          </w:tcPr>
          <w:p w:rsidR="00FC3617" w:rsidRDefault="0014512D">
            <w:pPr>
              <w:spacing w:after="20" w:line="240" w:lineRule="auto"/>
            </w:pPr>
            <w:r>
              <w:rPr>
                <w:b/>
                <w:color w:val="0F172A"/>
                <w:sz w:val="20"/>
              </w:rPr>
              <w:t>Provider Categories in this Market</w:t>
            </w:r>
          </w:p>
          <w:p w:rsidR="00FC3617" w:rsidRDefault="0014512D">
            <w:pPr>
              <w:spacing w:after="20" w:line="240" w:lineRule="auto"/>
            </w:pPr>
            <w:r>
              <w:rPr>
                <w:b/>
                <w:color w:val="0F172A"/>
              </w:rPr>
              <w:t xml:space="preserve">1. </w:t>
            </w:r>
            <w:r>
              <w:rPr>
                <w:color w:val="0F172A"/>
              </w:rPr>
              <w:t>Solution Provider</w:t>
            </w:r>
          </w:p>
          <w:p w:rsidR="00FC3617" w:rsidRDefault="0014512D">
            <w:pPr>
              <w:spacing w:after="20" w:line="240" w:lineRule="auto"/>
            </w:pPr>
            <w:r>
              <w:rPr>
                <w:color w:val="64748B"/>
                <w:sz w:val="17"/>
              </w:rPr>
              <w:t>Set by the market brief (_pipeline/market_brief.json).</w:t>
            </w:r>
          </w:p>
        </w:tc>
      </w:tr>
      <w:tr w:rsidR="00FC3617">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FC3617" w:rsidRDefault="0014512D">
            <w:pPr>
              <w:spacing w:after="20" w:line="240" w:lineRule="auto"/>
            </w:pPr>
            <w:r>
              <w:rPr>
                <w:b/>
                <w:color w:val="FFFFFF"/>
                <w:sz w:val="48"/>
              </w:rPr>
              <w:t>166</w:t>
            </w:r>
          </w:p>
          <w:p w:rsidR="00FC3617" w:rsidRDefault="0014512D">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FC3617" w:rsidRDefault="0014512D">
            <w:pPr>
              <w:spacing w:after="20" w:line="240" w:lineRule="auto"/>
            </w:pPr>
            <w:r>
              <w:rPr>
                <w:b/>
                <w:color w:val="FFFFFF"/>
                <w:sz w:val="48"/>
              </w:rPr>
              <w:t>20</w:t>
            </w:r>
          </w:p>
          <w:p w:rsidR="00FC3617" w:rsidRDefault="0014512D">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FC3617" w:rsidRDefault="0014512D">
            <w:pPr>
              <w:spacing w:after="20" w:line="240" w:lineRule="auto"/>
            </w:pPr>
            <w:r>
              <w:rPr>
                <w:b/>
                <w:color w:val="FFFFFF"/>
                <w:sz w:val="48"/>
              </w:rPr>
              <w:t>20</w:t>
            </w:r>
          </w:p>
          <w:p w:rsidR="00FC3617" w:rsidRDefault="0014512D">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FC3617" w:rsidRDefault="0014512D">
            <w:pPr>
              <w:spacing w:after="20" w:line="240" w:lineRule="auto"/>
            </w:pPr>
            <w:r>
              <w:rPr>
                <w:b/>
                <w:color w:val="FFFFFF"/>
                <w:sz w:val="48"/>
              </w:rPr>
              <w:t>4</w:t>
            </w:r>
          </w:p>
          <w:p w:rsidR="00FC3617" w:rsidRDefault="0014512D">
            <w:pPr>
              <w:spacing w:after="20" w:line="240" w:lineRule="auto"/>
            </w:pPr>
            <w:r>
              <w:rPr>
                <w:color w:val="E2E8F0"/>
                <w:sz w:val="18"/>
              </w:rPr>
              <w:t>Quadrants</w:t>
            </w:r>
          </w:p>
        </w:tc>
      </w:tr>
    </w:tbl>
    <w:p w:rsidR="00FC3617" w:rsidRDefault="0014512D">
      <w:pPr>
        <w:pageBreakBefore/>
        <w:pBdr>
          <w:bottom w:val="single" w:sz="24" w:space="6" w:color="52B69A"/>
        </w:pBdr>
        <w:spacing w:after="160"/>
      </w:pPr>
      <w:r>
        <w:rPr>
          <w:b/>
          <w:color w:val="002857"/>
          <w:sz w:val="40"/>
        </w:rPr>
        <w:lastRenderedPageBreak/>
        <w:t>Contents</w:t>
      </w:r>
    </w:p>
    <w:p w:rsidR="0014512D" w:rsidRDefault="0014512D">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935671" w:history="1">
        <w:r w:rsidRPr="004E1A19">
          <w:rPr>
            <w:rStyle w:val="Hyperlink"/>
            <w:noProof/>
          </w:rPr>
          <w:t>Market Scoring Parameters</w:t>
        </w:r>
        <w:r>
          <w:rPr>
            <w:noProof/>
            <w:webHidden/>
          </w:rPr>
          <w:tab/>
        </w:r>
        <w:r>
          <w:rPr>
            <w:noProof/>
            <w:webHidden/>
          </w:rPr>
          <w:fldChar w:fldCharType="begin"/>
        </w:r>
        <w:r>
          <w:rPr>
            <w:noProof/>
            <w:webHidden/>
          </w:rPr>
          <w:instrText xml:space="preserve"> PAGEREF _Toc242935671 \h </w:instrText>
        </w:r>
        <w:r>
          <w:rPr>
            <w:noProof/>
            <w:webHidden/>
          </w:rPr>
        </w:r>
        <w:r>
          <w:rPr>
            <w:noProof/>
            <w:webHidden/>
          </w:rPr>
          <w:fldChar w:fldCharType="separate"/>
        </w:r>
        <w:r>
          <w:rPr>
            <w:noProof/>
            <w:webHidden/>
          </w:rPr>
          <w:t>4</w:t>
        </w:r>
        <w:r>
          <w:rPr>
            <w:noProof/>
            <w:webHidden/>
          </w:rPr>
          <w:fldChar w:fldCharType="end"/>
        </w:r>
      </w:hyperlink>
    </w:p>
    <w:p w:rsidR="0014512D" w:rsidRDefault="0014512D">
      <w:pPr>
        <w:pStyle w:val="TOC1"/>
        <w:tabs>
          <w:tab w:val="right" w:leader="dot" w:pos="10082"/>
        </w:tabs>
        <w:rPr>
          <w:rFonts w:asciiTheme="minorHAnsi" w:eastAsiaTheme="minorEastAsia" w:hAnsiTheme="minorHAnsi"/>
          <w:noProof/>
          <w:color w:val="auto"/>
          <w:sz w:val="22"/>
        </w:rPr>
      </w:pPr>
      <w:hyperlink w:anchor="_Toc242935672" w:history="1">
        <w:r w:rsidRPr="004E1A19">
          <w:rPr>
            <w:rStyle w:val="Hyperlink"/>
            <w:noProof/>
          </w:rPr>
          <w:t>Quadrant Positioning</w:t>
        </w:r>
        <w:r>
          <w:rPr>
            <w:noProof/>
            <w:webHidden/>
          </w:rPr>
          <w:tab/>
        </w:r>
        <w:r>
          <w:rPr>
            <w:noProof/>
            <w:webHidden/>
          </w:rPr>
          <w:fldChar w:fldCharType="begin"/>
        </w:r>
        <w:r>
          <w:rPr>
            <w:noProof/>
            <w:webHidden/>
          </w:rPr>
          <w:instrText xml:space="preserve"> PAGEREF _Toc242935672 \h </w:instrText>
        </w:r>
        <w:r>
          <w:rPr>
            <w:noProof/>
            <w:webHidden/>
          </w:rPr>
        </w:r>
        <w:r>
          <w:rPr>
            <w:noProof/>
            <w:webHidden/>
          </w:rPr>
          <w:fldChar w:fldCharType="separate"/>
        </w:r>
        <w:r>
          <w:rPr>
            <w:noProof/>
            <w:webHidden/>
          </w:rPr>
          <w:t>5</w:t>
        </w:r>
        <w:r>
          <w:rPr>
            <w:noProof/>
            <w:webHidden/>
          </w:rPr>
          <w:fldChar w:fldCharType="end"/>
        </w:r>
      </w:hyperlink>
    </w:p>
    <w:p w:rsidR="0014512D" w:rsidRDefault="0014512D">
      <w:pPr>
        <w:pStyle w:val="TOC1"/>
        <w:tabs>
          <w:tab w:val="right" w:leader="dot" w:pos="10082"/>
        </w:tabs>
        <w:rPr>
          <w:rFonts w:asciiTheme="minorHAnsi" w:eastAsiaTheme="minorEastAsia" w:hAnsiTheme="minorHAnsi"/>
          <w:noProof/>
          <w:color w:val="auto"/>
          <w:sz w:val="22"/>
        </w:rPr>
      </w:pPr>
      <w:hyperlink w:anchor="_Toc242935673" w:history="1">
        <w:r w:rsidRPr="004E1A19">
          <w:rPr>
            <w:rStyle w:val="Hyperlink"/>
            <w:noProof/>
          </w:rPr>
          <w:t>What Each Quadrant Means</w:t>
        </w:r>
        <w:r>
          <w:rPr>
            <w:noProof/>
            <w:webHidden/>
          </w:rPr>
          <w:tab/>
        </w:r>
        <w:r>
          <w:rPr>
            <w:noProof/>
            <w:webHidden/>
          </w:rPr>
          <w:fldChar w:fldCharType="begin"/>
        </w:r>
        <w:r>
          <w:rPr>
            <w:noProof/>
            <w:webHidden/>
          </w:rPr>
          <w:instrText xml:space="preserve"> PAGEREF _Toc242935673 \h </w:instrText>
        </w:r>
        <w:r>
          <w:rPr>
            <w:noProof/>
            <w:webHidden/>
          </w:rPr>
        </w:r>
        <w:r>
          <w:rPr>
            <w:noProof/>
            <w:webHidden/>
          </w:rPr>
          <w:fldChar w:fldCharType="separate"/>
        </w:r>
        <w:r>
          <w:rPr>
            <w:noProof/>
            <w:webHidden/>
          </w:rPr>
          <w:t>6</w:t>
        </w:r>
        <w:r>
          <w:rPr>
            <w:noProof/>
            <w:webHidden/>
          </w:rPr>
          <w:fldChar w:fldCharType="end"/>
        </w:r>
      </w:hyperlink>
    </w:p>
    <w:p w:rsidR="0014512D" w:rsidRDefault="0014512D">
      <w:pPr>
        <w:pStyle w:val="TOC1"/>
        <w:tabs>
          <w:tab w:val="right" w:leader="dot" w:pos="10082"/>
        </w:tabs>
        <w:rPr>
          <w:rFonts w:asciiTheme="minorHAnsi" w:eastAsiaTheme="minorEastAsia" w:hAnsiTheme="minorHAnsi"/>
          <w:noProof/>
          <w:color w:val="auto"/>
          <w:sz w:val="22"/>
        </w:rPr>
      </w:pPr>
      <w:hyperlink w:anchor="_Toc242935674" w:history="1">
        <w:r w:rsidRPr="004E1A19">
          <w:rPr>
            <w:rStyle w:val="Hyperlink"/>
            <w:noProof/>
          </w:rPr>
          <w:t>Top 20 Companies</w:t>
        </w:r>
        <w:r>
          <w:rPr>
            <w:noProof/>
            <w:webHidden/>
          </w:rPr>
          <w:tab/>
        </w:r>
        <w:r>
          <w:rPr>
            <w:noProof/>
            <w:webHidden/>
          </w:rPr>
          <w:fldChar w:fldCharType="begin"/>
        </w:r>
        <w:r>
          <w:rPr>
            <w:noProof/>
            <w:webHidden/>
          </w:rPr>
          <w:instrText xml:space="preserve"> PAGEREF _Toc242935674 \h </w:instrText>
        </w:r>
        <w:r>
          <w:rPr>
            <w:noProof/>
            <w:webHidden/>
          </w:rPr>
        </w:r>
        <w:r>
          <w:rPr>
            <w:noProof/>
            <w:webHidden/>
          </w:rPr>
          <w:fldChar w:fldCharType="separate"/>
        </w:r>
        <w:r>
          <w:rPr>
            <w:noProof/>
            <w:webHidden/>
          </w:rPr>
          <w:t>7</w:t>
        </w:r>
        <w:r>
          <w:rPr>
            <w:noProof/>
            <w:webHidden/>
          </w:rPr>
          <w:fldChar w:fldCharType="end"/>
        </w:r>
      </w:hyperlink>
    </w:p>
    <w:p w:rsidR="0014512D" w:rsidRDefault="0014512D">
      <w:pPr>
        <w:pStyle w:val="TOC1"/>
        <w:tabs>
          <w:tab w:val="right" w:leader="dot" w:pos="10082"/>
        </w:tabs>
        <w:rPr>
          <w:rFonts w:asciiTheme="minorHAnsi" w:eastAsiaTheme="minorEastAsia" w:hAnsiTheme="minorHAnsi"/>
          <w:noProof/>
          <w:color w:val="auto"/>
          <w:sz w:val="22"/>
        </w:rPr>
      </w:pPr>
      <w:hyperlink w:anchor="_Toc242935675" w:history="1">
        <w:r w:rsidRPr="004E1A19">
          <w:rPr>
            <w:rStyle w:val="Hyperlink"/>
            <w:noProof/>
          </w:rPr>
          <w:t>Other Noticeable Players</w:t>
        </w:r>
        <w:r>
          <w:rPr>
            <w:noProof/>
            <w:webHidden/>
          </w:rPr>
          <w:tab/>
        </w:r>
        <w:r>
          <w:rPr>
            <w:noProof/>
            <w:webHidden/>
          </w:rPr>
          <w:fldChar w:fldCharType="begin"/>
        </w:r>
        <w:r>
          <w:rPr>
            <w:noProof/>
            <w:webHidden/>
          </w:rPr>
          <w:instrText xml:space="preserve"> PAGEREF _Toc242935675 \h </w:instrText>
        </w:r>
        <w:r>
          <w:rPr>
            <w:noProof/>
            <w:webHidden/>
          </w:rPr>
        </w:r>
        <w:r>
          <w:rPr>
            <w:noProof/>
            <w:webHidden/>
          </w:rPr>
          <w:fldChar w:fldCharType="separate"/>
        </w:r>
        <w:r>
          <w:rPr>
            <w:noProof/>
            <w:webHidden/>
          </w:rPr>
          <w:t>8</w:t>
        </w:r>
        <w:r>
          <w:rPr>
            <w:noProof/>
            <w:webHidden/>
          </w:rPr>
          <w:fldChar w:fldCharType="end"/>
        </w:r>
      </w:hyperlink>
    </w:p>
    <w:p w:rsidR="0014512D" w:rsidRDefault="0014512D">
      <w:pPr>
        <w:pStyle w:val="TOC1"/>
        <w:tabs>
          <w:tab w:val="right" w:leader="dot" w:pos="10082"/>
        </w:tabs>
        <w:rPr>
          <w:rFonts w:asciiTheme="minorHAnsi" w:eastAsiaTheme="minorEastAsia" w:hAnsiTheme="minorHAnsi"/>
          <w:noProof/>
          <w:color w:val="auto"/>
          <w:sz w:val="22"/>
        </w:rPr>
      </w:pPr>
      <w:hyperlink w:anchor="_Toc242935676" w:history="1">
        <w:r w:rsidRPr="004E1A19">
          <w:rPr>
            <w:rStyle w:val="Hyperlink"/>
            <w:noProof/>
          </w:rPr>
          <w:t>Parameter Detail by Company</w:t>
        </w:r>
        <w:r>
          <w:rPr>
            <w:noProof/>
            <w:webHidden/>
          </w:rPr>
          <w:tab/>
        </w:r>
        <w:r>
          <w:rPr>
            <w:noProof/>
            <w:webHidden/>
          </w:rPr>
          <w:fldChar w:fldCharType="begin"/>
        </w:r>
        <w:r>
          <w:rPr>
            <w:noProof/>
            <w:webHidden/>
          </w:rPr>
          <w:instrText xml:space="preserve"> PAGEREF _Toc242935676 \h </w:instrText>
        </w:r>
        <w:r>
          <w:rPr>
            <w:noProof/>
            <w:webHidden/>
          </w:rPr>
        </w:r>
        <w:r>
          <w:rPr>
            <w:noProof/>
            <w:webHidden/>
          </w:rPr>
          <w:fldChar w:fldCharType="separate"/>
        </w:r>
        <w:r>
          <w:rPr>
            <w:noProof/>
            <w:webHidden/>
          </w:rPr>
          <w:t>14</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77" w:history="1">
        <w:r w:rsidRPr="004E1A19">
          <w:rPr>
            <w:rStyle w:val="Hyperlink"/>
            <w:noProof/>
          </w:rPr>
          <w:t>NVIDIA Corporation</w:t>
        </w:r>
        <w:r>
          <w:rPr>
            <w:noProof/>
            <w:webHidden/>
          </w:rPr>
          <w:tab/>
        </w:r>
        <w:r>
          <w:rPr>
            <w:noProof/>
            <w:webHidden/>
          </w:rPr>
          <w:fldChar w:fldCharType="begin"/>
        </w:r>
        <w:r>
          <w:rPr>
            <w:noProof/>
            <w:webHidden/>
          </w:rPr>
          <w:instrText xml:space="preserve"> PAGEREF _Toc242935677 \h </w:instrText>
        </w:r>
        <w:r>
          <w:rPr>
            <w:noProof/>
            <w:webHidden/>
          </w:rPr>
        </w:r>
        <w:r>
          <w:rPr>
            <w:noProof/>
            <w:webHidden/>
          </w:rPr>
          <w:fldChar w:fldCharType="separate"/>
        </w:r>
        <w:r>
          <w:rPr>
            <w:noProof/>
            <w:webHidden/>
          </w:rPr>
          <w:t>14</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78" w:history="1">
        <w:r w:rsidRPr="004E1A19">
          <w:rPr>
            <w:rStyle w:val="Hyperlink"/>
            <w:noProof/>
          </w:rPr>
          <w:t>Hewlett Packard Enterprise Company</w:t>
        </w:r>
        <w:r>
          <w:rPr>
            <w:noProof/>
            <w:webHidden/>
          </w:rPr>
          <w:tab/>
        </w:r>
        <w:r>
          <w:rPr>
            <w:noProof/>
            <w:webHidden/>
          </w:rPr>
          <w:fldChar w:fldCharType="begin"/>
        </w:r>
        <w:r>
          <w:rPr>
            <w:noProof/>
            <w:webHidden/>
          </w:rPr>
          <w:instrText xml:space="preserve"> PAGEREF _Toc242935678 \h </w:instrText>
        </w:r>
        <w:r>
          <w:rPr>
            <w:noProof/>
            <w:webHidden/>
          </w:rPr>
        </w:r>
        <w:r>
          <w:rPr>
            <w:noProof/>
            <w:webHidden/>
          </w:rPr>
          <w:fldChar w:fldCharType="separate"/>
        </w:r>
        <w:r>
          <w:rPr>
            <w:noProof/>
            <w:webHidden/>
          </w:rPr>
          <w:t>17</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79" w:history="1">
        <w:r w:rsidRPr="004E1A19">
          <w:rPr>
            <w:rStyle w:val="Hyperlink"/>
            <w:noProof/>
          </w:rPr>
          <w:t>Dell Technologies Inc.</w:t>
        </w:r>
        <w:r>
          <w:rPr>
            <w:noProof/>
            <w:webHidden/>
          </w:rPr>
          <w:tab/>
        </w:r>
        <w:r>
          <w:rPr>
            <w:noProof/>
            <w:webHidden/>
          </w:rPr>
          <w:fldChar w:fldCharType="begin"/>
        </w:r>
        <w:r>
          <w:rPr>
            <w:noProof/>
            <w:webHidden/>
          </w:rPr>
          <w:instrText xml:space="preserve"> PAGEREF _Toc242935679 \h </w:instrText>
        </w:r>
        <w:r>
          <w:rPr>
            <w:noProof/>
            <w:webHidden/>
          </w:rPr>
        </w:r>
        <w:r>
          <w:rPr>
            <w:noProof/>
            <w:webHidden/>
          </w:rPr>
          <w:fldChar w:fldCharType="separate"/>
        </w:r>
        <w:r>
          <w:rPr>
            <w:noProof/>
            <w:webHidden/>
          </w:rPr>
          <w:t>20</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80" w:history="1">
        <w:r w:rsidRPr="004E1A19">
          <w:rPr>
            <w:rStyle w:val="Hyperlink"/>
            <w:noProof/>
          </w:rPr>
          <w:t>Dell Inc.</w:t>
        </w:r>
        <w:r>
          <w:rPr>
            <w:noProof/>
            <w:webHidden/>
          </w:rPr>
          <w:tab/>
        </w:r>
        <w:r>
          <w:rPr>
            <w:noProof/>
            <w:webHidden/>
          </w:rPr>
          <w:fldChar w:fldCharType="begin"/>
        </w:r>
        <w:r>
          <w:rPr>
            <w:noProof/>
            <w:webHidden/>
          </w:rPr>
          <w:instrText xml:space="preserve"> PAGEREF _Toc242935680 \h </w:instrText>
        </w:r>
        <w:r>
          <w:rPr>
            <w:noProof/>
            <w:webHidden/>
          </w:rPr>
        </w:r>
        <w:r>
          <w:rPr>
            <w:noProof/>
            <w:webHidden/>
          </w:rPr>
          <w:fldChar w:fldCharType="separate"/>
        </w:r>
        <w:r>
          <w:rPr>
            <w:noProof/>
            <w:webHidden/>
          </w:rPr>
          <w:t>23</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81" w:history="1">
        <w:r w:rsidRPr="004E1A19">
          <w:rPr>
            <w:rStyle w:val="Hyperlink"/>
            <w:noProof/>
          </w:rPr>
          <w:t>Arista Networks, Inc.</w:t>
        </w:r>
        <w:r>
          <w:rPr>
            <w:noProof/>
            <w:webHidden/>
          </w:rPr>
          <w:tab/>
        </w:r>
        <w:r>
          <w:rPr>
            <w:noProof/>
            <w:webHidden/>
          </w:rPr>
          <w:fldChar w:fldCharType="begin"/>
        </w:r>
        <w:r>
          <w:rPr>
            <w:noProof/>
            <w:webHidden/>
          </w:rPr>
          <w:instrText xml:space="preserve"> PAGEREF _Toc242935681 \h </w:instrText>
        </w:r>
        <w:r>
          <w:rPr>
            <w:noProof/>
            <w:webHidden/>
          </w:rPr>
        </w:r>
        <w:r>
          <w:rPr>
            <w:noProof/>
            <w:webHidden/>
          </w:rPr>
          <w:fldChar w:fldCharType="separate"/>
        </w:r>
        <w:r>
          <w:rPr>
            <w:noProof/>
            <w:webHidden/>
          </w:rPr>
          <w:t>26</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82" w:history="1">
        <w:r w:rsidRPr="004E1A19">
          <w:rPr>
            <w:rStyle w:val="Hyperlink"/>
            <w:noProof/>
          </w:rPr>
          <w:t>Nutanix, Inc.</w:t>
        </w:r>
        <w:r>
          <w:rPr>
            <w:noProof/>
            <w:webHidden/>
          </w:rPr>
          <w:tab/>
        </w:r>
        <w:r>
          <w:rPr>
            <w:noProof/>
            <w:webHidden/>
          </w:rPr>
          <w:fldChar w:fldCharType="begin"/>
        </w:r>
        <w:r>
          <w:rPr>
            <w:noProof/>
            <w:webHidden/>
          </w:rPr>
          <w:instrText xml:space="preserve"> PAGEREF _Toc242935682 \h </w:instrText>
        </w:r>
        <w:r>
          <w:rPr>
            <w:noProof/>
            <w:webHidden/>
          </w:rPr>
        </w:r>
        <w:r>
          <w:rPr>
            <w:noProof/>
            <w:webHidden/>
          </w:rPr>
          <w:fldChar w:fldCharType="separate"/>
        </w:r>
        <w:r>
          <w:rPr>
            <w:noProof/>
            <w:webHidden/>
          </w:rPr>
          <w:t>29</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83" w:history="1">
        <w:r w:rsidRPr="004E1A19">
          <w:rPr>
            <w:rStyle w:val="Hyperlink"/>
            <w:noProof/>
          </w:rPr>
          <w:t>EnerSys</w:t>
        </w:r>
        <w:r>
          <w:rPr>
            <w:noProof/>
            <w:webHidden/>
          </w:rPr>
          <w:tab/>
        </w:r>
        <w:r>
          <w:rPr>
            <w:noProof/>
            <w:webHidden/>
          </w:rPr>
          <w:fldChar w:fldCharType="begin"/>
        </w:r>
        <w:r>
          <w:rPr>
            <w:noProof/>
            <w:webHidden/>
          </w:rPr>
          <w:instrText xml:space="preserve"> PAGEREF _Toc242935683 \h </w:instrText>
        </w:r>
        <w:r>
          <w:rPr>
            <w:noProof/>
            <w:webHidden/>
          </w:rPr>
        </w:r>
        <w:r>
          <w:rPr>
            <w:noProof/>
            <w:webHidden/>
          </w:rPr>
          <w:fldChar w:fldCharType="separate"/>
        </w:r>
        <w:r>
          <w:rPr>
            <w:noProof/>
            <w:webHidden/>
          </w:rPr>
          <w:t>32</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84" w:history="1">
        <w:r w:rsidRPr="004E1A19">
          <w:rPr>
            <w:rStyle w:val="Hyperlink"/>
            <w:noProof/>
          </w:rPr>
          <w:t>Cyber Power Systems, Inc.</w:t>
        </w:r>
        <w:r>
          <w:rPr>
            <w:noProof/>
            <w:webHidden/>
          </w:rPr>
          <w:tab/>
        </w:r>
        <w:r>
          <w:rPr>
            <w:noProof/>
            <w:webHidden/>
          </w:rPr>
          <w:fldChar w:fldCharType="begin"/>
        </w:r>
        <w:r>
          <w:rPr>
            <w:noProof/>
            <w:webHidden/>
          </w:rPr>
          <w:instrText xml:space="preserve"> PAGEREF _Toc242935684 \h </w:instrText>
        </w:r>
        <w:r>
          <w:rPr>
            <w:noProof/>
            <w:webHidden/>
          </w:rPr>
        </w:r>
        <w:r>
          <w:rPr>
            <w:noProof/>
            <w:webHidden/>
          </w:rPr>
          <w:fldChar w:fldCharType="separate"/>
        </w:r>
        <w:r>
          <w:rPr>
            <w:noProof/>
            <w:webHidden/>
          </w:rPr>
          <w:t>35</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85" w:history="1">
        <w:r w:rsidRPr="004E1A19">
          <w:rPr>
            <w:rStyle w:val="Hyperlink"/>
            <w:noProof/>
          </w:rPr>
          <w:t>RPS S.p.A.</w:t>
        </w:r>
        <w:r>
          <w:rPr>
            <w:noProof/>
            <w:webHidden/>
          </w:rPr>
          <w:tab/>
        </w:r>
        <w:r>
          <w:rPr>
            <w:noProof/>
            <w:webHidden/>
          </w:rPr>
          <w:fldChar w:fldCharType="begin"/>
        </w:r>
        <w:r>
          <w:rPr>
            <w:noProof/>
            <w:webHidden/>
          </w:rPr>
          <w:instrText xml:space="preserve"> PAGEREF _Toc242935685 \h </w:instrText>
        </w:r>
        <w:r>
          <w:rPr>
            <w:noProof/>
            <w:webHidden/>
          </w:rPr>
        </w:r>
        <w:r>
          <w:rPr>
            <w:noProof/>
            <w:webHidden/>
          </w:rPr>
          <w:fldChar w:fldCharType="separate"/>
        </w:r>
        <w:r>
          <w:rPr>
            <w:noProof/>
            <w:webHidden/>
          </w:rPr>
          <w:t>38</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86" w:history="1">
        <w:r w:rsidRPr="004E1A19">
          <w:rPr>
            <w:rStyle w:val="Hyperlink"/>
            <w:noProof/>
          </w:rPr>
          <w:t>Tate Access Floors, Inc. (subsidiary of Kingspan Group PLC)</w:t>
        </w:r>
        <w:r>
          <w:rPr>
            <w:noProof/>
            <w:webHidden/>
          </w:rPr>
          <w:tab/>
        </w:r>
        <w:r>
          <w:rPr>
            <w:noProof/>
            <w:webHidden/>
          </w:rPr>
          <w:fldChar w:fldCharType="begin"/>
        </w:r>
        <w:r>
          <w:rPr>
            <w:noProof/>
            <w:webHidden/>
          </w:rPr>
          <w:instrText xml:space="preserve"> PAGEREF _Toc242935686 \h </w:instrText>
        </w:r>
        <w:r>
          <w:rPr>
            <w:noProof/>
            <w:webHidden/>
          </w:rPr>
        </w:r>
        <w:r>
          <w:rPr>
            <w:noProof/>
            <w:webHidden/>
          </w:rPr>
          <w:fldChar w:fldCharType="separate"/>
        </w:r>
        <w:r>
          <w:rPr>
            <w:noProof/>
            <w:webHidden/>
          </w:rPr>
          <w:t>41</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87" w:history="1">
        <w:r w:rsidRPr="004E1A19">
          <w:rPr>
            <w:rStyle w:val="Hyperlink"/>
            <w:noProof/>
          </w:rPr>
          <w:t>Wiwynn Corporation</w:t>
        </w:r>
        <w:r>
          <w:rPr>
            <w:noProof/>
            <w:webHidden/>
          </w:rPr>
          <w:tab/>
        </w:r>
        <w:r>
          <w:rPr>
            <w:noProof/>
            <w:webHidden/>
          </w:rPr>
          <w:fldChar w:fldCharType="begin"/>
        </w:r>
        <w:r>
          <w:rPr>
            <w:noProof/>
            <w:webHidden/>
          </w:rPr>
          <w:instrText xml:space="preserve"> PAGEREF _Toc242935687 \h </w:instrText>
        </w:r>
        <w:r>
          <w:rPr>
            <w:noProof/>
            <w:webHidden/>
          </w:rPr>
        </w:r>
        <w:r>
          <w:rPr>
            <w:noProof/>
            <w:webHidden/>
          </w:rPr>
          <w:fldChar w:fldCharType="separate"/>
        </w:r>
        <w:r>
          <w:rPr>
            <w:noProof/>
            <w:webHidden/>
          </w:rPr>
          <w:t>44</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88" w:history="1">
        <w:r w:rsidRPr="004E1A19">
          <w:rPr>
            <w:rStyle w:val="Hyperlink"/>
            <w:noProof/>
          </w:rPr>
          <w:t>Amphenol Corporation</w:t>
        </w:r>
        <w:r>
          <w:rPr>
            <w:noProof/>
            <w:webHidden/>
          </w:rPr>
          <w:tab/>
        </w:r>
        <w:r>
          <w:rPr>
            <w:noProof/>
            <w:webHidden/>
          </w:rPr>
          <w:fldChar w:fldCharType="begin"/>
        </w:r>
        <w:r>
          <w:rPr>
            <w:noProof/>
            <w:webHidden/>
          </w:rPr>
          <w:instrText xml:space="preserve"> PAGEREF _Toc242935688 \h </w:instrText>
        </w:r>
        <w:r>
          <w:rPr>
            <w:noProof/>
            <w:webHidden/>
          </w:rPr>
        </w:r>
        <w:r>
          <w:rPr>
            <w:noProof/>
            <w:webHidden/>
          </w:rPr>
          <w:fldChar w:fldCharType="separate"/>
        </w:r>
        <w:r>
          <w:rPr>
            <w:noProof/>
            <w:webHidden/>
          </w:rPr>
          <w:t>47</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89" w:history="1">
        <w:r w:rsidRPr="004E1A19">
          <w:rPr>
            <w:rStyle w:val="Hyperlink"/>
            <w:noProof/>
          </w:rPr>
          <w:t>Datapod Pty Ltd</w:t>
        </w:r>
        <w:r>
          <w:rPr>
            <w:noProof/>
            <w:webHidden/>
          </w:rPr>
          <w:tab/>
        </w:r>
        <w:r>
          <w:rPr>
            <w:noProof/>
            <w:webHidden/>
          </w:rPr>
          <w:fldChar w:fldCharType="begin"/>
        </w:r>
        <w:r>
          <w:rPr>
            <w:noProof/>
            <w:webHidden/>
          </w:rPr>
          <w:instrText xml:space="preserve"> PAGEREF _Toc242935689 \h </w:instrText>
        </w:r>
        <w:r>
          <w:rPr>
            <w:noProof/>
            <w:webHidden/>
          </w:rPr>
        </w:r>
        <w:r>
          <w:rPr>
            <w:noProof/>
            <w:webHidden/>
          </w:rPr>
          <w:fldChar w:fldCharType="separate"/>
        </w:r>
        <w:r>
          <w:rPr>
            <w:noProof/>
            <w:webHidden/>
          </w:rPr>
          <w:t>50</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90" w:history="1">
        <w:r w:rsidRPr="004E1A19">
          <w:rPr>
            <w:rStyle w:val="Hyperlink"/>
            <w:noProof/>
          </w:rPr>
          <w:t>Asperitas BV</w:t>
        </w:r>
        <w:r>
          <w:rPr>
            <w:noProof/>
            <w:webHidden/>
          </w:rPr>
          <w:tab/>
        </w:r>
        <w:r>
          <w:rPr>
            <w:noProof/>
            <w:webHidden/>
          </w:rPr>
          <w:fldChar w:fldCharType="begin"/>
        </w:r>
        <w:r>
          <w:rPr>
            <w:noProof/>
            <w:webHidden/>
          </w:rPr>
          <w:instrText xml:space="preserve"> PAGEREF _Toc242935690 \h </w:instrText>
        </w:r>
        <w:r>
          <w:rPr>
            <w:noProof/>
            <w:webHidden/>
          </w:rPr>
        </w:r>
        <w:r>
          <w:rPr>
            <w:noProof/>
            <w:webHidden/>
          </w:rPr>
          <w:fldChar w:fldCharType="separate"/>
        </w:r>
        <w:r>
          <w:rPr>
            <w:noProof/>
            <w:webHidden/>
          </w:rPr>
          <w:t>53</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91" w:history="1">
        <w:r w:rsidRPr="004E1A19">
          <w:rPr>
            <w:rStyle w:val="Hyperlink"/>
            <w:noProof/>
          </w:rPr>
          <w:t>OptiCool Technologies LLC (subsidiary of Calvary Robotics)</w:t>
        </w:r>
        <w:r>
          <w:rPr>
            <w:noProof/>
            <w:webHidden/>
          </w:rPr>
          <w:tab/>
        </w:r>
        <w:r>
          <w:rPr>
            <w:noProof/>
            <w:webHidden/>
          </w:rPr>
          <w:fldChar w:fldCharType="begin"/>
        </w:r>
        <w:r>
          <w:rPr>
            <w:noProof/>
            <w:webHidden/>
          </w:rPr>
          <w:instrText xml:space="preserve"> PAGEREF _Toc242935691 \h </w:instrText>
        </w:r>
        <w:r>
          <w:rPr>
            <w:noProof/>
            <w:webHidden/>
          </w:rPr>
        </w:r>
        <w:r>
          <w:rPr>
            <w:noProof/>
            <w:webHidden/>
          </w:rPr>
          <w:fldChar w:fldCharType="separate"/>
        </w:r>
        <w:r>
          <w:rPr>
            <w:noProof/>
            <w:webHidden/>
          </w:rPr>
          <w:t>56</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92" w:history="1">
        <w:r w:rsidRPr="004E1A19">
          <w:rPr>
            <w:rStyle w:val="Hyperlink"/>
            <w:noProof/>
          </w:rPr>
          <w:t>Upsite Technologies, Inc. (subsidiary of Aquila, Inc.)</w:t>
        </w:r>
        <w:r>
          <w:rPr>
            <w:noProof/>
            <w:webHidden/>
          </w:rPr>
          <w:tab/>
        </w:r>
        <w:r>
          <w:rPr>
            <w:noProof/>
            <w:webHidden/>
          </w:rPr>
          <w:fldChar w:fldCharType="begin"/>
        </w:r>
        <w:r>
          <w:rPr>
            <w:noProof/>
            <w:webHidden/>
          </w:rPr>
          <w:instrText xml:space="preserve"> PAGEREF _Toc242935692 \h </w:instrText>
        </w:r>
        <w:r>
          <w:rPr>
            <w:noProof/>
            <w:webHidden/>
          </w:rPr>
        </w:r>
        <w:r>
          <w:rPr>
            <w:noProof/>
            <w:webHidden/>
          </w:rPr>
          <w:fldChar w:fldCharType="separate"/>
        </w:r>
        <w:r>
          <w:rPr>
            <w:noProof/>
            <w:webHidden/>
          </w:rPr>
          <w:t>59</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93" w:history="1">
        <w:r w:rsidRPr="004E1A19">
          <w:rPr>
            <w:rStyle w:val="Hyperlink"/>
            <w:noProof/>
          </w:rPr>
          <w:t>Salicru, S.A.</w:t>
        </w:r>
        <w:r>
          <w:rPr>
            <w:noProof/>
            <w:webHidden/>
          </w:rPr>
          <w:tab/>
        </w:r>
        <w:r>
          <w:rPr>
            <w:noProof/>
            <w:webHidden/>
          </w:rPr>
          <w:fldChar w:fldCharType="begin"/>
        </w:r>
        <w:r>
          <w:rPr>
            <w:noProof/>
            <w:webHidden/>
          </w:rPr>
          <w:instrText xml:space="preserve"> PAGEREF _Toc242935693 \h </w:instrText>
        </w:r>
        <w:r>
          <w:rPr>
            <w:noProof/>
            <w:webHidden/>
          </w:rPr>
        </w:r>
        <w:r>
          <w:rPr>
            <w:noProof/>
            <w:webHidden/>
          </w:rPr>
          <w:fldChar w:fldCharType="separate"/>
        </w:r>
        <w:r>
          <w:rPr>
            <w:noProof/>
            <w:webHidden/>
          </w:rPr>
          <w:t>62</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94" w:history="1">
        <w:r w:rsidRPr="004E1A19">
          <w:rPr>
            <w:rStyle w:val="Hyperlink"/>
            <w:noProof/>
          </w:rPr>
          <w:t>Subzero Engineering (subsidiary of Senneca Holdings)</w:t>
        </w:r>
        <w:r>
          <w:rPr>
            <w:noProof/>
            <w:webHidden/>
          </w:rPr>
          <w:tab/>
        </w:r>
        <w:r>
          <w:rPr>
            <w:noProof/>
            <w:webHidden/>
          </w:rPr>
          <w:fldChar w:fldCharType="begin"/>
        </w:r>
        <w:r>
          <w:rPr>
            <w:noProof/>
            <w:webHidden/>
          </w:rPr>
          <w:instrText xml:space="preserve"> PAGEREF _Toc242935694 \h </w:instrText>
        </w:r>
        <w:r>
          <w:rPr>
            <w:noProof/>
            <w:webHidden/>
          </w:rPr>
        </w:r>
        <w:r>
          <w:rPr>
            <w:noProof/>
            <w:webHidden/>
          </w:rPr>
          <w:fldChar w:fldCharType="separate"/>
        </w:r>
        <w:r>
          <w:rPr>
            <w:noProof/>
            <w:webHidden/>
          </w:rPr>
          <w:t>65</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95" w:history="1">
        <w:r w:rsidRPr="004E1A19">
          <w:rPr>
            <w:rStyle w:val="Hyperlink"/>
            <w:noProof/>
          </w:rPr>
          <w:t>WEG S.A.</w:t>
        </w:r>
        <w:r>
          <w:rPr>
            <w:noProof/>
            <w:webHidden/>
          </w:rPr>
          <w:tab/>
        </w:r>
        <w:r>
          <w:rPr>
            <w:noProof/>
            <w:webHidden/>
          </w:rPr>
          <w:fldChar w:fldCharType="begin"/>
        </w:r>
        <w:r>
          <w:rPr>
            <w:noProof/>
            <w:webHidden/>
          </w:rPr>
          <w:instrText xml:space="preserve"> PAGEREF _Toc242935695 \h </w:instrText>
        </w:r>
        <w:r>
          <w:rPr>
            <w:noProof/>
            <w:webHidden/>
          </w:rPr>
        </w:r>
        <w:r>
          <w:rPr>
            <w:noProof/>
            <w:webHidden/>
          </w:rPr>
          <w:fldChar w:fldCharType="separate"/>
        </w:r>
        <w:r>
          <w:rPr>
            <w:noProof/>
            <w:webHidden/>
          </w:rPr>
          <w:t>67</w:t>
        </w:r>
        <w:r>
          <w:rPr>
            <w:noProof/>
            <w:webHidden/>
          </w:rPr>
          <w:fldChar w:fldCharType="end"/>
        </w:r>
      </w:hyperlink>
    </w:p>
    <w:p w:rsidR="0014512D" w:rsidRDefault="0014512D">
      <w:pPr>
        <w:pStyle w:val="TOC2"/>
        <w:tabs>
          <w:tab w:val="right" w:leader="dot" w:pos="10082"/>
        </w:tabs>
        <w:rPr>
          <w:rFonts w:asciiTheme="minorHAnsi" w:eastAsiaTheme="minorEastAsia" w:hAnsiTheme="minorHAnsi"/>
          <w:noProof/>
          <w:color w:val="auto"/>
          <w:sz w:val="22"/>
        </w:rPr>
      </w:pPr>
      <w:hyperlink w:anchor="_Toc242935696" w:history="1">
        <w:r w:rsidRPr="004E1A19">
          <w:rPr>
            <w:rStyle w:val="Hyperlink"/>
            <w:noProof/>
          </w:rPr>
          <w:t>EAE Elektrik A.Ş.</w:t>
        </w:r>
        <w:r>
          <w:rPr>
            <w:noProof/>
            <w:webHidden/>
          </w:rPr>
          <w:tab/>
        </w:r>
        <w:r>
          <w:rPr>
            <w:noProof/>
            <w:webHidden/>
          </w:rPr>
          <w:fldChar w:fldCharType="begin"/>
        </w:r>
        <w:r>
          <w:rPr>
            <w:noProof/>
            <w:webHidden/>
          </w:rPr>
          <w:instrText xml:space="preserve"> PAGEREF _Toc242935696 \h </w:instrText>
        </w:r>
        <w:r>
          <w:rPr>
            <w:noProof/>
            <w:webHidden/>
          </w:rPr>
        </w:r>
        <w:r>
          <w:rPr>
            <w:noProof/>
            <w:webHidden/>
          </w:rPr>
          <w:fldChar w:fldCharType="separate"/>
        </w:r>
        <w:r>
          <w:rPr>
            <w:noProof/>
            <w:webHidden/>
          </w:rPr>
          <w:t>69</w:t>
        </w:r>
        <w:r>
          <w:rPr>
            <w:noProof/>
            <w:webHidden/>
          </w:rPr>
          <w:fldChar w:fldCharType="end"/>
        </w:r>
      </w:hyperlink>
    </w:p>
    <w:p w:rsidR="0014512D" w:rsidRDefault="0014512D">
      <w:pPr>
        <w:pStyle w:val="TOC1"/>
        <w:tabs>
          <w:tab w:val="right" w:leader="dot" w:pos="10082"/>
        </w:tabs>
        <w:rPr>
          <w:rFonts w:asciiTheme="minorHAnsi" w:eastAsiaTheme="minorEastAsia" w:hAnsiTheme="minorHAnsi"/>
          <w:noProof/>
          <w:color w:val="auto"/>
          <w:sz w:val="22"/>
        </w:rPr>
      </w:pPr>
      <w:hyperlink w:anchor="_Toc242935697" w:history="1">
        <w:r w:rsidRPr="004E1A19">
          <w:rPr>
            <w:rStyle w:val="Hyperlink"/>
            <w:noProof/>
          </w:rPr>
          <w:t>Parameter Definitions</w:t>
        </w:r>
        <w:r>
          <w:rPr>
            <w:noProof/>
            <w:webHidden/>
          </w:rPr>
          <w:tab/>
        </w:r>
        <w:r>
          <w:rPr>
            <w:noProof/>
            <w:webHidden/>
          </w:rPr>
          <w:fldChar w:fldCharType="begin"/>
        </w:r>
        <w:r>
          <w:rPr>
            <w:noProof/>
            <w:webHidden/>
          </w:rPr>
          <w:instrText xml:space="preserve"> PAGEREF _Toc242935697 \h </w:instrText>
        </w:r>
        <w:r>
          <w:rPr>
            <w:noProof/>
            <w:webHidden/>
          </w:rPr>
        </w:r>
        <w:r>
          <w:rPr>
            <w:noProof/>
            <w:webHidden/>
          </w:rPr>
          <w:fldChar w:fldCharType="separate"/>
        </w:r>
        <w:r>
          <w:rPr>
            <w:noProof/>
            <w:webHidden/>
          </w:rPr>
          <w:t>72</w:t>
        </w:r>
        <w:r>
          <w:rPr>
            <w:noProof/>
            <w:webHidden/>
          </w:rPr>
          <w:fldChar w:fldCharType="end"/>
        </w:r>
      </w:hyperlink>
    </w:p>
    <w:p w:rsidR="0014512D" w:rsidRDefault="0014512D">
      <w:pPr>
        <w:pStyle w:val="TOC1"/>
        <w:tabs>
          <w:tab w:val="right" w:leader="dot" w:pos="10082"/>
        </w:tabs>
        <w:rPr>
          <w:rFonts w:asciiTheme="minorHAnsi" w:eastAsiaTheme="minorEastAsia" w:hAnsiTheme="minorHAnsi"/>
          <w:noProof/>
          <w:color w:val="auto"/>
          <w:sz w:val="22"/>
        </w:rPr>
      </w:pPr>
      <w:hyperlink w:anchor="_Toc242935698" w:history="1">
        <w:r w:rsidRPr="004E1A19">
          <w:rPr>
            <w:rStyle w:val="Hyperlink"/>
            <w:noProof/>
          </w:rPr>
          <w:t>Research Methodology</w:t>
        </w:r>
        <w:r>
          <w:rPr>
            <w:noProof/>
            <w:webHidden/>
          </w:rPr>
          <w:tab/>
        </w:r>
        <w:r>
          <w:rPr>
            <w:noProof/>
            <w:webHidden/>
          </w:rPr>
          <w:fldChar w:fldCharType="begin"/>
        </w:r>
        <w:r>
          <w:rPr>
            <w:noProof/>
            <w:webHidden/>
          </w:rPr>
          <w:instrText xml:space="preserve"> PAGEREF _Toc242935698 \h </w:instrText>
        </w:r>
        <w:r>
          <w:rPr>
            <w:noProof/>
            <w:webHidden/>
          </w:rPr>
        </w:r>
        <w:r>
          <w:rPr>
            <w:noProof/>
            <w:webHidden/>
          </w:rPr>
          <w:fldChar w:fldCharType="separate"/>
        </w:r>
        <w:r>
          <w:rPr>
            <w:noProof/>
            <w:webHidden/>
          </w:rPr>
          <w:t>73</w:t>
        </w:r>
        <w:r>
          <w:rPr>
            <w:noProof/>
            <w:webHidden/>
          </w:rPr>
          <w:fldChar w:fldCharType="end"/>
        </w:r>
      </w:hyperlink>
    </w:p>
    <w:p w:rsidR="00FC3617" w:rsidRDefault="0014512D">
      <w:r>
        <w:fldChar w:fldCharType="end"/>
      </w:r>
    </w:p>
    <w:p w:rsidR="00FC3617" w:rsidRDefault="0014512D">
      <w:pPr>
        <w:pStyle w:val="Heading1"/>
        <w:pageBreakBefore/>
        <w:pBdr>
          <w:bottom w:val="single" w:sz="24" w:space="6" w:color="52B69A"/>
        </w:pBdr>
      </w:pPr>
      <w:bookmarkStart w:id="1" w:name="_Toc24293567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FC3617">
        <w:trPr>
          <w:cantSplit/>
          <w:jc w:val="center"/>
        </w:trPr>
        <w:tc>
          <w:tcPr>
            <w:tcW w:w="5046" w:type="dxa"/>
            <w:shd w:val="clear" w:color="auto" w:fill="F8FAFC"/>
            <w:tcMar>
              <w:top w:w="160" w:type="dxa"/>
              <w:left w:w="160" w:type="dxa"/>
              <w:bottom w:w="160" w:type="dxa"/>
              <w:right w:w="160" w:type="dxa"/>
            </w:tcMar>
          </w:tcPr>
          <w:p w:rsidR="00FC3617" w:rsidRDefault="0014512D">
            <w:pPr>
              <w:spacing w:after="20" w:line="240" w:lineRule="auto"/>
            </w:pPr>
            <w:r>
              <w:rPr>
                <w:b/>
                <w:color w:val="0F172A"/>
                <w:sz w:val="20"/>
              </w:rPr>
              <w:t xml:space="preserve">X — Technology </w:t>
            </w:r>
            <w:r>
              <w:rPr>
                <w:b/>
                <w:color w:val="0F172A"/>
                <w:sz w:val="20"/>
              </w:rPr>
              <w:t>Capability</w:t>
            </w:r>
          </w:p>
          <w:p w:rsidR="00FC3617" w:rsidRDefault="0014512D">
            <w:pPr>
              <w:spacing w:after="20" w:line="240" w:lineRule="auto"/>
            </w:pPr>
            <w:r>
              <w:rPr>
                <w:b/>
                <w:color w:val="0F172A"/>
              </w:rPr>
              <w:t xml:space="preserve">1. </w:t>
            </w:r>
            <w:r>
              <w:rPr>
                <w:color w:val="0F172A"/>
              </w:rPr>
              <w:t>Compute &amp; Storage Performance</w:t>
            </w:r>
          </w:p>
          <w:p w:rsidR="00FC3617" w:rsidRDefault="0014512D">
            <w:pPr>
              <w:spacing w:after="20" w:line="240" w:lineRule="auto"/>
            </w:pPr>
            <w:r>
              <w:rPr>
                <w:b/>
                <w:color w:val="0F172A"/>
              </w:rPr>
              <w:t xml:space="preserve">2. </w:t>
            </w:r>
            <w:r>
              <w:rPr>
                <w:color w:val="0F172A"/>
              </w:rPr>
              <w:t>Power &amp; Cooling Efficiency</w:t>
            </w:r>
          </w:p>
          <w:p w:rsidR="00FC3617" w:rsidRDefault="0014512D">
            <w:pPr>
              <w:spacing w:after="20" w:line="240" w:lineRule="auto"/>
            </w:pPr>
            <w:r>
              <w:rPr>
                <w:b/>
                <w:color w:val="0F172A"/>
              </w:rPr>
              <w:t xml:space="preserve">3. </w:t>
            </w:r>
            <w:r>
              <w:rPr>
                <w:color w:val="0F172A"/>
              </w:rPr>
              <w:t>Rack &amp; Enclosure Density</w:t>
            </w:r>
          </w:p>
          <w:p w:rsidR="00FC3617" w:rsidRDefault="0014512D">
            <w:pPr>
              <w:spacing w:after="20" w:line="240" w:lineRule="auto"/>
            </w:pPr>
            <w:r>
              <w:rPr>
                <w:b/>
                <w:color w:val="0F172A"/>
              </w:rPr>
              <w:t xml:space="preserve">4. </w:t>
            </w:r>
            <w:r>
              <w:rPr>
                <w:color w:val="0F172A"/>
              </w:rPr>
              <w:t>DCIM &amp; Management Software</w:t>
            </w:r>
          </w:p>
          <w:p w:rsidR="00FC3617" w:rsidRDefault="0014512D">
            <w:pPr>
              <w:spacing w:after="20" w:line="240" w:lineRule="auto"/>
            </w:pPr>
            <w:r>
              <w:rPr>
                <w:b/>
                <w:color w:val="0F172A"/>
              </w:rPr>
              <w:t xml:space="preserve">5. </w:t>
            </w:r>
            <w:r>
              <w:rPr>
                <w:color w:val="0F172A"/>
              </w:rPr>
              <w:t>AI &amp; Sustainability Innovation</w:t>
            </w:r>
          </w:p>
        </w:tc>
        <w:tc>
          <w:tcPr>
            <w:tcW w:w="5046" w:type="dxa"/>
            <w:shd w:val="clear" w:color="auto" w:fill="F8FAFC"/>
            <w:tcMar>
              <w:top w:w="160" w:type="dxa"/>
              <w:left w:w="160" w:type="dxa"/>
              <w:bottom w:w="160" w:type="dxa"/>
              <w:right w:w="160" w:type="dxa"/>
            </w:tcMar>
          </w:tcPr>
          <w:p w:rsidR="00FC3617" w:rsidRDefault="0014512D">
            <w:pPr>
              <w:spacing w:after="20" w:line="240" w:lineRule="auto"/>
            </w:pPr>
            <w:r>
              <w:rPr>
                <w:b/>
                <w:color w:val="0F172A"/>
                <w:sz w:val="20"/>
              </w:rPr>
              <w:t>Y — Business Capability</w:t>
            </w:r>
          </w:p>
          <w:p w:rsidR="00FC3617" w:rsidRDefault="0014512D">
            <w:pPr>
              <w:spacing w:after="20" w:line="240" w:lineRule="auto"/>
            </w:pPr>
            <w:r>
              <w:rPr>
                <w:b/>
                <w:color w:val="0F172A"/>
              </w:rPr>
              <w:t xml:space="preserve">1. </w:t>
            </w:r>
            <w:r>
              <w:rPr>
                <w:color w:val="0F172A"/>
              </w:rPr>
              <w:t>Hyperscale &amp; Cloud Customers</w:t>
            </w:r>
          </w:p>
          <w:p w:rsidR="00FC3617" w:rsidRDefault="0014512D">
            <w:pPr>
              <w:spacing w:after="20" w:line="240" w:lineRule="auto"/>
            </w:pPr>
            <w:r>
              <w:rPr>
                <w:b/>
                <w:color w:val="0F172A"/>
              </w:rPr>
              <w:t xml:space="preserve">2. </w:t>
            </w:r>
            <w:r>
              <w:rPr>
                <w:color w:val="0F172A"/>
              </w:rPr>
              <w:t>Global Revenue &amp; Market Share</w:t>
            </w:r>
          </w:p>
          <w:p w:rsidR="00FC3617" w:rsidRDefault="0014512D">
            <w:pPr>
              <w:spacing w:after="20" w:line="240" w:lineRule="auto"/>
            </w:pPr>
            <w:r>
              <w:rPr>
                <w:b/>
                <w:color w:val="0F172A"/>
              </w:rPr>
              <w:t xml:space="preserve">3. </w:t>
            </w:r>
            <w:r>
              <w:rPr>
                <w:color w:val="0F172A"/>
              </w:rPr>
              <w:t>Installed Base &amp; Deployments</w:t>
            </w:r>
          </w:p>
          <w:p w:rsidR="00FC3617" w:rsidRDefault="0014512D">
            <w:pPr>
              <w:spacing w:after="20" w:line="240" w:lineRule="auto"/>
            </w:pPr>
            <w:r>
              <w:rPr>
                <w:b/>
                <w:color w:val="0F172A"/>
              </w:rPr>
              <w:t xml:space="preserve">4. </w:t>
            </w:r>
            <w:r>
              <w:rPr>
                <w:color w:val="0F172A"/>
              </w:rPr>
              <w:t>Strategic Partnerships &amp; Channels</w:t>
            </w:r>
          </w:p>
          <w:p w:rsidR="00FC3617" w:rsidRDefault="0014512D">
            <w:pPr>
              <w:spacing w:after="20" w:line="240" w:lineRule="auto"/>
            </w:pPr>
            <w:r>
              <w:rPr>
                <w:b/>
                <w:color w:val="0F172A"/>
              </w:rPr>
              <w:t xml:space="preserve">5. </w:t>
            </w:r>
            <w:r>
              <w:rPr>
                <w:color w:val="0F172A"/>
              </w:rPr>
              <w:t>R&amp;D Investment &amp; Financial Strength</w:t>
            </w:r>
          </w:p>
        </w:tc>
      </w:tr>
    </w:tbl>
    <w:p w:rsidR="00FC3617" w:rsidRDefault="0014512D">
      <w:pPr>
        <w:pStyle w:val="Heading1"/>
        <w:pageBreakBefore/>
        <w:pBdr>
          <w:bottom w:val="single" w:sz="24" w:space="6" w:color="52B69A"/>
        </w:pBdr>
      </w:pPr>
      <w:bookmarkStart w:id="2" w:name="_Toc242935672"/>
      <w:r>
        <w:lastRenderedPageBreak/>
        <w:t>Quadrant Positioning</w:t>
      </w:r>
      <w:bookmarkEnd w:id="2"/>
    </w:p>
    <w:p w:rsidR="00FC3617" w:rsidRDefault="0014512D">
      <w:pPr>
        <w:spacing w:after="200"/>
      </w:pPr>
      <w:r>
        <w:rPr>
          <w:color w:val="64748B"/>
        </w:rPr>
        <w:t>(20 on chart · 166 in total)</w:t>
      </w:r>
    </w:p>
    <w:p w:rsidR="00FC3617" w:rsidRDefault="0014512D">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FC3617" w:rsidRDefault="0014512D">
      <w:pPr>
        <w:spacing w:after="20"/>
      </w:pPr>
      <w:r>
        <w:rPr>
          <w:b/>
          <w:sz w:val="18"/>
        </w:rPr>
        <w:t>Countries on chart (by quadrant)</w:t>
      </w:r>
    </w:p>
    <w:p w:rsidR="00FC3617" w:rsidRDefault="0014512D">
      <w:r>
        <w:rPr>
          <w:sz w:val="18"/>
        </w:rPr>
        <w:t>Leaders: United States×5 · Challengers: United States×3, Taiwa</w:t>
      </w:r>
      <w:r>
        <w:rPr>
          <w:sz w:val="18"/>
        </w:rPr>
        <w:t>n×1, Italy×1 · Trailblazers: Taiwan×1, United States×2, Australia×1, Netherlands×1 · Evolving Players: United States×2, Spain×1, Brazil×1, Turkey×1</w:t>
      </w:r>
    </w:p>
    <w:p w:rsidR="00FC3617" w:rsidRDefault="0014512D">
      <w:pPr>
        <w:pStyle w:val="Heading1"/>
        <w:pageBreakBefore/>
        <w:pBdr>
          <w:bottom w:val="single" w:sz="24" w:space="6" w:color="52B69A"/>
        </w:pBdr>
      </w:pPr>
      <w:bookmarkStart w:id="3" w:name="_Toc24293567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3617">
        <w:trPr>
          <w:cantSplit/>
          <w:jc w:val="center"/>
        </w:trPr>
        <w:tc>
          <w:tcPr>
            <w:tcW w:w="10092" w:type="dxa"/>
            <w:shd w:val="clear" w:color="auto" w:fill="F8FAFC"/>
            <w:tcMar>
              <w:top w:w="160" w:type="dxa"/>
              <w:left w:w="160" w:type="dxa"/>
              <w:bottom w:w="160" w:type="dxa"/>
              <w:right w:w="160" w:type="dxa"/>
            </w:tcMar>
          </w:tcPr>
          <w:p w:rsidR="00FC3617" w:rsidRDefault="0014512D">
            <w:pPr>
              <w:spacing w:after="20" w:line="240" w:lineRule="auto"/>
            </w:pPr>
            <w:r>
              <w:rPr>
                <w:b/>
                <w:color w:val="0F172A"/>
                <w:sz w:val="16"/>
              </w:rPr>
              <w:t>Leaders</w:t>
            </w:r>
            <w:r>
              <w:rPr>
                <w:b/>
                <w:color w:val="0F172A"/>
                <w:sz w:val="22"/>
              </w:rPr>
              <w:t xml:space="preserve">   Integrated Market Leaders</w:t>
            </w:r>
          </w:p>
          <w:p w:rsidR="00FC3617" w:rsidRDefault="0014512D">
            <w:pPr>
              <w:spacing w:after="20" w:line="240" w:lineRule="auto"/>
            </w:pPr>
            <w:r>
              <w:rPr>
                <w:color w:val="64748B"/>
                <w:sz w:val="17"/>
              </w:rPr>
              <w:t xml:space="preserve">Best-in-class Technology Capability, </w:t>
            </w:r>
            <w:r>
              <w:rPr>
                <w:color w:val="64748B"/>
                <w:sz w:val="17"/>
              </w:rPr>
              <w:t>Best-in-class Business Capability</w:t>
            </w:r>
          </w:p>
          <w:p w:rsidR="00FC3617" w:rsidRDefault="0014512D">
            <w:pPr>
              <w:spacing w:after="20" w:line="240" w:lineRule="auto"/>
            </w:pPr>
            <w:r>
              <w:t>Companies demonstrating strong technology capabilities and robust business execution. They combine mature and differentiated offerings with established market presence, customer reach, commercial scale, and effective growt</w:t>
            </w:r>
            <w:r>
              <w:t>h strategies, positioning them strongly for sustained market leadership.</w:t>
            </w:r>
          </w:p>
        </w:tc>
      </w:tr>
    </w:tbl>
    <w:p w:rsidR="00FC3617" w:rsidRDefault="00FC361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3617">
        <w:trPr>
          <w:cantSplit/>
          <w:jc w:val="center"/>
        </w:trPr>
        <w:tc>
          <w:tcPr>
            <w:tcW w:w="10092" w:type="dxa"/>
            <w:shd w:val="clear" w:color="auto" w:fill="F8FAFC"/>
            <w:tcMar>
              <w:top w:w="160" w:type="dxa"/>
              <w:left w:w="160" w:type="dxa"/>
              <w:bottom w:w="160" w:type="dxa"/>
              <w:right w:w="160" w:type="dxa"/>
            </w:tcMar>
          </w:tcPr>
          <w:p w:rsidR="00FC3617" w:rsidRDefault="0014512D">
            <w:pPr>
              <w:spacing w:after="20" w:line="240" w:lineRule="auto"/>
            </w:pPr>
            <w:r>
              <w:rPr>
                <w:b/>
                <w:color w:val="0F172A"/>
                <w:sz w:val="16"/>
              </w:rPr>
              <w:t>Challengers</w:t>
            </w:r>
            <w:r>
              <w:rPr>
                <w:b/>
                <w:color w:val="0F172A"/>
                <w:sz w:val="22"/>
              </w:rPr>
              <w:t xml:space="preserve">   Scale-Driven Challengers</w:t>
            </w:r>
          </w:p>
          <w:p w:rsidR="00FC3617" w:rsidRDefault="0014512D">
            <w:pPr>
              <w:spacing w:after="20" w:line="240" w:lineRule="auto"/>
            </w:pPr>
            <w:r>
              <w:rPr>
                <w:color w:val="64748B"/>
                <w:sz w:val="17"/>
              </w:rPr>
              <w:t>Emerging Technology Capability, Best-in-class Business Capability</w:t>
            </w:r>
          </w:p>
          <w:p w:rsidR="00FC3617" w:rsidRDefault="0014512D">
            <w:pPr>
              <w:spacing w:after="20" w:line="240" w:lineRule="auto"/>
            </w:pPr>
            <w:r>
              <w:t xml:space="preserve">Companies with strong business presence and commercial capabilities, </w:t>
            </w:r>
            <w:r>
              <w:t>supported by established customer relationships, market reach, channels, or brand strength. However, their technology portfolio may have relatively lower differentiation, breadth, maturity, or innovation compared with leading participants.</w:t>
            </w:r>
          </w:p>
        </w:tc>
      </w:tr>
    </w:tbl>
    <w:p w:rsidR="00FC3617" w:rsidRDefault="00FC361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3617">
        <w:trPr>
          <w:cantSplit/>
          <w:jc w:val="center"/>
        </w:trPr>
        <w:tc>
          <w:tcPr>
            <w:tcW w:w="10092" w:type="dxa"/>
            <w:shd w:val="clear" w:color="auto" w:fill="F8FAFC"/>
            <w:tcMar>
              <w:top w:w="160" w:type="dxa"/>
              <w:left w:w="160" w:type="dxa"/>
              <w:bottom w:w="160" w:type="dxa"/>
              <w:right w:w="160" w:type="dxa"/>
            </w:tcMar>
          </w:tcPr>
          <w:p w:rsidR="00FC3617" w:rsidRDefault="0014512D">
            <w:pPr>
              <w:spacing w:after="20" w:line="240" w:lineRule="auto"/>
            </w:pPr>
            <w:r>
              <w:rPr>
                <w:b/>
                <w:color w:val="0F172A"/>
                <w:sz w:val="16"/>
              </w:rPr>
              <w:t>Trailblazers</w:t>
            </w:r>
            <w:r>
              <w:rPr>
                <w:b/>
                <w:color w:val="0F172A"/>
                <w:sz w:val="22"/>
              </w:rPr>
              <w:t xml:space="preserve">  </w:t>
            </w:r>
            <w:r>
              <w:rPr>
                <w:b/>
                <w:color w:val="0F172A"/>
                <w:sz w:val="22"/>
              </w:rPr>
              <w:t xml:space="preserve"> Innovation-Driven Trailblazers</w:t>
            </w:r>
          </w:p>
          <w:p w:rsidR="00FC3617" w:rsidRDefault="0014512D">
            <w:pPr>
              <w:spacing w:after="20" w:line="240" w:lineRule="auto"/>
            </w:pPr>
            <w:r>
              <w:rPr>
                <w:color w:val="64748B"/>
                <w:sz w:val="17"/>
              </w:rPr>
              <w:t>Best-in-class Technology Capability, Emerging Business Capability</w:t>
            </w:r>
          </w:p>
          <w:p w:rsidR="00FC3617" w:rsidRDefault="0014512D">
            <w:pPr>
              <w:spacing w:after="20" w:line="240" w:lineRule="auto"/>
            </w:pPr>
            <w:r>
              <w:t>Companies demonstrating strong technology capabilities, innovation, or differentiated offerings, but with comparatively lower business scale or market penetra</w:t>
            </w:r>
            <w:r>
              <w:t>tion. Their growth potential depends on strengthening commercial execution, customer reach, partnerships, geographic presence, and overall market visibility.</w:t>
            </w:r>
          </w:p>
        </w:tc>
      </w:tr>
    </w:tbl>
    <w:p w:rsidR="00FC3617" w:rsidRDefault="00FC361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3617">
        <w:trPr>
          <w:cantSplit/>
          <w:jc w:val="center"/>
        </w:trPr>
        <w:tc>
          <w:tcPr>
            <w:tcW w:w="10092" w:type="dxa"/>
            <w:shd w:val="clear" w:color="auto" w:fill="F8FAFC"/>
            <w:tcMar>
              <w:top w:w="160" w:type="dxa"/>
              <w:left w:w="160" w:type="dxa"/>
              <w:bottom w:w="160" w:type="dxa"/>
              <w:right w:w="160" w:type="dxa"/>
            </w:tcMar>
          </w:tcPr>
          <w:p w:rsidR="00FC3617" w:rsidRDefault="0014512D">
            <w:pPr>
              <w:spacing w:after="20" w:line="240" w:lineRule="auto"/>
            </w:pPr>
            <w:r>
              <w:rPr>
                <w:b/>
                <w:color w:val="0F172A"/>
                <w:sz w:val="16"/>
              </w:rPr>
              <w:t>Emerging Players</w:t>
            </w:r>
            <w:r>
              <w:rPr>
                <w:b/>
                <w:color w:val="0F172A"/>
                <w:sz w:val="22"/>
              </w:rPr>
              <w:t xml:space="preserve">   Foundation-Building Evolving</w:t>
            </w:r>
          </w:p>
          <w:p w:rsidR="00FC3617" w:rsidRDefault="0014512D">
            <w:pPr>
              <w:spacing w:after="20" w:line="240" w:lineRule="auto"/>
            </w:pPr>
            <w:r>
              <w:rPr>
                <w:color w:val="64748B"/>
                <w:sz w:val="17"/>
              </w:rPr>
              <w:t>Emerging Technology Capability, Emerging Busines</w:t>
            </w:r>
            <w:r>
              <w:rPr>
                <w:color w:val="64748B"/>
                <w:sz w:val="17"/>
              </w:rPr>
              <w:t>s Capability</w:t>
            </w:r>
          </w:p>
          <w:p w:rsidR="00FC3617" w:rsidRDefault="0014512D">
            <w:pPr>
              <w:spacing w:after="20" w:line="240" w:lineRule="auto"/>
            </w:pPr>
            <w:r>
              <w:t>Companies with developing technology capabilities and relatively limited business presence. These participants may be at an earlier stage of market development, serve focused segments or geographies, and have opportunities to strengthen both t</w:t>
            </w:r>
            <w:r>
              <w:t>heir technology proposition and commercial footprint.</w:t>
            </w:r>
          </w:p>
        </w:tc>
      </w:tr>
    </w:tbl>
    <w:p w:rsidR="00FC3617" w:rsidRDefault="00FC3617"/>
    <w:p w:rsidR="00FC3617" w:rsidRDefault="0014512D">
      <w:pPr>
        <w:pStyle w:val="Heading1"/>
        <w:pageBreakBefore/>
        <w:pBdr>
          <w:bottom w:val="single" w:sz="24" w:space="6" w:color="52B69A"/>
        </w:pBdr>
      </w:pPr>
      <w:bookmarkStart w:id="4" w:name="_Toc242935674"/>
      <w:r>
        <w:lastRenderedPageBreak/>
        <w:t>Top 20 Companies</w:t>
      </w:r>
      <w:bookmarkEnd w:id="4"/>
    </w:p>
    <w:p w:rsidR="00FC3617" w:rsidRDefault="0014512D">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FC3617">
        <w:trPr>
          <w:cantSplit/>
          <w:tblHeader/>
          <w:jc w:val="center"/>
        </w:trPr>
        <w:tc>
          <w:tcPr>
            <w:tcW w:w="1565"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OVERALL SCORE</w:t>
            </w:r>
          </w:p>
        </w:tc>
      </w:tr>
      <w:tr w:rsidR="00FC3617">
        <w:trPr>
          <w:cantSplit/>
          <w:jc w:val="center"/>
        </w:trPr>
        <w:tc>
          <w:tcPr>
            <w:tcW w:w="1565" w:type="dxa"/>
            <w:shd w:val="clear" w:color="auto" w:fill="FFFFFF"/>
            <w:tcMar>
              <w:top w:w="45" w:type="dxa"/>
              <w:left w:w="45" w:type="dxa"/>
              <w:bottom w:w="45" w:type="dxa"/>
              <w:right w:w="45" w:type="dxa"/>
            </w:tcMar>
          </w:tcPr>
          <w:p w:rsidR="00FC3617" w:rsidRDefault="0014512D">
            <w:pPr>
              <w:spacing w:after="20" w:line="240" w:lineRule="auto"/>
            </w:pPr>
            <w:r>
              <w:rPr>
                <w:sz w:val="16"/>
              </w:rPr>
              <w:t>NVIDIA Corporation</w:t>
            </w:r>
          </w:p>
        </w:tc>
        <w:tc>
          <w:tcPr>
            <w:tcW w:w="1721" w:type="dxa"/>
            <w:shd w:val="clear" w:color="auto" w:fill="FFFFFF"/>
            <w:tcMar>
              <w:top w:w="45" w:type="dxa"/>
              <w:left w:w="45" w:type="dxa"/>
              <w:bottom w:w="45" w:type="dxa"/>
              <w:right w:w="45" w:type="dxa"/>
            </w:tcMar>
          </w:tcPr>
          <w:p w:rsidR="00FC3617" w:rsidRDefault="0014512D">
            <w:pPr>
              <w:spacing w:after="20" w:line="240" w:lineRule="auto"/>
            </w:pPr>
            <w:r>
              <w:rPr>
                <w:sz w:val="16"/>
              </w:rPr>
              <w:t>NVIDIA Corporation</w:t>
            </w:r>
          </w:p>
        </w:tc>
        <w:tc>
          <w:tcPr>
            <w:tcW w:w="1330" w:type="dxa"/>
            <w:shd w:val="clear" w:color="auto" w:fill="FFFFFF"/>
            <w:tcMar>
              <w:top w:w="45" w:type="dxa"/>
              <w:left w:w="45" w:type="dxa"/>
              <w:bottom w:w="45" w:type="dxa"/>
              <w:right w:w="45" w:type="dxa"/>
            </w:tcMar>
          </w:tcPr>
          <w:p w:rsidR="00FC3617" w:rsidRDefault="0014512D">
            <w:pPr>
              <w:spacing w:after="20" w:line="240" w:lineRule="auto"/>
            </w:pPr>
            <w:r>
              <w:rPr>
                <w:sz w:val="16"/>
              </w:rPr>
              <w:t>Santa</w:t>
            </w:r>
            <w:r>
              <w:rPr>
                <w:sz w:val="16"/>
              </w:rPr>
              <w:t xml:space="preserve"> Clara, United States</w:t>
            </w:r>
          </w:p>
        </w:tc>
        <w:tc>
          <w:tcPr>
            <w:tcW w:w="939"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98</w:t>
            </w:r>
          </w:p>
        </w:tc>
      </w:tr>
      <w:tr w:rsidR="00FC3617">
        <w:trPr>
          <w:cantSplit/>
          <w:jc w:val="center"/>
        </w:trPr>
        <w:tc>
          <w:tcPr>
            <w:tcW w:w="1565" w:type="dxa"/>
            <w:shd w:val="clear" w:color="auto" w:fill="F8FAFC"/>
            <w:tcMar>
              <w:top w:w="45" w:type="dxa"/>
              <w:left w:w="45" w:type="dxa"/>
              <w:bottom w:w="45" w:type="dxa"/>
              <w:right w:w="45" w:type="dxa"/>
            </w:tcMar>
          </w:tcPr>
          <w:p w:rsidR="00FC3617" w:rsidRDefault="0014512D">
            <w:pPr>
              <w:spacing w:after="20" w:line="240" w:lineRule="auto"/>
            </w:pPr>
            <w:r>
              <w:rPr>
                <w:sz w:val="16"/>
              </w:rPr>
              <w:t>Hewlett Packard Enterprise Company</w:t>
            </w:r>
          </w:p>
        </w:tc>
        <w:tc>
          <w:tcPr>
            <w:tcW w:w="1721" w:type="dxa"/>
            <w:shd w:val="clear" w:color="auto" w:fill="F8FAFC"/>
            <w:tcMar>
              <w:top w:w="45" w:type="dxa"/>
              <w:left w:w="45" w:type="dxa"/>
              <w:bottom w:w="45" w:type="dxa"/>
              <w:right w:w="45" w:type="dxa"/>
            </w:tcMar>
          </w:tcPr>
          <w:p w:rsidR="00FC3617" w:rsidRDefault="0014512D">
            <w:pPr>
              <w:spacing w:after="20" w:line="240" w:lineRule="auto"/>
            </w:pPr>
            <w:r>
              <w:rPr>
                <w:sz w:val="16"/>
              </w:rPr>
              <w:t>Hewlett Packard Enterprise Company</w:t>
            </w:r>
          </w:p>
        </w:tc>
        <w:tc>
          <w:tcPr>
            <w:tcW w:w="1330" w:type="dxa"/>
            <w:shd w:val="clear" w:color="auto" w:fill="F8FAFC"/>
            <w:tcMar>
              <w:top w:w="45" w:type="dxa"/>
              <w:left w:w="45" w:type="dxa"/>
              <w:bottom w:w="45" w:type="dxa"/>
              <w:right w:w="45" w:type="dxa"/>
            </w:tcMar>
          </w:tcPr>
          <w:p w:rsidR="00FC3617" w:rsidRDefault="0014512D">
            <w:pPr>
              <w:spacing w:after="20" w:line="240" w:lineRule="auto"/>
            </w:pPr>
            <w:r>
              <w:rPr>
                <w:sz w:val="16"/>
              </w:rPr>
              <w:t>Spring, United States</w:t>
            </w:r>
          </w:p>
        </w:tc>
        <w:tc>
          <w:tcPr>
            <w:tcW w:w="939"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93</w:t>
            </w:r>
          </w:p>
        </w:tc>
      </w:tr>
      <w:tr w:rsidR="00FC3617">
        <w:trPr>
          <w:cantSplit/>
          <w:jc w:val="center"/>
        </w:trPr>
        <w:tc>
          <w:tcPr>
            <w:tcW w:w="1565" w:type="dxa"/>
            <w:shd w:val="clear" w:color="auto" w:fill="FFFFFF"/>
            <w:tcMar>
              <w:top w:w="45" w:type="dxa"/>
              <w:left w:w="45" w:type="dxa"/>
              <w:bottom w:w="45" w:type="dxa"/>
              <w:right w:w="45" w:type="dxa"/>
            </w:tcMar>
          </w:tcPr>
          <w:p w:rsidR="00FC3617" w:rsidRDefault="0014512D">
            <w:pPr>
              <w:spacing w:after="20" w:line="240" w:lineRule="auto"/>
            </w:pPr>
            <w:r>
              <w:rPr>
                <w:sz w:val="16"/>
              </w:rPr>
              <w:t>Dell Technologies Inc.</w:t>
            </w:r>
          </w:p>
        </w:tc>
        <w:tc>
          <w:tcPr>
            <w:tcW w:w="1721" w:type="dxa"/>
            <w:shd w:val="clear" w:color="auto" w:fill="FFFFFF"/>
            <w:tcMar>
              <w:top w:w="45" w:type="dxa"/>
              <w:left w:w="45" w:type="dxa"/>
              <w:bottom w:w="45" w:type="dxa"/>
              <w:right w:w="45" w:type="dxa"/>
            </w:tcMar>
          </w:tcPr>
          <w:p w:rsidR="00FC3617" w:rsidRDefault="0014512D">
            <w:pPr>
              <w:spacing w:after="20" w:line="240" w:lineRule="auto"/>
            </w:pPr>
            <w:r>
              <w:rPr>
                <w:sz w:val="16"/>
              </w:rPr>
              <w:t>Dell Technologies Inc.</w:t>
            </w:r>
          </w:p>
        </w:tc>
        <w:tc>
          <w:tcPr>
            <w:tcW w:w="1330"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Round Rock, United </w:t>
            </w:r>
            <w:r>
              <w:rPr>
                <w:sz w:val="16"/>
              </w:rPr>
              <w:t>States</w:t>
            </w:r>
          </w:p>
        </w:tc>
        <w:tc>
          <w:tcPr>
            <w:tcW w:w="939"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92</w:t>
            </w:r>
          </w:p>
        </w:tc>
      </w:tr>
      <w:tr w:rsidR="00FC3617">
        <w:trPr>
          <w:cantSplit/>
          <w:jc w:val="center"/>
        </w:trPr>
        <w:tc>
          <w:tcPr>
            <w:tcW w:w="1565" w:type="dxa"/>
            <w:shd w:val="clear" w:color="auto" w:fill="F8FAFC"/>
            <w:tcMar>
              <w:top w:w="45" w:type="dxa"/>
              <w:left w:w="45" w:type="dxa"/>
              <w:bottom w:w="45" w:type="dxa"/>
              <w:right w:w="45" w:type="dxa"/>
            </w:tcMar>
          </w:tcPr>
          <w:p w:rsidR="00FC3617" w:rsidRDefault="0014512D">
            <w:pPr>
              <w:spacing w:after="20" w:line="240" w:lineRule="auto"/>
            </w:pPr>
            <w:r>
              <w:rPr>
                <w:sz w:val="16"/>
              </w:rPr>
              <w:t>Dell</w:t>
            </w:r>
          </w:p>
        </w:tc>
        <w:tc>
          <w:tcPr>
            <w:tcW w:w="1721" w:type="dxa"/>
            <w:shd w:val="clear" w:color="auto" w:fill="F8FAFC"/>
            <w:tcMar>
              <w:top w:w="45" w:type="dxa"/>
              <w:left w:w="45" w:type="dxa"/>
              <w:bottom w:w="45" w:type="dxa"/>
              <w:right w:w="45" w:type="dxa"/>
            </w:tcMar>
          </w:tcPr>
          <w:p w:rsidR="00FC3617" w:rsidRDefault="0014512D">
            <w:pPr>
              <w:spacing w:after="20" w:line="240" w:lineRule="auto"/>
            </w:pPr>
            <w:r>
              <w:rPr>
                <w:sz w:val="16"/>
              </w:rPr>
              <w:t>Dell Inc.</w:t>
            </w:r>
          </w:p>
        </w:tc>
        <w:tc>
          <w:tcPr>
            <w:tcW w:w="1330" w:type="dxa"/>
            <w:shd w:val="clear" w:color="auto" w:fill="F8FAFC"/>
            <w:tcMar>
              <w:top w:w="45" w:type="dxa"/>
              <w:left w:w="45" w:type="dxa"/>
              <w:bottom w:w="45" w:type="dxa"/>
              <w:right w:w="45" w:type="dxa"/>
            </w:tcMar>
          </w:tcPr>
          <w:p w:rsidR="00FC3617" w:rsidRDefault="0014512D">
            <w:pPr>
              <w:spacing w:after="20" w:line="240" w:lineRule="auto"/>
            </w:pPr>
            <w:r>
              <w:rPr>
                <w:sz w:val="16"/>
              </w:rPr>
              <w:t>Round Rock, Texas, USA</w:t>
            </w:r>
          </w:p>
        </w:tc>
        <w:tc>
          <w:tcPr>
            <w:tcW w:w="939"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92</w:t>
            </w:r>
          </w:p>
        </w:tc>
      </w:tr>
      <w:tr w:rsidR="00FC3617">
        <w:trPr>
          <w:cantSplit/>
          <w:jc w:val="center"/>
        </w:trPr>
        <w:tc>
          <w:tcPr>
            <w:tcW w:w="1565" w:type="dxa"/>
            <w:shd w:val="clear" w:color="auto" w:fill="FFFFFF"/>
            <w:tcMar>
              <w:top w:w="45" w:type="dxa"/>
              <w:left w:w="45" w:type="dxa"/>
              <w:bottom w:w="45" w:type="dxa"/>
              <w:right w:w="45" w:type="dxa"/>
            </w:tcMar>
          </w:tcPr>
          <w:p w:rsidR="00FC3617" w:rsidRDefault="0014512D">
            <w:pPr>
              <w:spacing w:after="20" w:line="240" w:lineRule="auto"/>
            </w:pPr>
            <w:r>
              <w:rPr>
                <w:sz w:val="16"/>
              </w:rPr>
              <w:t>Arista Networks, Inc.</w:t>
            </w:r>
          </w:p>
        </w:tc>
        <w:tc>
          <w:tcPr>
            <w:tcW w:w="1721" w:type="dxa"/>
            <w:shd w:val="clear" w:color="auto" w:fill="FFFFFF"/>
            <w:tcMar>
              <w:top w:w="45" w:type="dxa"/>
              <w:left w:w="45" w:type="dxa"/>
              <w:bottom w:w="45" w:type="dxa"/>
              <w:right w:w="45" w:type="dxa"/>
            </w:tcMar>
          </w:tcPr>
          <w:p w:rsidR="00FC3617" w:rsidRDefault="0014512D">
            <w:pPr>
              <w:spacing w:after="20" w:line="240" w:lineRule="auto"/>
            </w:pPr>
            <w:r>
              <w:rPr>
                <w:sz w:val="16"/>
              </w:rPr>
              <w:t>Arista Networks, Inc.</w:t>
            </w:r>
          </w:p>
        </w:tc>
        <w:tc>
          <w:tcPr>
            <w:tcW w:w="1330" w:type="dxa"/>
            <w:shd w:val="clear" w:color="auto" w:fill="FFFFFF"/>
            <w:tcMar>
              <w:top w:w="45" w:type="dxa"/>
              <w:left w:w="45" w:type="dxa"/>
              <w:bottom w:w="45" w:type="dxa"/>
              <w:right w:w="45" w:type="dxa"/>
            </w:tcMar>
          </w:tcPr>
          <w:p w:rsidR="00FC3617" w:rsidRDefault="0014512D">
            <w:pPr>
              <w:spacing w:after="20" w:line="240" w:lineRule="auto"/>
            </w:pPr>
            <w:r>
              <w:rPr>
                <w:sz w:val="16"/>
              </w:rPr>
              <w:t>Santa Clara, United States</w:t>
            </w:r>
          </w:p>
        </w:tc>
        <w:tc>
          <w:tcPr>
            <w:tcW w:w="939"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90</w:t>
            </w:r>
          </w:p>
        </w:tc>
      </w:tr>
      <w:tr w:rsidR="00FC3617">
        <w:trPr>
          <w:cantSplit/>
          <w:jc w:val="center"/>
        </w:trPr>
        <w:tc>
          <w:tcPr>
            <w:tcW w:w="1565" w:type="dxa"/>
            <w:shd w:val="clear" w:color="auto" w:fill="F8FAFC"/>
            <w:tcMar>
              <w:top w:w="45" w:type="dxa"/>
              <w:left w:w="45" w:type="dxa"/>
              <w:bottom w:w="45" w:type="dxa"/>
              <w:right w:w="45" w:type="dxa"/>
            </w:tcMar>
          </w:tcPr>
          <w:p w:rsidR="00FC3617" w:rsidRDefault="0014512D">
            <w:pPr>
              <w:spacing w:after="20" w:line="240" w:lineRule="auto"/>
            </w:pPr>
            <w:r>
              <w:rPr>
                <w:sz w:val="16"/>
              </w:rPr>
              <w:t>Nutanix</w:t>
            </w:r>
          </w:p>
        </w:tc>
        <w:tc>
          <w:tcPr>
            <w:tcW w:w="1721" w:type="dxa"/>
            <w:shd w:val="clear" w:color="auto" w:fill="F8FAFC"/>
            <w:tcMar>
              <w:top w:w="45" w:type="dxa"/>
              <w:left w:w="45" w:type="dxa"/>
              <w:bottom w:w="45" w:type="dxa"/>
              <w:right w:w="45" w:type="dxa"/>
            </w:tcMar>
          </w:tcPr>
          <w:p w:rsidR="00FC3617" w:rsidRDefault="0014512D">
            <w:pPr>
              <w:spacing w:after="20" w:line="240" w:lineRule="auto"/>
            </w:pPr>
            <w:r>
              <w:rPr>
                <w:sz w:val="16"/>
              </w:rPr>
              <w:t>Nutanix, Inc.</w:t>
            </w:r>
          </w:p>
        </w:tc>
        <w:tc>
          <w:tcPr>
            <w:tcW w:w="1330" w:type="dxa"/>
            <w:shd w:val="clear" w:color="auto" w:fill="F8FAFC"/>
            <w:tcMar>
              <w:top w:w="45" w:type="dxa"/>
              <w:left w:w="45" w:type="dxa"/>
              <w:bottom w:w="45" w:type="dxa"/>
              <w:right w:w="45" w:type="dxa"/>
            </w:tcMar>
          </w:tcPr>
          <w:p w:rsidR="00FC3617" w:rsidRDefault="0014512D">
            <w:pPr>
              <w:spacing w:after="20" w:line="240" w:lineRule="auto"/>
            </w:pPr>
            <w:r>
              <w:rPr>
                <w:sz w:val="16"/>
              </w:rPr>
              <w:t xml:space="preserve">San </w:t>
            </w:r>
            <w:r>
              <w:rPr>
                <w:sz w:val="16"/>
              </w:rPr>
              <w:t>Jose, California, USA</w:t>
            </w:r>
          </w:p>
        </w:tc>
        <w:tc>
          <w:tcPr>
            <w:tcW w:w="939"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84</w:t>
            </w:r>
          </w:p>
        </w:tc>
      </w:tr>
      <w:tr w:rsidR="00FC3617">
        <w:trPr>
          <w:cantSplit/>
          <w:jc w:val="center"/>
        </w:trPr>
        <w:tc>
          <w:tcPr>
            <w:tcW w:w="1565" w:type="dxa"/>
            <w:shd w:val="clear" w:color="auto" w:fill="FFFFFF"/>
            <w:tcMar>
              <w:top w:w="45" w:type="dxa"/>
              <w:left w:w="45" w:type="dxa"/>
              <w:bottom w:w="45" w:type="dxa"/>
              <w:right w:w="45" w:type="dxa"/>
            </w:tcMar>
          </w:tcPr>
          <w:p w:rsidR="00FC3617" w:rsidRDefault="0014512D">
            <w:pPr>
              <w:spacing w:after="20" w:line="240" w:lineRule="auto"/>
            </w:pPr>
            <w:r>
              <w:rPr>
                <w:sz w:val="16"/>
              </w:rPr>
              <w:t>EnerSys</w:t>
            </w:r>
          </w:p>
        </w:tc>
        <w:tc>
          <w:tcPr>
            <w:tcW w:w="1721" w:type="dxa"/>
            <w:shd w:val="clear" w:color="auto" w:fill="FFFFFF"/>
            <w:tcMar>
              <w:top w:w="45" w:type="dxa"/>
              <w:left w:w="45" w:type="dxa"/>
              <w:bottom w:w="45" w:type="dxa"/>
              <w:right w:w="45" w:type="dxa"/>
            </w:tcMar>
          </w:tcPr>
          <w:p w:rsidR="00FC3617" w:rsidRDefault="0014512D">
            <w:pPr>
              <w:spacing w:after="20" w:line="240" w:lineRule="auto"/>
            </w:pPr>
            <w:r>
              <w:rPr>
                <w:sz w:val="16"/>
              </w:rPr>
              <w:t>EnerSys</w:t>
            </w:r>
          </w:p>
        </w:tc>
        <w:tc>
          <w:tcPr>
            <w:tcW w:w="1330" w:type="dxa"/>
            <w:shd w:val="clear" w:color="auto" w:fill="FFFFFF"/>
            <w:tcMar>
              <w:top w:w="45" w:type="dxa"/>
              <w:left w:w="45" w:type="dxa"/>
              <w:bottom w:w="45" w:type="dxa"/>
              <w:right w:w="45" w:type="dxa"/>
            </w:tcMar>
          </w:tcPr>
          <w:p w:rsidR="00FC3617" w:rsidRDefault="0014512D">
            <w:pPr>
              <w:spacing w:after="20" w:line="240" w:lineRule="auto"/>
            </w:pPr>
            <w:r>
              <w:rPr>
                <w:sz w:val="16"/>
              </w:rPr>
              <w:t>Reading, Pennsylvania, USA</w:t>
            </w:r>
          </w:p>
        </w:tc>
        <w:tc>
          <w:tcPr>
            <w:tcW w:w="939"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80</w:t>
            </w:r>
          </w:p>
        </w:tc>
      </w:tr>
      <w:tr w:rsidR="00FC3617">
        <w:trPr>
          <w:cantSplit/>
          <w:jc w:val="center"/>
        </w:trPr>
        <w:tc>
          <w:tcPr>
            <w:tcW w:w="1565" w:type="dxa"/>
            <w:shd w:val="clear" w:color="auto" w:fill="F8FAFC"/>
            <w:tcMar>
              <w:top w:w="45" w:type="dxa"/>
              <w:left w:w="45" w:type="dxa"/>
              <w:bottom w:w="45" w:type="dxa"/>
              <w:right w:w="45" w:type="dxa"/>
            </w:tcMar>
          </w:tcPr>
          <w:p w:rsidR="00FC3617" w:rsidRDefault="0014512D">
            <w:pPr>
              <w:spacing w:after="20" w:line="240" w:lineRule="auto"/>
            </w:pPr>
            <w:r>
              <w:rPr>
                <w:sz w:val="16"/>
              </w:rPr>
              <w:t>CyberPower</w:t>
            </w:r>
          </w:p>
        </w:tc>
        <w:tc>
          <w:tcPr>
            <w:tcW w:w="1721" w:type="dxa"/>
            <w:shd w:val="clear" w:color="auto" w:fill="F8FAFC"/>
            <w:tcMar>
              <w:top w:w="45" w:type="dxa"/>
              <w:left w:w="45" w:type="dxa"/>
              <w:bottom w:w="45" w:type="dxa"/>
              <w:right w:w="45" w:type="dxa"/>
            </w:tcMar>
          </w:tcPr>
          <w:p w:rsidR="00FC3617" w:rsidRDefault="0014512D">
            <w:pPr>
              <w:spacing w:after="20" w:line="240" w:lineRule="auto"/>
            </w:pPr>
            <w:r>
              <w:rPr>
                <w:sz w:val="16"/>
              </w:rPr>
              <w:t>Cyber Power Systems, Inc.</w:t>
            </w:r>
          </w:p>
        </w:tc>
        <w:tc>
          <w:tcPr>
            <w:tcW w:w="1330" w:type="dxa"/>
            <w:shd w:val="clear" w:color="auto" w:fill="F8FAFC"/>
            <w:tcMar>
              <w:top w:w="45" w:type="dxa"/>
              <w:left w:w="45" w:type="dxa"/>
              <w:bottom w:w="45" w:type="dxa"/>
              <w:right w:w="45" w:type="dxa"/>
            </w:tcMar>
          </w:tcPr>
          <w:p w:rsidR="00FC3617" w:rsidRDefault="0014512D">
            <w:pPr>
              <w:spacing w:after="20" w:line="240" w:lineRule="auto"/>
            </w:pPr>
            <w:r>
              <w:rPr>
                <w:sz w:val="16"/>
              </w:rPr>
              <w:t>Taipei, Taiwan</w:t>
            </w:r>
          </w:p>
        </w:tc>
        <w:tc>
          <w:tcPr>
            <w:tcW w:w="939"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80</w:t>
            </w:r>
          </w:p>
        </w:tc>
      </w:tr>
      <w:tr w:rsidR="00FC3617">
        <w:trPr>
          <w:cantSplit/>
          <w:jc w:val="center"/>
        </w:trPr>
        <w:tc>
          <w:tcPr>
            <w:tcW w:w="1565" w:type="dxa"/>
            <w:shd w:val="clear" w:color="auto" w:fill="FFFFFF"/>
            <w:tcMar>
              <w:top w:w="45" w:type="dxa"/>
              <w:left w:w="45" w:type="dxa"/>
              <w:bottom w:w="45" w:type="dxa"/>
              <w:right w:w="45" w:type="dxa"/>
            </w:tcMar>
          </w:tcPr>
          <w:p w:rsidR="00FC3617" w:rsidRDefault="0014512D">
            <w:pPr>
              <w:spacing w:after="20" w:line="240" w:lineRule="auto"/>
            </w:pPr>
            <w:r>
              <w:rPr>
                <w:sz w:val="16"/>
              </w:rPr>
              <w:t>Rieello UPS</w:t>
            </w:r>
          </w:p>
        </w:tc>
        <w:tc>
          <w:tcPr>
            <w:tcW w:w="1721" w:type="dxa"/>
            <w:shd w:val="clear" w:color="auto" w:fill="FFFFFF"/>
            <w:tcMar>
              <w:top w:w="45" w:type="dxa"/>
              <w:left w:w="45" w:type="dxa"/>
              <w:bottom w:w="45" w:type="dxa"/>
              <w:right w:w="45" w:type="dxa"/>
            </w:tcMar>
          </w:tcPr>
          <w:p w:rsidR="00FC3617" w:rsidRDefault="0014512D">
            <w:pPr>
              <w:spacing w:after="20" w:line="240" w:lineRule="auto"/>
            </w:pPr>
            <w:r>
              <w:rPr>
                <w:sz w:val="16"/>
              </w:rPr>
              <w:t>RPS S.p.A.</w:t>
            </w:r>
          </w:p>
        </w:tc>
        <w:tc>
          <w:tcPr>
            <w:tcW w:w="1330" w:type="dxa"/>
            <w:shd w:val="clear" w:color="auto" w:fill="FFFFFF"/>
            <w:tcMar>
              <w:top w:w="45" w:type="dxa"/>
              <w:left w:w="45" w:type="dxa"/>
              <w:bottom w:w="45" w:type="dxa"/>
              <w:right w:w="45" w:type="dxa"/>
            </w:tcMar>
          </w:tcPr>
          <w:p w:rsidR="00FC3617" w:rsidRDefault="0014512D">
            <w:pPr>
              <w:spacing w:after="20" w:line="240" w:lineRule="auto"/>
            </w:pPr>
            <w:r>
              <w:rPr>
                <w:sz w:val="16"/>
              </w:rPr>
              <w:t>Legnago, Italy</w:t>
            </w:r>
          </w:p>
        </w:tc>
        <w:tc>
          <w:tcPr>
            <w:tcW w:w="939"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79</w:t>
            </w:r>
          </w:p>
        </w:tc>
      </w:tr>
      <w:tr w:rsidR="00FC3617">
        <w:trPr>
          <w:cantSplit/>
          <w:jc w:val="center"/>
        </w:trPr>
        <w:tc>
          <w:tcPr>
            <w:tcW w:w="1565" w:type="dxa"/>
            <w:shd w:val="clear" w:color="auto" w:fill="F8FAFC"/>
            <w:tcMar>
              <w:top w:w="45" w:type="dxa"/>
              <w:left w:w="45" w:type="dxa"/>
              <w:bottom w:w="45" w:type="dxa"/>
              <w:right w:w="45" w:type="dxa"/>
            </w:tcMar>
          </w:tcPr>
          <w:p w:rsidR="00FC3617" w:rsidRDefault="0014512D">
            <w:pPr>
              <w:spacing w:after="20" w:line="240" w:lineRule="auto"/>
            </w:pPr>
            <w:r>
              <w:rPr>
                <w:sz w:val="16"/>
              </w:rPr>
              <w:t>Tate</w:t>
            </w:r>
          </w:p>
        </w:tc>
        <w:tc>
          <w:tcPr>
            <w:tcW w:w="1721" w:type="dxa"/>
            <w:shd w:val="clear" w:color="auto" w:fill="F8FAFC"/>
            <w:tcMar>
              <w:top w:w="45" w:type="dxa"/>
              <w:left w:w="45" w:type="dxa"/>
              <w:bottom w:w="45" w:type="dxa"/>
              <w:right w:w="45" w:type="dxa"/>
            </w:tcMar>
          </w:tcPr>
          <w:p w:rsidR="00FC3617" w:rsidRDefault="0014512D">
            <w:pPr>
              <w:spacing w:after="20" w:line="240" w:lineRule="auto"/>
            </w:pPr>
            <w:r>
              <w:rPr>
                <w:sz w:val="16"/>
              </w:rPr>
              <w:t>Tate Access Floors, Inc. (subsidiary of Kingspan Group PLC)</w:t>
            </w:r>
          </w:p>
        </w:tc>
        <w:tc>
          <w:tcPr>
            <w:tcW w:w="1330" w:type="dxa"/>
            <w:shd w:val="clear" w:color="auto" w:fill="F8FAFC"/>
            <w:tcMar>
              <w:top w:w="45" w:type="dxa"/>
              <w:left w:w="45" w:type="dxa"/>
              <w:bottom w:w="45" w:type="dxa"/>
              <w:right w:w="45" w:type="dxa"/>
            </w:tcMar>
          </w:tcPr>
          <w:p w:rsidR="00FC3617" w:rsidRDefault="0014512D">
            <w:pPr>
              <w:spacing w:after="20" w:line="240" w:lineRule="auto"/>
            </w:pPr>
            <w:r>
              <w:rPr>
                <w:sz w:val="16"/>
              </w:rPr>
              <w:t>Jessup, Maryland, USA</w:t>
            </w:r>
          </w:p>
        </w:tc>
        <w:tc>
          <w:tcPr>
            <w:tcW w:w="939"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75</w:t>
            </w:r>
          </w:p>
        </w:tc>
      </w:tr>
      <w:tr w:rsidR="00FC3617">
        <w:trPr>
          <w:cantSplit/>
          <w:jc w:val="center"/>
        </w:trPr>
        <w:tc>
          <w:tcPr>
            <w:tcW w:w="1565" w:type="dxa"/>
            <w:shd w:val="clear" w:color="auto" w:fill="FFFFFF"/>
            <w:tcMar>
              <w:top w:w="45" w:type="dxa"/>
              <w:left w:w="45" w:type="dxa"/>
              <w:bottom w:w="45" w:type="dxa"/>
              <w:right w:w="45" w:type="dxa"/>
            </w:tcMar>
          </w:tcPr>
          <w:p w:rsidR="00FC3617" w:rsidRDefault="0014512D">
            <w:pPr>
              <w:spacing w:after="20" w:line="240" w:lineRule="auto"/>
            </w:pPr>
            <w:r>
              <w:rPr>
                <w:sz w:val="16"/>
              </w:rPr>
              <w:t>Wiwynn</w:t>
            </w:r>
          </w:p>
        </w:tc>
        <w:tc>
          <w:tcPr>
            <w:tcW w:w="1721" w:type="dxa"/>
            <w:shd w:val="clear" w:color="auto" w:fill="FFFFFF"/>
            <w:tcMar>
              <w:top w:w="45" w:type="dxa"/>
              <w:left w:w="45" w:type="dxa"/>
              <w:bottom w:w="45" w:type="dxa"/>
              <w:right w:w="45" w:type="dxa"/>
            </w:tcMar>
          </w:tcPr>
          <w:p w:rsidR="00FC3617" w:rsidRDefault="0014512D">
            <w:pPr>
              <w:spacing w:after="20" w:line="240" w:lineRule="auto"/>
            </w:pPr>
            <w:r>
              <w:rPr>
                <w:sz w:val="16"/>
              </w:rPr>
              <w:t>Wiwynn Corporation</w:t>
            </w:r>
          </w:p>
        </w:tc>
        <w:tc>
          <w:tcPr>
            <w:tcW w:w="1330" w:type="dxa"/>
            <w:shd w:val="clear" w:color="auto" w:fill="FFFFFF"/>
            <w:tcMar>
              <w:top w:w="45" w:type="dxa"/>
              <w:left w:w="45" w:type="dxa"/>
              <w:bottom w:w="45" w:type="dxa"/>
              <w:right w:w="45" w:type="dxa"/>
            </w:tcMar>
          </w:tcPr>
          <w:p w:rsidR="00FC3617" w:rsidRDefault="0014512D">
            <w:pPr>
              <w:spacing w:after="20" w:line="240" w:lineRule="auto"/>
            </w:pPr>
            <w:r>
              <w:rPr>
                <w:sz w:val="16"/>
              </w:rPr>
              <w:t>New Taipei City, Taiwan</w:t>
            </w:r>
          </w:p>
        </w:tc>
        <w:tc>
          <w:tcPr>
            <w:tcW w:w="939"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89</w:t>
            </w:r>
          </w:p>
        </w:tc>
      </w:tr>
      <w:tr w:rsidR="00FC3617">
        <w:trPr>
          <w:cantSplit/>
          <w:jc w:val="center"/>
        </w:trPr>
        <w:tc>
          <w:tcPr>
            <w:tcW w:w="1565" w:type="dxa"/>
            <w:shd w:val="clear" w:color="auto" w:fill="F8FAFC"/>
            <w:tcMar>
              <w:top w:w="45" w:type="dxa"/>
              <w:left w:w="45" w:type="dxa"/>
              <w:bottom w:w="45" w:type="dxa"/>
              <w:right w:w="45" w:type="dxa"/>
            </w:tcMar>
          </w:tcPr>
          <w:p w:rsidR="00FC3617" w:rsidRDefault="0014512D">
            <w:pPr>
              <w:spacing w:after="20" w:line="240" w:lineRule="auto"/>
            </w:pPr>
            <w:r>
              <w:rPr>
                <w:sz w:val="16"/>
              </w:rPr>
              <w:t>Amphenol Corporation</w:t>
            </w:r>
          </w:p>
        </w:tc>
        <w:tc>
          <w:tcPr>
            <w:tcW w:w="1721" w:type="dxa"/>
            <w:shd w:val="clear" w:color="auto" w:fill="F8FAFC"/>
            <w:tcMar>
              <w:top w:w="45" w:type="dxa"/>
              <w:left w:w="45" w:type="dxa"/>
              <w:bottom w:w="45" w:type="dxa"/>
              <w:right w:w="45" w:type="dxa"/>
            </w:tcMar>
          </w:tcPr>
          <w:p w:rsidR="00FC3617" w:rsidRDefault="0014512D">
            <w:pPr>
              <w:spacing w:after="20" w:line="240" w:lineRule="auto"/>
            </w:pPr>
            <w:r>
              <w:rPr>
                <w:sz w:val="16"/>
              </w:rPr>
              <w:t>Amphenol Corporation</w:t>
            </w:r>
          </w:p>
        </w:tc>
        <w:tc>
          <w:tcPr>
            <w:tcW w:w="1330" w:type="dxa"/>
            <w:shd w:val="clear" w:color="auto" w:fill="F8FAFC"/>
            <w:tcMar>
              <w:top w:w="45" w:type="dxa"/>
              <w:left w:w="45" w:type="dxa"/>
              <w:bottom w:w="45" w:type="dxa"/>
              <w:right w:w="45" w:type="dxa"/>
            </w:tcMar>
          </w:tcPr>
          <w:p w:rsidR="00FC3617" w:rsidRDefault="0014512D">
            <w:pPr>
              <w:spacing w:after="20" w:line="240" w:lineRule="auto"/>
            </w:pPr>
            <w:r>
              <w:rPr>
                <w:sz w:val="16"/>
              </w:rPr>
              <w:t>Wallingford, United States</w:t>
            </w:r>
          </w:p>
        </w:tc>
        <w:tc>
          <w:tcPr>
            <w:tcW w:w="939"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84</w:t>
            </w:r>
          </w:p>
        </w:tc>
      </w:tr>
      <w:tr w:rsidR="00FC3617">
        <w:trPr>
          <w:cantSplit/>
          <w:jc w:val="center"/>
        </w:trPr>
        <w:tc>
          <w:tcPr>
            <w:tcW w:w="1565" w:type="dxa"/>
            <w:shd w:val="clear" w:color="auto" w:fill="FFFFFF"/>
            <w:tcMar>
              <w:top w:w="45" w:type="dxa"/>
              <w:left w:w="45" w:type="dxa"/>
              <w:bottom w:w="45" w:type="dxa"/>
              <w:right w:w="45" w:type="dxa"/>
            </w:tcMar>
          </w:tcPr>
          <w:p w:rsidR="00FC3617" w:rsidRDefault="0014512D">
            <w:pPr>
              <w:spacing w:after="20" w:line="240" w:lineRule="auto"/>
            </w:pPr>
            <w:r>
              <w:rPr>
                <w:sz w:val="16"/>
              </w:rPr>
              <w:t>Datapod</w:t>
            </w:r>
          </w:p>
        </w:tc>
        <w:tc>
          <w:tcPr>
            <w:tcW w:w="1721" w:type="dxa"/>
            <w:shd w:val="clear" w:color="auto" w:fill="FFFFFF"/>
            <w:tcMar>
              <w:top w:w="45" w:type="dxa"/>
              <w:left w:w="45" w:type="dxa"/>
              <w:bottom w:w="45" w:type="dxa"/>
              <w:right w:w="45" w:type="dxa"/>
            </w:tcMar>
          </w:tcPr>
          <w:p w:rsidR="00FC3617" w:rsidRDefault="0014512D">
            <w:pPr>
              <w:spacing w:after="20" w:line="240" w:lineRule="auto"/>
            </w:pPr>
            <w:r>
              <w:rPr>
                <w:sz w:val="16"/>
              </w:rPr>
              <w:t>Datapod Pty Ltd</w:t>
            </w:r>
          </w:p>
        </w:tc>
        <w:tc>
          <w:tcPr>
            <w:tcW w:w="1330" w:type="dxa"/>
            <w:shd w:val="clear" w:color="auto" w:fill="FFFFFF"/>
            <w:tcMar>
              <w:top w:w="45" w:type="dxa"/>
              <w:left w:w="45" w:type="dxa"/>
              <w:bottom w:w="45" w:type="dxa"/>
              <w:right w:w="45" w:type="dxa"/>
            </w:tcMar>
          </w:tcPr>
          <w:p w:rsidR="00FC3617" w:rsidRDefault="0014512D">
            <w:pPr>
              <w:spacing w:after="20" w:line="240" w:lineRule="auto"/>
            </w:pPr>
            <w:r>
              <w:rPr>
                <w:sz w:val="16"/>
              </w:rPr>
              <w:t>Canberra, Australia</w:t>
            </w:r>
          </w:p>
        </w:tc>
        <w:tc>
          <w:tcPr>
            <w:tcW w:w="939"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81</w:t>
            </w:r>
          </w:p>
        </w:tc>
      </w:tr>
      <w:tr w:rsidR="00FC3617">
        <w:trPr>
          <w:cantSplit/>
          <w:jc w:val="center"/>
        </w:trPr>
        <w:tc>
          <w:tcPr>
            <w:tcW w:w="1565" w:type="dxa"/>
            <w:shd w:val="clear" w:color="auto" w:fill="F8FAFC"/>
            <w:tcMar>
              <w:top w:w="45" w:type="dxa"/>
              <w:left w:w="45" w:type="dxa"/>
              <w:bottom w:w="45" w:type="dxa"/>
              <w:right w:w="45" w:type="dxa"/>
            </w:tcMar>
          </w:tcPr>
          <w:p w:rsidR="00FC3617" w:rsidRDefault="0014512D">
            <w:pPr>
              <w:spacing w:after="20" w:line="240" w:lineRule="auto"/>
            </w:pPr>
            <w:r>
              <w:rPr>
                <w:sz w:val="16"/>
              </w:rPr>
              <w:t>Asperitas</w:t>
            </w:r>
          </w:p>
        </w:tc>
        <w:tc>
          <w:tcPr>
            <w:tcW w:w="1721" w:type="dxa"/>
            <w:shd w:val="clear" w:color="auto" w:fill="F8FAFC"/>
            <w:tcMar>
              <w:top w:w="45" w:type="dxa"/>
              <w:left w:w="45" w:type="dxa"/>
              <w:bottom w:w="45" w:type="dxa"/>
              <w:right w:w="45" w:type="dxa"/>
            </w:tcMar>
          </w:tcPr>
          <w:p w:rsidR="00FC3617" w:rsidRDefault="0014512D">
            <w:pPr>
              <w:spacing w:after="20" w:line="240" w:lineRule="auto"/>
            </w:pPr>
            <w:r>
              <w:rPr>
                <w:sz w:val="16"/>
              </w:rPr>
              <w:t>Asperitas BV</w:t>
            </w:r>
          </w:p>
        </w:tc>
        <w:tc>
          <w:tcPr>
            <w:tcW w:w="1330" w:type="dxa"/>
            <w:shd w:val="clear" w:color="auto" w:fill="F8FAFC"/>
            <w:tcMar>
              <w:top w:w="45" w:type="dxa"/>
              <w:left w:w="45" w:type="dxa"/>
              <w:bottom w:w="45" w:type="dxa"/>
              <w:right w:w="45" w:type="dxa"/>
            </w:tcMar>
          </w:tcPr>
          <w:p w:rsidR="00FC3617" w:rsidRDefault="0014512D">
            <w:pPr>
              <w:spacing w:after="20" w:line="240" w:lineRule="auto"/>
            </w:pPr>
            <w:r>
              <w:rPr>
                <w:sz w:val="16"/>
              </w:rPr>
              <w:t>Haarlem, Netherlands</w:t>
            </w:r>
          </w:p>
        </w:tc>
        <w:tc>
          <w:tcPr>
            <w:tcW w:w="939"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80</w:t>
            </w:r>
          </w:p>
        </w:tc>
      </w:tr>
      <w:tr w:rsidR="00FC3617">
        <w:trPr>
          <w:cantSplit/>
          <w:jc w:val="center"/>
        </w:trPr>
        <w:tc>
          <w:tcPr>
            <w:tcW w:w="1565" w:type="dxa"/>
            <w:shd w:val="clear" w:color="auto" w:fill="FFFFFF"/>
            <w:tcMar>
              <w:top w:w="45" w:type="dxa"/>
              <w:left w:w="45" w:type="dxa"/>
              <w:bottom w:w="45" w:type="dxa"/>
              <w:right w:w="45" w:type="dxa"/>
            </w:tcMar>
          </w:tcPr>
          <w:p w:rsidR="00FC3617" w:rsidRDefault="0014512D">
            <w:pPr>
              <w:spacing w:after="20" w:line="240" w:lineRule="auto"/>
            </w:pPr>
            <w:r>
              <w:rPr>
                <w:sz w:val="16"/>
              </w:rPr>
              <w:t>OptiCool</w:t>
            </w:r>
          </w:p>
        </w:tc>
        <w:tc>
          <w:tcPr>
            <w:tcW w:w="1721" w:type="dxa"/>
            <w:shd w:val="clear" w:color="auto" w:fill="FFFFFF"/>
            <w:tcMar>
              <w:top w:w="45" w:type="dxa"/>
              <w:left w:w="45" w:type="dxa"/>
              <w:bottom w:w="45" w:type="dxa"/>
              <w:right w:w="45" w:type="dxa"/>
            </w:tcMar>
          </w:tcPr>
          <w:p w:rsidR="00FC3617" w:rsidRDefault="0014512D">
            <w:pPr>
              <w:spacing w:after="20" w:line="240" w:lineRule="auto"/>
            </w:pPr>
            <w:r>
              <w:rPr>
                <w:sz w:val="16"/>
              </w:rPr>
              <w:t>OptiCool Technologies LLC (subsidiary of Calvary Robotics)</w:t>
            </w:r>
          </w:p>
        </w:tc>
        <w:tc>
          <w:tcPr>
            <w:tcW w:w="1330" w:type="dxa"/>
            <w:shd w:val="clear" w:color="auto" w:fill="FFFFFF"/>
            <w:tcMar>
              <w:top w:w="45" w:type="dxa"/>
              <w:left w:w="45" w:type="dxa"/>
              <w:bottom w:w="45" w:type="dxa"/>
              <w:right w:w="45" w:type="dxa"/>
            </w:tcMar>
          </w:tcPr>
          <w:p w:rsidR="00FC3617" w:rsidRDefault="0014512D">
            <w:pPr>
              <w:spacing w:after="20" w:line="240" w:lineRule="auto"/>
            </w:pPr>
            <w:r>
              <w:rPr>
                <w:sz w:val="16"/>
              </w:rPr>
              <w:t>Webster, New York, USA</w:t>
            </w:r>
          </w:p>
        </w:tc>
        <w:tc>
          <w:tcPr>
            <w:tcW w:w="939"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75</w:t>
            </w:r>
          </w:p>
        </w:tc>
      </w:tr>
      <w:tr w:rsidR="00FC3617">
        <w:trPr>
          <w:cantSplit/>
          <w:jc w:val="center"/>
        </w:trPr>
        <w:tc>
          <w:tcPr>
            <w:tcW w:w="1565" w:type="dxa"/>
            <w:shd w:val="clear" w:color="auto" w:fill="F8FAFC"/>
            <w:tcMar>
              <w:top w:w="45" w:type="dxa"/>
              <w:left w:w="45" w:type="dxa"/>
              <w:bottom w:w="45" w:type="dxa"/>
              <w:right w:w="45" w:type="dxa"/>
            </w:tcMar>
          </w:tcPr>
          <w:p w:rsidR="00FC3617" w:rsidRDefault="0014512D">
            <w:pPr>
              <w:spacing w:after="20" w:line="240" w:lineRule="auto"/>
            </w:pPr>
            <w:r>
              <w:rPr>
                <w:sz w:val="16"/>
              </w:rPr>
              <w:t>Upsite Technologies</w:t>
            </w:r>
          </w:p>
        </w:tc>
        <w:tc>
          <w:tcPr>
            <w:tcW w:w="1721" w:type="dxa"/>
            <w:shd w:val="clear" w:color="auto" w:fill="F8FAFC"/>
            <w:tcMar>
              <w:top w:w="45" w:type="dxa"/>
              <w:left w:w="45" w:type="dxa"/>
              <w:bottom w:w="45" w:type="dxa"/>
              <w:right w:w="45" w:type="dxa"/>
            </w:tcMar>
          </w:tcPr>
          <w:p w:rsidR="00FC3617" w:rsidRDefault="0014512D">
            <w:pPr>
              <w:spacing w:after="20" w:line="240" w:lineRule="auto"/>
            </w:pPr>
            <w:r>
              <w:rPr>
                <w:sz w:val="16"/>
              </w:rPr>
              <w:t xml:space="preserve">Upsite Technologies, Inc. (subsidiary </w:t>
            </w:r>
            <w:r>
              <w:rPr>
                <w:sz w:val="16"/>
              </w:rPr>
              <w:t>of Aquila, Inc.)</w:t>
            </w:r>
          </w:p>
        </w:tc>
        <w:tc>
          <w:tcPr>
            <w:tcW w:w="1330" w:type="dxa"/>
            <w:shd w:val="clear" w:color="auto" w:fill="F8FAFC"/>
            <w:tcMar>
              <w:top w:w="45" w:type="dxa"/>
              <w:left w:w="45" w:type="dxa"/>
              <w:bottom w:w="45" w:type="dxa"/>
              <w:right w:w="45" w:type="dxa"/>
            </w:tcMar>
          </w:tcPr>
          <w:p w:rsidR="00FC3617" w:rsidRDefault="0014512D">
            <w:pPr>
              <w:spacing w:after="20" w:line="240" w:lineRule="auto"/>
            </w:pPr>
            <w:r>
              <w:rPr>
                <w:sz w:val="16"/>
              </w:rPr>
              <w:t>Albuquerque, New Mexico, USA</w:t>
            </w:r>
          </w:p>
        </w:tc>
        <w:tc>
          <w:tcPr>
            <w:tcW w:w="939"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76</w:t>
            </w:r>
          </w:p>
        </w:tc>
      </w:tr>
      <w:tr w:rsidR="00FC3617">
        <w:trPr>
          <w:cantSplit/>
          <w:jc w:val="center"/>
        </w:trPr>
        <w:tc>
          <w:tcPr>
            <w:tcW w:w="1565" w:type="dxa"/>
            <w:shd w:val="clear" w:color="auto" w:fill="FFFFFF"/>
            <w:tcMar>
              <w:top w:w="45" w:type="dxa"/>
              <w:left w:w="45" w:type="dxa"/>
              <w:bottom w:w="45" w:type="dxa"/>
              <w:right w:w="45" w:type="dxa"/>
            </w:tcMar>
          </w:tcPr>
          <w:p w:rsidR="00FC3617" w:rsidRDefault="0014512D">
            <w:pPr>
              <w:spacing w:after="20" w:line="240" w:lineRule="auto"/>
            </w:pPr>
            <w:r>
              <w:rPr>
                <w:sz w:val="16"/>
              </w:rPr>
              <w:t>Salicru</w:t>
            </w:r>
          </w:p>
        </w:tc>
        <w:tc>
          <w:tcPr>
            <w:tcW w:w="1721" w:type="dxa"/>
            <w:shd w:val="clear" w:color="auto" w:fill="FFFFFF"/>
            <w:tcMar>
              <w:top w:w="45" w:type="dxa"/>
              <w:left w:w="45" w:type="dxa"/>
              <w:bottom w:w="45" w:type="dxa"/>
              <w:right w:w="45" w:type="dxa"/>
            </w:tcMar>
          </w:tcPr>
          <w:p w:rsidR="00FC3617" w:rsidRDefault="0014512D">
            <w:pPr>
              <w:spacing w:after="20" w:line="240" w:lineRule="auto"/>
            </w:pPr>
            <w:r>
              <w:rPr>
                <w:sz w:val="16"/>
              </w:rPr>
              <w:t>Salicru, S.A.</w:t>
            </w:r>
          </w:p>
        </w:tc>
        <w:tc>
          <w:tcPr>
            <w:tcW w:w="1330" w:type="dxa"/>
            <w:shd w:val="clear" w:color="auto" w:fill="FFFFFF"/>
            <w:tcMar>
              <w:top w:w="45" w:type="dxa"/>
              <w:left w:w="45" w:type="dxa"/>
              <w:bottom w:w="45" w:type="dxa"/>
              <w:right w:w="45" w:type="dxa"/>
            </w:tcMar>
          </w:tcPr>
          <w:p w:rsidR="00FC3617" w:rsidRDefault="0014512D">
            <w:pPr>
              <w:spacing w:after="20" w:line="240" w:lineRule="auto"/>
            </w:pPr>
            <w:r>
              <w:rPr>
                <w:sz w:val="16"/>
              </w:rPr>
              <w:t>Sant Celoni, Spain</w:t>
            </w:r>
          </w:p>
        </w:tc>
        <w:tc>
          <w:tcPr>
            <w:tcW w:w="939"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76</w:t>
            </w:r>
          </w:p>
        </w:tc>
      </w:tr>
      <w:tr w:rsidR="00FC3617">
        <w:trPr>
          <w:cantSplit/>
          <w:jc w:val="center"/>
        </w:trPr>
        <w:tc>
          <w:tcPr>
            <w:tcW w:w="1565" w:type="dxa"/>
            <w:shd w:val="clear" w:color="auto" w:fill="F8FAFC"/>
            <w:tcMar>
              <w:top w:w="45" w:type="dxa"/>
              <w:left w:w="45" w:type="dxa"/>
              <w:bottom w:w="45" w:type="dxa"/>
              <w:right w:w="45" w:type="dxa"/>
            </w:tcMar>
          </w:tcPr>
          <w:p w:rsidR="00FC3617" w:rsidRDefault="0014512D">
            <w:pPr>
              <w:spacing w:after="20" w:line="240" w:lineRule="auto"/>
            </w:pPr>
            <w:r>
              <w:rPr>
                <w:sz w:val="16"/>
              </w:rPr>
              <w:t>Subzero Engineering</w:t>
            </w:r>
          </w:p>
        </w:tc>
        <w:tc>
          <w:tcPr>
            <w:tcW w:w="1721" w:type="dxa"/>
            <w:shd w:val="clear" w:color="auto" w:fill="F8FAFC"/>
            <w:tcMar>
              <w:top w:w="45" w:type="dxa"/>
              <w:left w:w="45" w:type="dxa"/>
              <w:bottom w:w="45" w:type="dxa"/>
              <w:right w:w="45" w:type="dxa"/>
            </w:tcMar>
          </w:tcPr>
          <w:p w:rsidR="00FC3617" w:rsidRDefault="0014512D">
            <w:pPr>
              <w:spacing w:after="20" w:line="240" w:lineRule="auto"/>
            </w:pPr>
            <w:r>
              <w:rPr>
                <w:sz w:val="16"/>
              </w:rPr>
              <w:t>Subzero Engineering (subsidiary of Senneca Holdings)</w:t>
            </w:r>
          </w:p>
        </w:tc>
        <w:tc>
          <w:tcPr>
            <w:tcW w:w="1330" w:type="dxa"/>
            <w:shd w:val="clear" w:color="auto" w:fill="F8FAFC"/>
            <w:tcMar>
              <w:top w:w="45" w:type="dxa"/>
              <w:left w:w="45" w:type="dxa"/>
              <w:bottom w:w="45" w:type="dxa"/>
              <w:right w:w="45" w:type="dxa"/>
            </w:tcMar>
          </w:tcPr>
          <w:p w:rsidR="00FC3617" w:rsidRDefault="0014512D">
            <w:pPr>
              <w:spacing w:after="20" w:line="240" w:lineRule="auto"/>
            </w:pPr>
            <w:r>
              <w:rPr>
                <w:sz w:val="16"/>
              </w:rPr>
              <w:t>Salt Lake City, Utah, USA</w:t>
            </w:r>
          </w:p>
        </w:tc>
        <w:tc>
          <w:tcPr>
            <w:tcW w:w="939"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76</w:t>
            </w:r>
          </w:p>
        </w:tc>
      </w:tr>
      <w:tr w:rsidR="00FC3617">
        <w:trPr>
          <w:cantSplit/>
          <w:jc w:val="center"/>
        </w:trPr>
        <w:tc>
          <w:tcPr>
            <w:tcW w:w="1565" w:type="dxa"/>
            <w:shd w:val="clear" w:color="auto" w:fill="FFFFFF"/>
            <w:tcMar>
              <w:top w:w="45" w:type="dxa"/>
              <w:left w:w="45" w:type="dxa"/>
              <w:bottom w:w="45" w:type="dxa"/>
              <w:right w:w="45" w:type="dxa"/>
            </w:tcMar>
          </w:tcPr>
          <w:p w:rsidR="00FC3617" w:rsidRDefault="0014512D">
            <w:pPr>
              <w:spacing w:after="20" w:line="240" w:lineRule="auto"/>
            </w:pPr>
            <w:r>
              <w:rPr>
                <w:sz w:val="16"/>
              </w:rPr>
              <w:t>WEG</w:t>
            </w:r>
          </w:p>
        </w:tc>
        <w:tc>
          <w:tcPr>
            <w:tcW w:w="1721" w:type="dxa"/>
            <w:shd w:val="clear" w:color="auto" w:fill="FFFFFF"/>
            <w:tcMar>
              <w:top w:w="45" w:type="dxa"/>
              <w:left w:w="45" w:type="dxa"/>
              <w:bottom w:w="45" w:type="dxa"/>
              <w:right w:w="45" w:type="dxa"/>
            </w:tcMar>
          </w:tcPr>
          <w:p w:rsidR="00FC3617" w:rsidRDefault="0014512D">
            <w:pPr>
              <w:spacing w:after="20" w:line="240" w:lineRule="auto"/>
            </w:pPr>
            <w:r>
              <w:rPr>
                <w:sz w:val="16"/>
              </w:rPr>
              <w:t>WEG S.A.</w:t>
            </w:r>
          </w:p>
        </w:tc>
        <w:tc>
          <w:tcPr>
            <w:tcW w:w="1330" w:type="dxa"/>
            <w:shd w:val="clear" w:color="auto" w:fill="FFFFFF"/>
            <w:tcMar>
              <w:top w:w="45" w:type="dxa"/>
              <w:left w:w="45" w:type="dxa"/>
              <w:bottom w:w="45" w:type="dxa"/>
              <w:right w:w="45" w:type="dxa"/>
            </w:tcMar>
          </w:tcPr>
          <w:p w:rsidR="00FC3617" w:rsidRDefault="0014512D">
            <w:pPr>
              <w:spacing w:after="20" w:line="240" w:lineRule="auto"/>
            </w:pPr>
            <w:r>
              <w:rPr>
                <w:sz w:val="16"/>
              </w:rPr>
              <w:t>Jaraguá do Sul, Brazil</w:t>
            </w:r>
          </w:p>
        </w:tc>
        <w:tc>
          <w:tcPr>
            <w:tcW w:w="939"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FC3617" w:rsidRDefault="0014512D">
            <w:pPr>
              <w:spacing w:after="20" w:line="240" w:lineRule="auto"/>
            </w:pPr>
            <w:r>
              <w:rPr>
                <w:b/>
                <w:color w:val="1E3A8A"/>
                <w:sz w:val="18"/>
              </w:rPr>
              <w:t>76</w:t>
            </w:r>
          </w:p>
        </w:tc>
      </w:tr>
      <w:tr w:rsidR="00FC3617">
        <w:trPr>
          <w:cantSplit/>
          <w:jc w:val="center"/>
        </w:trPr>
        <w:tc>
          <w:tcPr>
            <w:tcW w:w="1565" w:type="dxa"/>
            <w:shd w:val="clear" w:color="auto" w:fill="F8FAFC"/>
            <w:tcMar>
              <w:top w:w="45" w:type="dxa"/>
              <w:left w:w="45" w:type="dxa"/>
              <w:bottom w:w="45" w:type="dxa"/>
              <w:right w:w="45" w:type="dxa"/>
            </w:tcMar>
          </w:tcPr>
          <w:p w:rsidR="00FC3617" w:rsidRDefault="0014512D">
            <w:pPr>
              <w:spacing w:after="20" w:line="240" w:lineRule="auto"/>
            </w:pPr>
            <w:r>
              <w:rPr>
                <w:sz w:val="16"/>
              </w:rPr>
              <w:t>EAE Electric</w:t>
            </w:r>
          </w:p>
        </w:tc>
        <w:tc>
          <w:tcPr>
            <w:tcW w:w="1721" w:type="dxa"/>
            <w:shd w:val="clear" w:color="auto" w:fill="F8FAFC"/>
            <w:tcMar>
              <w:top w:w="45" w:type="dxa"/>
              <w:left w:w="45" w:type="dxa"/>
              <w:bottom w:w="45" w:type="dxa"/>
              <w:right w:w="45" w:type="dxa"/>
            </w:tcMar>
          </w:tcPr>
          <w:p w:rsidR="00FC3617" w:rsidRDefault="0014512D">
            <w:pPr>
              <w:spacing w:after="20" w:line="240" w:lineRule="auto"/>
            </w:pPr>
            <w:r>
              <w:rPr>
                <w:sz w:val="16"/>
              </w:rPr>
              <w:t>EAE Elektrik A.Ş.</w:t>
            </w:r>
          </w:p>
        </w:tc>
        <w:tc>
          <w:tcPr>
            <w:tcW w:w="1330" w:type="dxa"/>
            <w:shd w:val="clear" w:color="auto" w:fill="F8FAFC"/>
            <w:tcMar>
              <w:top w:w="45" w:type="dxa"/>
              <w:left w:w="45" w:type="dxa"/>
              <w:bottom w:w="45" w:type="dxa"/>
              <w:right w:w="45" w:type="dxa"/>
            </w:tcMar>
          </w:tcPr>
          <w:p w:rsidR="00FC3617" w:rsidRDefault="0014512D">
            <w:pPr>
              <w:spacing w:after="20" w:line="240" w:lineRule="auto"/>
            </w:pPr>
            <w:r>
              <w:rPr>
                <w:sz w:val="16"/>
              </w:rPr>
              <w:t>İstanbul, Turkey</w:t>
            </w:r>
          </w:p>
        </w:tc>
        <w:tc>
          <w:tcPr>
            <w:tcW w:w="939"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FC3617" w:rsidRDefault="0014512D">
            <w:pPr>
              <w:spacing w:after="20" w:line="240" w:lineRule="auto"/>
            </w:pPr>
            <w:r>
              <w:rPr>
                <w:b/>
                <w:color w:val="1E3A8A"/>
                <w:sz w:val="18"/>
              </w:rPr>
              <w:t>75</w:t>
            </w:r>
          </w:p>
        </w:tc>
      </w:tr>
    </w:tbl>
    <w:p w:rsidR="00FC3617" w:rsidRDefault="0014512D">
      <w:pPr>
        <w:pStyle w:val="Heading1"/>
        <w:pageBreakBefore/>
        <w:pBdr>
          <w:bottom w:val="single" w:sz="24" w:space="6" w:color="52B69A"/>
        </w:pBdr>
      </w:pPr>
      <w:bookmarkStart w:id="5" w:name="_Toc242935675"/>
      <w:r>
        <w:lastRenderedPageBreak/>
        <w:t>Other</w:t>
      </w:r>
      <w:r>
        <w:t xml:space="preserve"> Noticeable Players</w:t>
      </w:r>
      <w:bookmarkEnd w:id="5"/>
    </w:p>
    <w:p w:rsidR="00FC3617" w:rsidRDefault="0014512D">
      <w:pPr>
        <w:spacing w:after="200"/>
      </w:pPr>
      <w:r>
        <w:rPr>
          <w:color w:val="64748B"/>
        </w:rPr>
        <w:t>(146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FC3617">
        <w:trPr>
          <w:cantSplit/>
          <w:tblHeader/>
          <w:jc w:val="center"/>
        </w:trPr>
        <w:tc>
          <w:tcPr>
            <w:tcW w:w="1979"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FC3617" w:rsidRDefault="0014512D">
            <w:pPr>
              <w:spacing w:after="20" w:line="240" w:lineRule="auto"/>
            </w:pPr>
            <w:r>
              <w:rPr>
                <w:b/>
                <w:color w:val="FFFFFF"/>
                <w:sz w:val="13"/>
              </w:rPr>
              <w:t>STRENGTH</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Inspur</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Inspur Group Co.,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Jinan, China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Schneider Electric SE</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Schneider Electric SE</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Rueil-Malmaison, France</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Lenovo Group Limited</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Lenovo Group Limited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Beijing, China and Morrisville, United States</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Cisco Systems, Inc.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Cisco Systems,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San Jose, United States</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Super Micro </w:t>
            </w:r>
            <w:r>
              <w:rPr>
                <w:sz w:val="16"/>
              </w:rPr>
              <w:t>Computer, Inc.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Super Micro Computer,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San Jose, United States</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Cummins Inc.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Cummins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Columbus, Indiana, United States</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Vertiv Holdings Co</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Vertiv Holdings Co</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Westerville, United </w:t>
            </w:r>
            <w:r>
              <w:rPr>
                <w:sz w:val="16"/>
              </w:rPr>
              <w:t>States</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Western Digital Corporation</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Western Digital Corporation</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San Jose, California, United States</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Delta Electronics, Inc.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Delta Electronics,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Taipei, Taiwan</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International Business Machines Corporation</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International Business Machines Corporation</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Armonk, New York, United States</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Seagate Technology Holdings plc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Seagate Technology Holdings plc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Johnson Controls International plc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Johnson Controls International plc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Cork, Ireland</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Siemens AG</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Siemens AG</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Munich, Germany</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ABB Ltd</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ABB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 xml:space="preserve">Zurich, </w:t>
            </w:r>
            <w:r>
              <w:rPr>
                <w:sz w:val="16"/>
              </w:rPr>
              <w:t>Switzerland</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Eaton Corporation plc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Eaton Corporation plc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Dublin, Ireland</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Fujitsu</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Fujitsu Limited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Hitachi Vantara LLC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Hitachi Vantara LLC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Santa Clara, United States</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Mitsubishi Electric Corporation</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Mitsubishi Electric Corporation</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Pure Storage, Inc.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Pure Storage,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Santa Clara, United States</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STULZ GmbH</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STULZ GmbH</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Hamburg, Germany</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Legrand SA</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Legrand SA</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Limoges, France</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Daikin Industries, Ltd.</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Daikin Industries,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Osaka, Japan</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Hypertec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Hypertec Group</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Montreal, Quebec, Canada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Kehua Tech</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Kehua Data Co.,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Xiamen, China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NetApp, Inc.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NetApp,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San Jose, United States</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Nortek Air Solutions</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Nortek Air Solutions, LLC (subsidiary of Madison Industries)</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Oklahoma City, Oklahoma,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lastRenderedPageBreak/>
              <w:t>Submer</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Submer USA LLC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Sausalito, California,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Trane Technologies plc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Trane Technologies plc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Swords, Ireland</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Envicool</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Shenzhen Envicool Technology Co.,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DCX</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DCX Sp. z o.o.</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Warsaw, Poland</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Motivair</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Motivair Corporation (acquired by Schneider Electric)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Buffalo, New York,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Rittal GmbH &amp; Co. KG</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Rittal GmbH &amp; Co. KG</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Herborn, Germany</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Geist</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Vertiv Geist</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Lincoln, Nebraska,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w:t>
            </w:r>
            <w:r>
              <w:rPr>
                <w:sz w:val="16"/>
              </w:rPr>
              <w:t xml:space="preserve">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ZutaCore</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ZutaCore,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San Jose, California,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GRC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Green Revolution Cooling,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Austin, Texas,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Airedale</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Airedale International Air Conditioning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Leeds, UK</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Chatsworth Products</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Chatsworth Products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Simi Valley, California,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Enlogic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Enlogic Systems LLC (subsidiary of CIS Global)</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Wildwood, Missouri,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ColdLogik</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USystems Limited (subsidiary of Legrand Group)</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Bedford, UK</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Alfa Laval</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Alfa Laval AB</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Lund, Sweden</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Carrier Global Corporation</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Carrier Global Corporation</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Palm Beach</w:t>
            </w:r>
            <w:r>
              <w:rPr>
                <w:sz w:val="16"/>
              </w:rPr>
              <w:t xml:space="preserve"> Gardens, United States</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Modine</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Modine Manufacturing Company</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Racine, Wisconsin,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Munters Group AB</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Munters Group AB</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Kista, Sweden</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NEC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NEC Corporation</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Kstar</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Shenzhen Kstar Science &amp; Technology Co.,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JetCool</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JetCool Technologies Inc. (acquired by Flex)</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Littleton, Massachusetts,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LS Electric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LS ELECTRIC Co.,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Anyang, South Korea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Excool</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Excool Limited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Bromsgrove, UK</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Panduit</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Panduit Corp.</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Tinley Park, Illinois,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R&amp;M</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Reichle &amp; De-Massari AG</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Wetzikon, Switzerland</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Belden</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Belden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St. Louis, Missouri,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Chilldyne</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Chilldyne, Inc. (acquired by Daikin Applied)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Carlsbad, California,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EkkoSense</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EkkoSense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Nottingham, United Kingdom</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Himoinsa</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Himoinsa S.L. (subsidiary of Yanmar Co.,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San Javier, Spain</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Lightera (Furukawa legacy)</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Lightera</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Curitiba, Brazil</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lastRenderedPageBreak/>
              <w:t>TECO</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TECO Electric &amp; Machinery Co.,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ZincFive</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ZincFive, Inc. (acquired by Spark I Acquisition Corporation)</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Tualatin, Oregon,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Oper8 Global</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Oper8 Global Pty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Brisbane, Australia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Rehlko</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Rehlko</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Glendale, Wisconsin, United States</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INVT Power</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Shenzhen INVT Power Co.,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Vigilent</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Vigilent Corporation</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Oakland, California,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Generac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Generac Power Systems,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Waukesha, Wisconsin,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Master </w:t>
            </w:r>
            <w:r>
              <w:rPr>
                <w:sz w:val="16"/>
              </w:rPr>
              <w:t>Power Technologies</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Master Power Technologies (Pty)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Midrand, South Africa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Modius</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Modius,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San Francisco, California,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Piller</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Piller Group GmbH (subsidiary of Langley </w:t>
            </w:r>
            <w:r>
              <w:rPr>
                <w:sz w:val="16"/>
              </w:rPr>
              <w:t>Holdings plc)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Osterode am Harz, Germany</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ATEN</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ATEN International Co.,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New Taipei City, Taiwan</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Corning Incorporated</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Corning Incorporated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Corning, United States</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Elsewedy Electric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Elsewedy Electric S.A.E.</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alfanar</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Alfanar Company</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Conteg</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CONTEG, spol. s r.o.</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Pelhrimov, Czech Republic</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CyberPower</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Cyber Power Systems (USA),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Shakopee, Minnesota,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BPE</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Best Power Equipments (I) Pvt.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Altos</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Altos </w:t>
            </w:r>
            <w:r>
              <w:rPr>
                <w:sz w:val="16"/>
              </w:rPr>
              <w:t>Computing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New Taipei City, Taiwan</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Boreas</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Boreas Teknoloji A.Ş. (subsidiary of Açık Holding)</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Borri</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Borri S.p.A. (subsidiary of Legrand Group)</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Bibbiena, </w:t>
            </w:r>
            <w:r>
              <w:rPr>
                <w:sz w:val="16"/>
              </w:rPr>
              <w:t>Italy</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Caterpillar Inc.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Caterpillar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Irving, United States</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Datapod</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Datapod (Australia) Pty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Canberra, Australia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HiRef</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HiRef S.p.A.</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Tribano, Italy</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LayerZero Power Systems</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LayerZero Power Systems, Inc. (acquired by Advent International)</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Aurora, Ohio,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Canatal</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 xml:space="preserve">Nanjing Canatal Data-Centre Environmental </w:t>
            </w:r>
            <w:r>
              <w:rPr>
                <w:sz w:val="16"/>
              </w:rPr>
              <w:t>Tech Co.,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Nanjing, China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Socomec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Socomec S.A.</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Benfeld, France</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Sunbird Software, Inc.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Sunbird Software,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Piscataway, United States</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VYCON</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Vycon, Inc. (subsidiary of Calnetix Technologies)</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Chino, California,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Canovate</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Canovate Group</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lastRenderedPageBreak/>
              <w:t>Emerson Electric Co.</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Emerson Electric Co.</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St. Louis, </w:t>
            </w:r>
            <w:r>
              <w:rPr>
                <w:sz w:val="16"/>
              </w:rPr>
              <w:t>United States</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Enconnex</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Enconnex</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Reno, Nevada,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Subzero Engineering</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Subzero Design, Inc. (subsidiary of Senneca Holdings)</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Salt Lake City, Utah,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Ciena Corporation</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Ciena Corporation</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Fulton, United States</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Evada</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Evada Jingyuan Power Co.,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Xiamen, China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Coolnet</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 xml:space="preserve">Guangdong Coolnet Intelligent </w:t>
            </w:r>
            <w:r>
              <w:rPr>
                <w:sz w:val="16"/>
              </w:rPr>
              <w:t>Technology Co.,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Dongguan, China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EAST</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Guangdong East Power Co.,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Dongguan, China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Kaltra</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Kaltra GmbH</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Munich, Germany</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Phononic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Phononic,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Durham, North Carolina,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Teksan</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Teksan Jeneratör Elektrik San. ve Tic. A.Ş.</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Yokogawa Electric Corporation</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Yokogawa Electric Corporation</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Iceotope</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Iceotope Technologies Limited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Sheffield, UK</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C&amp;D Technologies</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C&amp;D Technologies, Inc. (acquired by Stryten Energy LLC)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Horsham, Pennsylvania,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Asetek</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Asetek A/S (acquired by CQXA Holdings Pte.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Aalborg, Denmark</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Lantronix</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Lantronix,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Irvine, California,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 xml:space="preserve">Austin </w:t>
            </w:r>
            <w:r>
              <w:rPr>
                <w:sz w:val="16"/>
              </w:rPr>
              <w:t>Hughes</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Austin Hughes Electronics 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Hong Kong, China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RF Code</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RF Code,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Austin, Texas,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Opengear</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Opengear, Inc. (subsidiary of Digi International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 xml:space="preserve">Edison, </w:t>
            </w:r>
            <w:r>
              <w:rPr>
                <w:sz w:val="16"/>
              </w:rPr>
              <w:t>New Jersey,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Zellabox</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Zellabox Pty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Perth, Australia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MODULAR Data Centers</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Modular Data Centers Industria Comercio e Servicos S.A.</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Santana de Parnaiba, Brazil</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Norden</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Norden Communication UK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London, UK</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PCX</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PCX Corporation (subsidiary of Hubbell Incorporated)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Clayton, North Carolina,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Polargy</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Polargy LLC (subsidiary of GEF Capital Partners)</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Minden, Nevada,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FNT GmbH</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FNT GmbH</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Ellwangen, Germany</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Shinsung E&amp;G</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Shinsung E&amp;G Co.,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Seongnam, South Korea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Engetron</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Engetron Engenharia Eletro-Eletrônica S/A</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Contagem, Brazil</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Envirosep</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Envirosep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Georgetown, South Carolina,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Makelsan</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Makelsan Makine Kimya Elektrik San. ve Tic. A.Ş.</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lastRenderedPageBreak/>
              <w:t>Aksa</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Aksa Jeneratör Sanayi A.Ş.</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Shangyu</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 xml:space="preserve">Shenzhen Shangyu Electronic Co., </w:t>
            </w:r>
            <w:r>
              <w:rPr>
                <w:sz w:val="16"/>
              </w:rPr>
              <w:t>Ltd.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Aveltec</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Aveltec SAS</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Lannion, France</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Fortinet, Inc.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Fortinet,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Sunnyvale, United States</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Midas Green </w:t>
            </w:r>
            <w:r>
              <w:rPr>
                <w:sz w:val="16"/>
              </w:rPr>
              <w:t>Technologies</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Midas Green Technologies, LLC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Austin, Texas,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Podtech</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Podtech Solutions LLC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netTerrain</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Graphical Networks, LLC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Gaithersburg,</w:t>
            </w:r>
            <w:r>
              <w:rPr>
                <w:sz w:val="16"/>
              </w:rPr>
              <w:t xml:space="preserve"> Maryland,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Packet Power</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Packet Power, LLC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Minneapolis, Minnesota,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CoolAct</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Data Center Technical Solutions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Cambridge, Ontario, Canada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Hunter</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Hunter Buildings &amp; Manufacturing, LP</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Cormant-CS</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Cormant, Inc. (subsidiary of BGIS)</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San Luis Obispo, California,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Hammond Manufacturing</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Hammond Manufacturing Company Limited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Guelph, Ontario, Canada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MTS Infonet</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MTS Infonet Media Pvt.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Palo Alto Networks, Inc.</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Palo Alto Networks,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Santa Clara, United States</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RackSolutions</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RackSolutions (subsidiary of Spin Master)</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Greenville, Texas,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WTI</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Western Telematic,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 xml:space="preserve">Irvine, </w:t>
            </w:r>
            <w:r>
              <w:rPr>
                <w:sz w:val="16"/>
              </w:rPr>
              <w:t>California,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SCU</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Sicon Chatsworth Technology Co.,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Shijiazhuang, China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Hyperview</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Hyperview</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Vancouver, British Columbia, Canada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Hyperview</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Hyperview Technologies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Vancouver, Canada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EnviroGuard</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EnviroGuard LLC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Montclair, California,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BTECH</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 xml:space="preserve">BTECH Inc (acquired by Great River </w:t>
            </w:r>
            <w:r>
              <w:rPr>
                <w:sz w:val="16"/>
              </w:rPr>
              <w:t>Capital Partners)</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Rockaway, New Jersey,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NetZoom</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NetZoom, Inc.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Lisle, Illinois,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BayTech</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Bay Technical Associates,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Roanoke, Virginia,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AMCO Enclosures</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IMS Engineered Products, Inc. (subsidiary of IMS Companies, LLC)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Des Plaines, Illinois,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SECAP</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SECAP Australia</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Tai Sin</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Tai Sin Electric Limited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Bahra-TBS</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Bahra Electric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Jeddah, Saudi Arabia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Perle</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Perle Systems Limited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Markham, Canada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Wandtung</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Guangdong Haisen New Building Materials Technology Co., Ltd.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Guangdong, China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lastRenderedPageBreak/>
              <w:t>Kendall Howard</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Kendall Howard LLC</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Lincoln, Nebraska, USA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Coraid</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SouthSuite, Inc.</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Athens, Georgia, USA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Cybermax</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Cybermax Server Solutions Pte Ltd (subsidiary of Data Clean Asia)</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FFFFF"/>
            <w:tcMar>
              <w:top w:w="45" w:type="dxa"/>
              <w:left w:w="45" w:type="dxa"/>
              <w:bottom w:w="45" w:type="dxa"/>
              <w:right w:w="45" w:type="dxa"/>
            </w:tcMar>
          </w:tcPr>
          <w:p w:rsidR="00FC3617" w:rsidRDefault="0014512D">
            <w:pPr>
              <w:spacing w:after="20" w:line="240" w:lineRule="auto"/>
            </w:pPr>
            <w:r>
              <w:rPr>
                <w:sz w:val="16"/>
              </w:rPr>
              <w:t>Great Rack</w:t>
            </w:r>
          </w:p>
        </w:tc>
        <w:tc>
          <w:tcPr>
            <w:tcW w:w="2177" w:type="dxa"/>
            <w:shd w:val="clear" w:color="auto" w:fill="FFFFFF"/>
            <w:tcMar>
              <w:top w:w="45" w:type="dxa"/>
              <w:left w:w="45" w:type="dxa"/>
              <w:bottom w:w="45" w:type="dxa"/>
              <w:right w:w="45" w:type="dxa"/>
            </w:tcMar>
          </w:tcPr>
          <w:p w:rsidR="00FC3617" w:rsidRDefault="0014512D">
            <w:pPr>
              <w:spacing w:after="20" w:line="240" w:lineRule="auto"/>
            </w:pPr>
            <w:r>
              <w:rPr>
                <w:sz w:val="16"/>
              </w:rPr>
              <w:t>Great Rack Sdn. Bhd.</w:t>
            </w:r>
          </w:p>
        </w:tc>
        <w:tc>
          <w:tcPr>
            <w:tcW w:w="1682" w:type="dxa"/>
            <w:shd w:val="clear" w:color="auto" w:fill="FFFFFF"/>
            <w:tcMar>
              <w:top w:w="45" w:type="dxa"/>
              <w:left w:w="45" w:type="dxa"/>
              <w:bottom w:w="45" w:type="dxa"/>
              <w:right w:w="45" w:type="dxa"/>
            </w:tcMar>
          </w:tcPr>
          <w:p w:rsidR="00FC3617" w:rsidRDefault="0014512D">
            <w:pPr>
              <w:spacing w:after="20" w:line="240" w:lineRule="auto"/>
            </w:pPr>
            <w:r>
              <w:rPr>
                <w:sz w:val="16"/>
              </w:rPr>
              <w:t>Subang Jaya, Malaysia</w:t>
            </w:r>
          </w:p>
        </w:tc>
        <w:tc>
          <w:tcPr>
            <w:tcW w:w="1187" w:type="dxa"/>
            <w:shd w:val="clear" w:color="auto" w:fill="FFFFFF"/>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C3617">
        <w:trPr>
          <w:cantSplit/>
          <w:jc w:val="center"/>
        </w:trPr>
        <w:tc>
          <w:tcPr>
            <w:tcW w:w="1979" w:type="dxa"/>
            <w:shd w:val="clear" w:color="auto" w:fill="F8FAFC"/>
            <w:tcMar>
              <w:top w:w="45" w:type="dxa"/>
              <w:left w:w="45" w:type="dxa"/>
              <w:bottom w:w="45" w:type="dxa"/>
              <w:right w:w="45" w:type="dxa"/>
            </w:tcMar>
          </w:tcPr>
          <w:p w:rsidR="00FC3617" w:rsidRDefault="0014512D">
            <w:pPr>
              <w:spacing w:after="20" w:line="240" w:lineRule="auto"/>
            </w:pPr>
            <w:r>
              <w:rPr>
                <w:sz w:val="16"/>
              </w:rPr>
              <w:t>GV Industries</w:t>
            </w:r>
          </w:p>
        </w:tc>
        <w:tc>
          <w:tcPr>
            <w:tcW w:w="2177" w:type="dxa"/>
            <w:shd w:val="clear" w:color="auto" w:fill="F8FAFC"/>
            <w:tcMar>
              <w:top w:w="45" w:type="dxa"/>
              <w:left w:w="45" w:type="dxa"/>
              <w:bottom w:w="45" w:type="dxa"/>
              <w:right w:w="45" w:type="dxa"/>
            </w:tcMar>
          </w:tcPr>
          <w:p w:rsidR="00FC3617" w:rsidRDefault="0014512D">
            <w:pPr>
              <w:spacing w:after="20" w:line="240" w:lineRule="auto"/>
            </w:pPr>
            <w:r>
              <w:rPr>
                <w:sz w:val="16"/>
              </w:rPr>
              <w:t>GV Industries Sdn. Bhd.</w:t>
            </w:r>
          </w:p>
        </w:tc>
        <w:tc>
          <w:tcPr>
            <w:tcW w:w="1682" w:type="dxa"/>
            <w:shd w:val="clear" w:color="auto" w:fill="F8FAFC"/>
            <w:tcMar>
              <w:top w:w="45" w:type="dxa"/>
              <w:left w:w="45" w:type="dxa"/>
              <w:bottom w:w="45" w:type="dxa"/>
              <w:right w:w="45" w:type="dxa"/>
            </w:tcMar>
          </w:tcPr>
          <w:p w:rsidR="00FC3617" w:rsidRDefault="0014512D">
            <w:pPr>
              <w:spacing w:after="20" w:line="240" w:lineRule="auto"/>
            </w:pPr>
            <w:r>
              <w:rPr>
                <w:sz w:val="16"/>
              </w:rPr>
              <w:t>Shah Alam, Malaysia</w:t>
            </w:r>
          </w:p>
        </w:tc>
        <w:tc>
          <w:tcPr>
            <w:tcW w:w="1187" w:type="dxa"/>
            <w:shd w:val="clear" w:color="auto" w:fill="F8FAFC"/>
            <w:tcMar>
              <w:top w:w="45" w:type="dxa"/>
              <w:left w:w="45" w:type="dxa"/>
              <w:bottom w:w="45" w:type="dxa"/>
              <w:right w:w="45" w:type="dxa"/>
            </w:tcMar>
          </w:tcPr>
          <w:p w:rsidR="00FC3617" w:rsidRDefault="0014512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FC3617" w:rsidRDefault="0014512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C3617" w:rsidRDefault="0014512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FC3617" w:rsidRDefault="0014512D">
      <w:pPr>
        <w:pStyle w:val="Heading1"/>
        <w:pageBreakBefore/>
        <w:pBdr>
          <w:bottom w:val="single" w:sz="24" w:space="6" w:color="52B69A"/>
        </w:pBdr>
      </w:pPr>
      <w:bookmarkStart w:id="6" w:name="_Toc242935676"/>
      <w:r>
        <w:lastRenderedPageBreak/>
        <w:t>Parameter Detail by Company</w:t>
      </w:r>
      <w:bookmarkEnd w:id="6"/>
    </w:p>
    <w:p w:rsidR="00FC3617" w:rsidRDefault="0014512D">
      <w:pPr>
        <w:spacing w:after="200"/>
      </w:pPr>
      <w:r>
        <w:rPr>
          <w:color w:val="64748B"/>
        </w:rPr>
        <w:t xml:space="preserve">(Technology Capability and Business Capability evidence for </w:t>
      </w:r>
      <w:r>
        <w:rPr>
          <w:color w:val="64748B"/>
        </w:rPr>
        <w:t>the 20 companies on the chart)</w:t>
      </w:r>
    </w:p>
    <w:p w:rsidR="00FC3617" w:rsidRDefault="0014512D">
      <w:pPr>
        <w:pStyle w:val="Heading2"/>
        <w:shd w:val="clear" w:color="auto" w:fill="002857"/>
        <w:spacing w:after="0"/>
      </w:pPr>
      <w:bookmarkStart w:id="7" w:name="_Toc242935677"/>
      <w:r>
        <w:t>NVIDIA Corporation</w:t>
      </w:r>
      <w:bookmarkEnd w:id="7"/>
    </w:p>
    <w:p w:rsidR="00FC3617" w:rsidRDefault="0014512D">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100</w:t>
      </w:r>
      <w:r>
        <w:rPr>
          <w:color w:val="CBD5E1"/>
          <w:sz w:val="18"/>
        </w:rPr>
        <w:t xml:space="preserve">     Overall </w:t>
      </w:r>
      <w:r>
        <w:rPr>
          <w:b/>
          <w:color w:val="FFFFFF"/>
          <w:sz w:val="20"/>
        </w:rPr>
        <w:t>98</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100/100</w:t>
      </w:r>
    </w:p>
    <w:p w:rsidR="00FC3617" w:rsidRDefault="0014512D">
      <w:pPr>
        <w:keepNext/>
        <w:pBdr>
          <w:left w:val="single" w:sz="24" w:space="6" w:color="52B69A"/>
        </w:pBdr>
        <w:ind w:left="170"/>
      </w:pPr>
      <w:r>
        <w:t xml:space="preserve">The rating rests on the company's verified market leadership and clean sweeps across </w:t>
      </w:r>
      <w:r>
        <w:t>rigorous, industry-standard AI processing benchmarks, alongside massive, multi-million-node platform commitments from leading global cloud hyperscalers. Based on primary research, the company's standalone specint or IOPS figures for unified computing nodes</w:t>
      </w:r>
      <w:r>
        <w:t xml:space="preserve"> can be estimated as exceptional, in line with custom Arm core expectations, based on its 72 Rubin GPUs, 36 Vera CPUs, and NVLink 6 architecture.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In the peer-reviewed MLPerf Training v6.0 benchmarks released by MLCommons on June 16, 2026,</w:t>
      </w:r>
      <w:r>
        <w:t xml:space="preserve"> the NVIDIA Blackwell platform swept all seven workloads, achieving the fastest time-to-train at a record scale of 8,192 GPUs.</w:t>
      </w:r>
    </w:p>
    <w:p w:rsidR="00FC3617" w:rsidRDefault="0014512D">
      <w:pPr>
        <w:pStyle w:val="ListBullet"/>
        <w:spacing w:after="60"/>
        <w:ind w:left="510"/>
      </w:pPr>
      <w:r>
        <w:t>Amazon Web Services expanded its deployment roadmap on August 26, 2026, with an agreement to introduce an additional 2 million NV</w:t>
      </w:r>
      <w:r>
        <w:t>IDIA Blackwell Ultra, Rubin, and Rubin Ultra GPUs across its global cloud data center infrastructure during 2027 and 2028.</w:t>
      </w:r>
    </w:p>
    <w:p w:rsidR="00FC3617" w:rsidRDefault="0014512D">
      <w:pPr>
        <w:keepNext/>
        <w:pBdr>
          <w:left w:val="single" w:sz="24" w:space="6" w:color="52B69A"/>
        </w:pBdr>
        <w:spacing w:before="120" w:after="60"/>
        <w:ind w:left="170"/>
      </w:pPr>
      <w:r>
        <w:rPr>
          <w:b/>
          <w:color w:val="0F172A"/>
          <w:sz w:val="20"/>
        </w:rPr>
        <w:t>Power &amp; Cooling Efficiency — scored 84/100</w:t>
      </w:r>
    </w:p>
    <w:p w:rsidR="00FC3617" w:rsidRDefault="0014512D">
      <w:pPr>
        <w:keepNext/>
        <w:pBdr>
          <w:left w:val="single" w:sz="24" w:space="6" w:color="52B69A"/>
        </w:pBdr>
        <w:ind w:left="170"/>
      </w:pPr>
      <w:r>
        <w:t>The rating rests on the company's collaborative engineering of high-density rack-scale ref</w:t>
      </w:r>
      <w:r>
        <w:t>erence architectures and joint facility-impact studies that validate data center PUE improvements through integrated liquid cooling and power distribution frameworks. Based on primary research, the company's efficiency certifications for facility-level com</w:t>
      </w:r>
      <w:r>
        <w:t>ponents can be estimated as strong, driven by certified third-party cooling solutions, based on its preferred partner certifications and DSX ready liquid cooling ecosystem.</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A joint analysis conducted by specialists from NVIDIA and Vertiv </w:t>
      </w:r>
      <w:r>
        <w:t>evaluated a midsize Tier 2 data center in Baltimore, Maryland, to measure the impact of progressive direct-to-chip liquid cooling integration from 0% to 74.9% across four studies, demonstrating that reaching a 74.9% liquid load reduced facility power by 18</w:t>
      </w:r>
      <w:r>
        <w:t>.1%, total data center power by 10.2%, and decreased the Power Usage Effectiveness (PUE) from 1.38 to 1.34.</w:t>
      </w:r>
    </w:p>
    <w:p w:rsidR="00FC3617" w:rsidRDefault="0014512D">
      <w:pPr>
        <w:pStyle w:val="ListBullet"/>
        <w:spacing w:after="60"/>
        <w:ind w:left="510"/>
      </w:pPr>
      <w:r>
        <w:t xml:space="preserve">NVIDIA co-developed liquid cooling reference designs and blueprints with Schneider Electric, such as the RD113 architecture supporting up to 227 kW </w:t>
      </w:r>
      <w:r>
        <w:t>per rack, which integrate high-density liquid cooling, Galaxy uninterruptible power supplies (UPS), and Uniflair cooling systems to maintain an operational PUE as low as 1.15 to 1.2.</w:t>
      </w:r>
    </w:p>
    <w:p w:rsidR="00FC3617" w:rsidRDefault="0014512D">
      <w:pPr>
        <w:keepNext/>
        <w:pBdr>
          <w:left w:val="single" w:sz="24" w:space="6" w:color="52B69A"/>
        </w:pBdr>
        <w:spacing w:before="120" w:after="60"/>
        <w:ind w:left="170"/>
      </w:pPr>
      <w:r>
        <w:rPr>
          <w:b/>
          <w:color w:val="0F172A"/>
          <w:sz w:val="20"/>
        </w:rPr>
        <w:t>Rack &amp; Enclosure Density — scored 92/100</w:t>
      </w:r>
    </w:p>
    <w:p w:rsidR="00FC3617" w:rsidRDefault="0014512D">
      <w:pPr>
        <w:keepNext/>
        <w:pBdr>
          <w:left w:val="single" w:sz="24" w:space="6" w:color="52B69A"/>
        </w:pBdr>
        <w:ind w:left="170"/>
      </w:pPr>
      <w:r>
        <w:t>The rating rests on the company'</w:t>
      </w:r>
      <w:r>
        <w:t>s verified high-density rack reference architectures that establish industry-leading power density parameters between 120 kW and 142 kW per single cabinet footprint. Based on primary research, the company's next-generation vera rubin rack-level specificati</w:t>
      </w:r>
      <w:r>
        <w:t>ons can be estimated as ultra-high density with advanced liquid requirements, based on its modular MGX architecture and open-source OCP design contributions.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NVIDIA GB300 NVL72 rack-scale reference architecture supports an integrated </w:t>
      </w:r>
      <w:r>
        <w:t>high-density system combining 72 Blackwell Ultra GPUs and 36 Grace CPUs, drawing up to 142 kW of power per rack and requiring mandatory direct-to-chip liquid cooling.</w:t>
      </w:r>
    </w:p>
    <w:p w:rsidR="00FC3617" w:rsidRDefault="0014512D">
      <w:pPr>
        <w:pStyle w:val="ListBullet"/>
        <w:spacing w:after="60"/>
        <w:ind w:left="510"/>
      </w:pPr>
      <w:r>
        <w:t>The company reports that its previous generation NVIDIA GB200 NVL72 liquid-cooled rack-sc</w:t>
      </w:r>
      <w:r>
        <w:t>ale system integrates 36 Grace CPUs and 72 Blackwell GPUs in a single unit specified at approximately 120 kW of sustained full-load power draw.</w:t>
      </w:r>
    </w:p>
    <w:p w:rsidR="00FC3617" w:rsidRDefault="0014512D">
      <w:pPr>
        <w:keepNext/>
        <w:pBdr>
          <w:left w:val="single" w:sz="24" w:space="6" w:color="52B69A"/>
        </w:pBdr>
        <w:spacing w:before="120" w:after="60"/>
        <w:ind w:left="170"/>
      </w:pPr>
      <w:r>
        <w:rPr>
          <w:b/>
          <w:color w:val="0F172A"/>
          <w:sz w:val="20"/>
        </w:rPr>
        <w:lastRenderedPageBreak/>
        <w:t>DCIM &amp; Management Software — scored 100/100</w:t>
      </w:r>
    </w:p>
    <w:p w:rsidR="00FC3617" w:rsidRDefault="0014512D">
      <w:pPr>
        <w:keepNext/>
        <w:pBdr>
          <w:left w:val="single" w:sz="24" w:space="6" w:color="52B69A"/>
        </w:pBdr>
        <w:ind w:left="170"/>
      </w:pPr>
      <w:r>
        <w:t>We verified that the company delivers highly advanced data center ma</w:t>
      </w:r>
      <w:r>
        <w:t>nagement and optimization capabilities through its Omniverse DSX Blueprint for AI Factory digital twins and its Data Center GPU Manager suite for cluster monitoring. Based on primary research, the company's traditional stand-alone corporate facility DCIM s</w:t>
      </w:r>
      <w:r>
        <w:t>oftware products can be estimated as integrated entirely within its accelerated software ecosystem, based on its 4 open-source DSX operating system components and automation tools.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Switch is building its EVO AI Factories and LDC EVO opera</w:t>
      </w:r>
      <w:r>
        <w:t>ting system using the NVIDIA Omniverse DSX Blueprint for real-time telemetry ingestion, continuously updated digital twins, and automated optimization of power, cooling, and workloads.</w:t>
      </w:r>
    </w:p>
    <w:p w:rsidR="00FC3617" w:rsidRDefault="0014512D">
      <w:pPr>
        <w:pStyle w:val="ListBullet"/>
        <w:spacing w:after="60"/>
        <w:ind w:left="510"/>
      </w:pPr>
      <w:r>
        <w:t>The company reports that its NVIDIA Data Center GPU Manager (DCGM) suit</w:t>
      </w:r>
      <w:r>
        <w:t>e provides active health monitoring, comprehensive diagnostics, system alerts, and governance policies (including power and clock management) for infrastructure teams to simplify GPU cluster administration and automate recovery actions.</w:t>
      </w:r>
    </w:p>
    <w:p w:rsidR="00FC3617" w:rsidRDefault="0014512D">
      <w:pPr>
        <w:keepNext/>
        <w:pBdr>
          <w:left w:val="single" w:sz="24" w:space="6" w:color="52B69A"/>
        </w:pBdr>
        <w:spacing w:before="120" w:after="60"/>
        <w:ind w:left="170"/>
      </w:pPr>
      <w:r>
        <w:rPr>
          <w:b/>
          <w:color w:val="0F172A"/>
          <w:sz w:val="20"/>
        </w:rPr>
        <w:t>AI &amp; Sustainability</w:t>
      </w:r>
      <w:r>
        <w:rPr>
          <w:b/>
          <w:color w:val="0F172A"/>
          <w:sz w:val="20"/>
        </w:rPr>
        <w:t xml:space="preserve"> Innovation — scored 100/100</w:t>
      </w:r>
    </w:p>
    <w:p w:rsidR="00FC3617" w:rsidRDefault="0014512D">
      <w:pPr>
        <w:keepNext/>
        <w:pBdr>
          <w:left w:val="single" w:sz="24" w:space="6" w:color="52B69A"/>
        </w:pBdr>
        <w:ind w:left="170"/>
      </w:pPr>
      <w:r>
        <w:t>The rating rests on the company's verified deployment of workload-aware power orchestration software, real-time power reallocation profiles, and high-temperature closed-loop liquid cooling architectures designed specifically fo</w:t>
      </w:r>
      <w:r>
        <w:t>r dense AI factories. Based on primary research, the company's field data on total facility operational carbon emissions reduction can be estimated as highly efficient compared to legacy infrastructure setups, based on its agentic AI factory blueprints and</w:t>
      </w:r>
      <w:r>
        <w:t xml:space="preserve"> multi-company open data center specifications.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NVIDIA released data center energy-optimized power profiles for the Blackwell B200 hardware architecture and NVIDIA Mission Control orchestration software, achieving up to 15% energy savings</w:t>
      </w:r>
      <w:r>
        <w:t xml:space="preserve"> while operating within strict facility power constraints.</w:t>
      </w:r>
    </w:p>
    <w:p w:rsidR="00FC3617" w:rsidRDefault="0014512D">
      <w:pPr>
        <w:pStyle w:val="ListBullet"/>
        <w:spacing w:after="60"/>
        <w:ind w:left="510"/>
      </w:pPr>
      <w:r>
        <w:t xml:space="preserve">NVIDIA introduced its DSX MaxLPS software as part of the DSX platform to dynamically reallocate power between GPUs and racks in real time, enabling data center operators to run up to 40% more GPUs </w:t>
      </w:r>
      <w:r>
        <w:t>within the same power budget.</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100/100</w:t>
      </w:r>
    </w:p>
    <w:p w:rsidR="00FC3617" w:rsidRDefault="0014512D">
      <w:pPr>
        <w:keepNext/>
        <w:pBdr>
          <w:left w:val="single" w:sz="24" w:space="6" w:color="52B69A"/>
        </w:pBdr>
        <w:ind w:left="170"/>
      </w:pPr>
      <w:r>
        <w:t>The rating rests on a multi-billion dollar verified revenue stream from global cloud service providers and active field deployments of its latest Vera Rubin</w:t>
      </w:r>
      <w:r>
        <w:t xml:space="preserve"> rack architectures with major hyperscale operators. Based on primary research, the company's hyperscaler GPU volume allocation can be estimated as heavily concentrated, based on its major cloud service provider revenue growth and strategic supply partners</w:t>
      </w:r>
      <w:r>
        <w:t>hips.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NVIDIA announced that its Vera Rubin platform has entered full production with AI data center infrastructure racks running at cloud partners including Google Cloud, Microsoft Azure, and Oracle Cloud Infrastructure, as reported in th</w:t>
      </w:r>
      <w:r>
        <w:t>e company's fiscal second-quarter 2027 financial results.</w:t>
      </w:r>
    </w:p>
    <w:p w:rsidR="00FC3617" w:rsidRDefault="0014512D">
      <w:pPr>
        <w:pStyle w:val="ListBullet"/>
        <w:spacing w:after="60"/>
        <w:ind w:left="510"/>
      </w:pPr>
      <w:r>
        <w:t xml:space="preserve">In its fiscal second-quarter 2027 earnings call, NVIDIA reported that its Data Center segment achieved a record $89 billion in revenue (representing 92.5% of total sales), with hyperscaler customer </w:t>
      </w:r>
      <w:r>
        <w:t>revenue specifically accounting for $49 billion of that total.</w:t>
      </w:r>
    </w:p>
    <w:p w:rsidR="00FC3617" w:rsidRDefault="0014512D">
      <w:pPr>
        <w:keepNext/>
        <w:pBdr>
          <w:left w:val="single" w:sz="24" w:space="6" w:color="52B69A"/>
        </w:pBdr>
        <w:spacing w:before="120" w:after="60"/>
        <w:ind w:left="170"/>
      </w:pPr>
      <w:r>
        <w:rPr>
          <w:b/>
          <w:color w:val="0F172A"/>
          <w:sz w:val="20"/>
        </w:rPr>
        <w:t>Global Revenue &amp; Market Share — scored 100/100</w:t>
      </w:r>
    </w:p>
    <w:p w:rsidR="00FC3617" w:rsidRDefault="0014512D">
      <w:pPr>
        <w:keepNext/>
        <w:pBdr>
          <w:left w:val="single" w:sz="24" w:space="6" w:color="52B69A"/>
        </w:pBdr>
        <w:ind w:left="170"/>
      </w:pPr>
      <w:r>
        <w:t xml:space="preserve">The rating rests on the company's verified global leadership in the data center market, demonstrated by multi-billion dollar segment revenues and </w:t>
      </w:r>
      <w:r>
        <w:t>a documented top-ranking market share in data center Ethernet networking. Based on primary research, the company's ancillary infrastructure revenue distribution can be estimated as virtually non-existent, based on its architectural focus on compute engines</w:t>
      </w:r>
      <w:r>
        <w:t>, networking hardware, and full-stack AI platforms.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record annual revenue of $215.9 billion for fiscal year 2026, which ended January 25, 2026, driven primarily by a surge in data center segment sales which reached </w:t>
      </w:r>
      <w:r>
        <w:t>$193.7 billion.</w:t>
      </w:r>
    </w:p>
    <w:p w:rsidR="00FC3617" w:rsidRDefault="0014512D">
      <w:pPr>
        <w:pStyle w:val="ListBullet"/>
        <w:spacing w:after="60"/>
        <w:ind w:left="510"/>
      </w:pPr>
      <w:r>
        <w:t>In calendar Q1 2026, the company generated $2.1 billion in data center Ethernet switch revenue, capturing a leading 21.5% market share in the global data center switching market segment.</w:t>
      </w:r>
    </w:p>
    <w:p w:rsidR="00FC3617" w:rsidRDefault="0014512D">
      <w:pPr>
        <w:keepNext/>
        <w:pBdr>
          <w:left w:val="single" w:sz="24" w:space="6" w:color="52B69A"/>
        </w:pBdr>
        <w:spacing w:before="120" w:after="60"/>
        <w:ind w:left="170"/>
      </w:pPr>
      <w:r>
        <w:rPr>
          <w:b/>
          <w:color w:val="0F172A"/>
          <w:sz w:val="20"/>
        </w:rPr>
        <w:lastRenderedPageBreak/>
        <w:t>Installed Base &amp; Deployments — scored 100/100</w:t>
      </w:r>
    </w:p>
    <w:p w:rsidR="00FC3617" w:rsidRDefault="0014512D">
      <w:pPr>
        <w:keepNext/>
        <w:pBdr>
          <w:left w:val="single" w:sz="24" w:space="6" w:color="52B69A"/>
        </w:pBdr>
        <w:ind w:left="170"/>
      </w:pPr>
      <w:r>
        <w:t>The rat</w:t>
      </w:r>
      <w:r>
        <w:t>ing rests on the company's verified massive-scale hardware deployments across leading global hyperscale clouds and a dominant global footprint of millions of shipped data center processors. Based on primary research, the company's commercial enterprise sof</w:t>
      </w:r>
      <w:r>
        <w:t>tware license retention can be estimated as strong and sticky, based on its expanding base of enterprise software customers and NVIDIA AI Enterprise adoption.</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reported shipping 3.76 million data center GPUs globally in 2023 al</w:t>
      </w:r>
      <w:r>
        <w:t>one, securing approximately 98% of the data center GPU market share according to an operational analysis cited by Tom's Hardware.</w:t>
      </w:r>
    </w:p>
    <w:p w:rsidR="00FC3617" w:rsidRDefault="0014512D">
      <w:pPr>
        <w:pStyle w:val="ListBullet"/>
        <w:spacing w:after="60"/>
        <w:ind w:left="510"/>
      </w:pPr>
      <w:r>
        <w:t>Amazon Web Services (AWS) announced an expanded infrastructure agreement in August 2026 to deploy an additional 2 million NVID</w:t>
      </w:r>
      <w:r>
        <w:t>IA Blackwell Ultra, Rubin, and Rubin Ultra GPUs across its global infrastructure in 2027 and 2028, following a previous deployment plan of over 1 million GPUs starting in 2026.</w:t>
      </w:r>
    </w:p>
    <w:p w:rsidR="00FC3617" w:rsidRDefault="0014512D">
      <w:pPr>
        <w:keepNext/>
        <w:pBdr>
          <w:left w:val="single" w:sz="24" w:space="6" w:color="52B69A"/>
        </w:pBdr>
        <w:spacing w:before="120" w:after="60"/>
        <w:ind w:left="170"/>
      </w:pPr>
      <w:r>
        <w:rPr>
          <w:b/>
          <w:color w:val="0F172A"/>
          <w:sz w:val="20"/>
        </w:rPr>
        <w:t>Strategic Partnerships &amp; Channels — scored 100/100</w:t>
      </w:r>
    </w:p>
    <w:p w:rsidR="00FC3617" w:rsidRDefault="0014512D">
      <w:pPr>
        <w:keepNext/>
        <w:pBdr>
          <w:left w:val="single" w:sz="24" w:space="6" w:color="52B69A"/>
        </w:pBdr>
        <w:ind w:left="170"/>
      </w:pPr>
      <w:r>
        <w:t>We verified that the company</w:t>
      </w:r>
      <w:r>
        <w:t xml:space="preserve"> maintains an extensive global channel network spanning top-tier server OEMs and multinational IT distributors to scale its full-stack data center computing, networking, and software solutions. Based on primary research, the company's indirect channel vers</w:t>
      </w:r>
      <w:r>
        <w:t>us direct sales breakdown can be estimated as significantly channel-driven, based on its global partner network expansion and massive direct shipments to cloud service providers.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development of joint turnkey data center portfolios, in</w:t>
      </w:r>
      <w:r>
        <w:t>cluding the Dell AI Factory with NVIDIA and the HPE AI Factory with NVIDIA, which integrate NVIDIA accelerated compute, Spectrum-X Ethernet networking, and software suites directly into server architectures from Dell Technologies, Hewlett Packard Enterpris</w:t>
      </w:r>
      <w:r>
        <w:t>e, and Lenovo.</w:t>
      </w:r>
    </w:p>
    <w:p w:rsidR="00FC3617" w:rsidRDefault="0014512D">
      <w:pPr>
        <w:pStyle w:val="ListBullet"/>
        <w:spacing w:after="60"/>
        <w:ind w:left="510"/>
      </w:pPr>
      <w:r>
        <w:t xml:space="preserve">Global channel distribution and logistics agreements with tier-one IT distributors, including Arrow Electronics, which acts as a major North American distributor supporting value-added resellers and systems integrators, and TD SYNNEX, which </w:t>
      </w:r>
      <w:r>
        <w:t>provides authorized distribution for data center infrastructure.</w:t>
      </w:r>
    </w:p>
    <w:p w:rsidR="00FC3617" w:rsidRDefault="0014512D">
      <w:pPr>
        <w:keepNext/>
        <w:pBdr>
          <w:left w:val="single" w:sz="24" w:space="6" w:color="52B69A"/>
        </w:pBdr>
        <w:spacing w:before="120" w:after="60"/>
        <w:ind w:left="170"/>
      </w:pPr>
      <w:r>
        <w:rPr>
          <w:b/>
          <w:color w:val="0F172A"/>
          <w:sz w:val="20"/>
        </w:rPr>
        <w:t>R&amp;D Investment &amp; Financial Strength — scored 100/100</w:t>
      </w:r>
    </w:p>
    <w:p w:rsidR="00FC3617" w:rsidRDefault="0014512D">
      <w:pPr>
        <w:keepNext/>
        <w:pBdr>
          <w:left w:val="single" w:sz="24" w:space="6" w:color="52B69A"/>
        </w:pBdr>
        <w:ind w:left="170"/>
      </w:pPr>
      <w:r>
        <w:t>The rating rests on the company's exceptional, multi-billion-dollar R&amp;D expenditure and consecutive upgrades to its creditworthiness along</w:t>
      </w:r>
      <w:r>
        <w:t xml:space="preserve">side surging profitability in its core data center segment. Based on primary research, the company's software versus hardware R&amp;D expenditure separation can be estimated as predominantly hardware focused, based on its continuous release of next-generation </w:t>
      </w:r>
      <w:r>
        <w:t>GPU architectures alongside parallel software stack updates.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NVIDIA reported record financial results for fiscal year 2026 with total annual revenue reaching $215.9 billion, a 65% increase year-over-year, alongside an annual research and </w:t>
      </w:r>
      <w:r>
        <w:t>development spending of $18.497 billion, representing approximately 8.5% of its total revenue, according to the company's official financial press release.</w:t>
      </w:r>
    </w:p>
    <w:p w:rsidR="00FC3617" w:rsidRDefault="0014512D">
      <w:pPr>
        <w:pStyle w:val="ListBullet"/>
        <w:spacing w:after="60"/>
        <w:ind w:left="510"/>
      </w:pPr>
      <w:r>
        <w:t xml:space="preserve">S&amp;P Global Ratings upgraded NVIDIA's long-term issuer credit rating and outstanding debt ratings to </w:t>
      </w:r>
      <w:r>
        <w:t>"AA" from "AA-" in June 2026, citing robust free operating cash flow generation and sustained competitive advantage within the data center market ecosystem.</w:t>
      </w:r>
    </w:p>
    <w:p w:rsidR="00FC3617" w:rsidRDefault="0014512D">
      <w:pPr>
        <w:pStyle w:val="Heading2"/>
        <w:pageBreakBefore/>
        <w:shd w:val="clear" w:color="auto" w:fill="002857"/>
        <w:spacing w:after="0"/>
      </w:pPr>
      <w:bookmarkStart w:id="8" w:name="_Toc242935678"/>
      <w:r>
        <w:lastRenderedPageBreak/>
        <w:t>Hewlett Packard Enterprise Company</w:t>
      </w:r>
      <w:bookmarkEnd w:id="8"/>
    </w:p>
    <w:p w:rsidR="00FC3617" w:rsidRDefault="0014512D">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92</w:t>
      </w:r>
      <w:r>
        <w:rPr>
          <w:color w:val="CBD5E1"/>
          <w:sz w:val="18"/>
        </w:rPr>
        <w:t xml:space="preserve">     Overall </w:t>
      </w:r>
      <w:r>
        <w:rPr>
          <w:b/>
          <w:color w:val="FFFFFF"/>
          <w:sz w:val="20"/>
        </w:rPr>
        <w:t>93</w:t>
      </w:r>
    </w:p>
    <w:p w:rsidR="00FC3617" w:rsidRDefault="0014512D">
      <w:pPr>
        <w:keepNext/>
        <w:pBdr>
          <w:bottom w:val="single" w:sz="6" w:space="3" w:color="E2E8F0"/>
        </w:pBdr>
        <w:spacing w:before="120" w:after="120"/>
      </w:pPr>
      <w:r>
        <w:rPr>
          <w:b/>
          <w:caps/>
          <w:color w:val="1A759F"/>
        </w:rPr>
        <w:t>X — Technology Capabi</w:t>
      </w:r>
      <w:r>
        <w:rPr>
          <w:b/>
          <w:caps/>
          <w:color w:val="1A759F"/>
        </w:rPr>
        <w:t>lity</w:t>
      </w:r>
    </w:p>
    <w:p w:rsidR="00FC3617" w:rsidRDefault="0014512D">
      <w:pPr>
        <w:keepNext/>
        <w:pBdr>
          <w:left w:val="single" w:sz="24" w:space="6" w:color="52B69A"/>
        </w:pBdr>
        <w:spacing w:before="120" w:after="60"/>
        <w:ind w:left="170"/>
      </w:pPr>
      <w:r>
        <w:rPr>
          <w:b/>
          <w:color w:val="0F172A"/>
          <w:sz w:val="20"/>
        </w:rPr>
        <w:t>Compute &amp; Storage Performance — scored 98/100</w:t>
      </w:r>
    </w:p>
    <w:p w:rsidR="00FC3617" w:rsidRDefault="0014512D">
      <w:pPr>
        <w:keepNext/>
        <w:pBdr>
          <w:left w:val="single" w:sz="24" w:space="6" w:color="52B69A"/>
        </w:pBdr>
        <w:ind w:left="170"/>
      </w:pPr>
      <w:r>
        <w:t>The rating rests on top-tier processing power and storage throughput validated via independent SPEC CPU and SPECstorage benchmark tests across standard data center architectures. Based on primary research,</w:t>
      </w:r>
      <w:r>
        <w:t xml:space="preserve"> the company's uniform IOPS performance metrics across custom cloud configurations can be estimated as specialized and variable depending on customer architecture, based on its tailored high-performance computing portfolios and custom hyperscale client arc</w:t>
      </w:r>
      <w:r>
        <w:t>hitectures.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Hewlett Packard Enterprise ProLiant DL380 Gen11 server configured with an Intel Xeon Platinum 8592V processor achieved a verified SPECrate2017_int_base score of 1060 and a SPECrate2017_int_peak score of 1100, according to </w:t>
      </w:r>
      <w:r>
        <w:t>independent benchmark results published by the Standard Performance Evaluation Corporation (SPEC).</w:t>
      </w:r>
    </w:p>
    <w:p w:rsidR="00FC3617" w:rsidRDefault="0014512D">
      <w:pPr>
        <w:pStyle w:val="ListBullet"/>
        <w:spacing w:after="60"/>
        <w:ind w:left="510"/>
      </w:pPr>
      <w:r>
        <w:t>The company reports that its HPE Alletra Storage Server 4110 running the WEKA Data Platform broke performance records on the SPECstorage Solution 2020 benchm</w:t>
      </w:r>
      <w:r>
        <w:t>ark, demonstrating a 2.1x increase in scalability and a 2x throughput enhancement for AI image processing workloads, as published on the HPE Community Portal.</w:t>
      </w:r>
    </w:p>
    <w:p w:rsidR="00FC3617" w:rsidRDefault="0014512D">
      <w:pPr>
        <w:keepNext/>
        <w:pBdr>
          <w:left w:val="single" w:sz="24" w:space="6" w:color="52B69A"/>
        </w:pBdr>
        <w:spacing w:before="120" w:after="60"/>
        <w:ind w:left="170"/>
      </w:pPr>
      <w:r>
        <w:rPr>
          <w:b/>
          <w:color w:val="0F172A"/>
          <w:sz w:val="20"/>
        </w:rPr>
        <w:t>Power &amp; Cooling Efficiency — scored 84/100</w:t>
      </w:r>
    </w:p>
    <w:p w:rsidR="00FC3617" w:rsidRDefault="0014512D">
      <w:pPr>
        <w:keepNext/>
        <w:pBdr>
          <w:left w:val="single" w:sz="24" w:space="6" w:color="52B69A"/>
        </w:pBdr>
        <w:ind w:left="170"/>
      </w:pPr>
      <w:r>
        <w:t xml:space="preserve">The evaluation is based on the company's documented </w:t>
      </w:r>
      <w:r>
        <w:t xml:space="preserve">deployment configurations and self-reported efficiency performance for its modular data center containers and direct liquid cooling architectures. Based on primary research, the company's energy efficiency performance of dedicated power hardware lines can </w:t>
      </w:r>
      <w:r>
        <w:t>be estimated as exceptional, minimizing data center infrastructure distribution losses, based on its DirectFlow UPS industry-leading energy density and billing-grade accuracy G2 metered PDU lines.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 modular data center joint solution anno</w:t>
      </w:r>
      <w:r>
        <w:t xml:space="preserve">unced in June 2024 by Hewlett Packard Enterprise and Danfoss integrates direct liquid cooling and Danfoss Turbocor compressors to lower energy consumption by 20% and achieve a Power Usage Effectiveness (PUE) of 1.1, as reported in a joint press release by </w:t>
      </w:r>
      <w:r>
        <w:t>Hewlett Packard Enterprise.</w:t>
      </w:r>
    </w:p>
    <w:p w:rsidR="00FC3617" w:rsidRDefault="0014512D">
      <w:pPr>
        <w:pStyle w:val="ListBullet"/>
        <w:spacing w:after="60"/>
        <w:ind w:left="510"/>
      </w:pPr>
      <w:r>
        <w:t xml:space="preserve">The company's HPE Adaptive Rack Cooling System (ARCS) is a closed-loop liquid-to-air cooling solution that can achieve up to an 87.3% reduction in cooling-related power consumption and power usage effectiveness impact according </w:t>
      </w:r>
      <w:r>
        <w:t>to internal product evaluations published by Hewlett Packard Enterprise.</w:t>
      </w:r>
    </w:p>
    <w:p w:rsidR="00FC3617" w:rsidRDefault="0014512D">
      <w:pPr>
        <w:keepNext/>
        <w:pBdr>
          <w:left w:val="single" w:sz="24" w:space="6" w:color="52B69A"/>
        </w:pBdr>
        <w:spacing w:before="120" w:after="60"/>
        <w:ind w:left="170"/>
      </w:pPr>
      <w:r>
        <w:rPr>
          <w:b/>
          <w:color w:val="0F172A"/>
          <w:sz w:val="20"/>
        </w:rPr>
        <w:t>Rack &amp; Enclosure Density — scored 100/100</w:t>
      </w:r>
    </w:p>
    <w:p w:rsidR="00FC3617" w:rsidRDefault="0014512D">
      <w:pPr>
        <w:keepNext/>
        <w:pBdr>
          <w:left w:val="single" w:sz="24" w:space="6" w:color="52B69A"/>
        </w:pBdr>
        <w:ind w:left="170"/>
      </w:pPr>
      <w:r>
        <w:t>We verified that the company has proven high-density engineering via its fanless liquid-cooled supercomputing cabinets and modular containeri</w:t>
      </w:r>
      <w:r>
        <w:t>zed systems. Based on primary research, the company's maximum kilowatts per rack rating can be estimated as high, optimized for high-density computing configurations, based on its 3,000 pounds of dynamic loading capacity and 80% open perforation cooling do</w:t>
      </w:r>
      <w:r>
        <w:t>ors.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According to the official product specifications, the HPE Cray Supercomputing EX4000 cabinet incorporates a fanless direct liquid cooling design that supports 4 power shelves per cabinet, housing up to 32 total 15kW rectifiers to del</w:t>
      </w:r>
      <w:r>
        <w:t>iver massive high-density power.</w:t>
      </w:r>
    </w:p>
    <w:p w:rsidR="00FC3617" w:rsidRDefault="0014512D">
      <w:pPr>
        <w:pStyle w:val="ListBullet"/>
        <w:spacing w:after="60"/>
        <w:ind w:left="510"/>
      </w:pPr>
      <w:r>
        <w:t>According to an independent data center case study published by Eaton, HP Enterprise designed its scalable Modular Data Center (MDC) deployments using optimized infrastructure architectures capable of handling power densiti</w:t>
      </w:r>
      <w:r>
        <w:t>es up to 27kW or even 32kW per rack.</w:t>
      </w:r>
    </w:p>
    <w:p w:rsidR="00FC3617" w:rsidRDefault="0014512D">
      <w:pPr>
        <w:keepNext/>
        <w:pBdr>
          <w:left w:val="single" w:sz="24" w:space="6" w:color="52B69A"/>
        </w:pBdr>
        <w:spacing w:before="120" w:after="60"/>
        <w:ind w:left="170"/>
      </w:pPr>
      <w:r>
        <w:rPr>
          <w:b/>
          <w:color w:val="0F172A"/>
          <w:sz w:val="20"/>
        </w:rPr>
        <w:t>DCIM &amp; Management Software — scored 90/100</w:t>
      </w:r>
    </w:p>
    <w:p w:rsidR="00FC3617" w:rsidRDefault="0014512D">
      <w:pPr>
        <w:keepNext/>
        <w:pBdr>
          <w:left w:val="single" w:sz="24" w:space="6" w:color="52B69A"/>
        </w:pBdr>
        <w:ind w:left="170"/>
      </w:pPr>
      <w:r>
        <w:t>The rating rests on confirmed software capabilities via the HPE OneView unified API and cloud-based management options tailored toward IT infrastructure automation and server l</w:t>
      </w:r>
      <w:r>
        <w:t>ifecycle health. Based on primary research, the company's dedicated facilities-side thermal cooling software deployments can be estimated as comprehensive, integrating telemetry up to the facility level, based on its Chassis Management Modules, HPE Sustain</w:t>
      </w:r>
      <w:r>
        <w:t>ability Insight Center, and direct liquid cooling digital twins.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HPE OneView unified API provides configuration, health, and performance data to data center infrastructure management (DCIM) platforms to ensure</w:t>
      </w:r>
      <w:r>
        <w:t xml:space="preserve"> a holistic view of the physical stack.</w:t>
      </w:r>
    </w:p>
    <w:p w:rsidR="00FC3617" w:rsidRDefault="0014512D">
      <w:pPr>
        <w:pStyle w:val="ListBullet"/>
        <w:spacing w:after="60"/>
        <w:ind w:left="510"/>
      </w:pPr>
      <w:r>
        <w:lastRenderedPageBreak/>
        <w:t xml:space="preserve">The company reports that its cloud-native server management platform, HPE Compute Ops Management, provides AI-driven insights and automated diagnostics to optimize computing fleet environments for deployments across </w:t>
      </w:r>
      <w:r>
        <w:t>edge and data center infrastructure, supporting clients such as Booking.com and Worldstream.</w:t>
      </w:r>
    </w:p>
    <w:p w:rsidR="00FC3617" w:rsidRDefault="0014512D">
      <w:pPr>
        <w:keepNext/>
        <w:pBdr>
          <w:left w:val="single" w:sz="24" w:space="6" w:color="52B69A"/>
        </w:pBdr>
        <w:spacing w:before="120" w:after="60"/>
        <w:ind w:left="170"/>
      </w:pPr>
      <w:r>
        <w:rPr>
          <w:b/>
          <w:color w:val="0F172A"/>
          <w:sz w:val="20"/>
        </w:rPr>
        <w:t>AI &amp; Sustainability Innovation — scored 99/100</w:t>
      </w:r>
    </w:p>
    <w:p w:rsidR="00FC3617" w:rsidRDefault="0014512D">
      <w:pPr>
        <w:keepNext/>
        <w:pBdr>
          <w:left w:val="single" w:sz="24" w:space="6" w:color="52B69A"/>
        </w:pBdr>
        <w:ind w:left="170"/>
      </w:pPr>
      <w:r>
        <w:t>The rating rests on verified multi-year R&amp;D projects developing predictive AI models for data center power efficienc</w:t>
      </w:r>
      <w:r>
        <w:t>y alongside commercial deployment of integrated infrastructure telemetry tools for carbon tracking. Based on primary research, the company's enterprise customer base automating infrastructure shutdowns via agentic AI can be estimated as emerging, scaling a</w:t>
      </w:r>
      <w:r>
        <w:t>longside autonomous operations adoption, based on its AIOps for Alletra Storage MP using AI agents and widespread InfoSight predictive support systems.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Hewlett Packard Enterprise partnered with the Department of Energy’s National Renewabl</w:t>
      </w:r>
      <w:r>
        <w:t xml:space="preserve">e Energy Laboratory (NREL) on the "AI Ops R&amp;D collaboration" project to train machine learning models using historical sensor data from NREL’s High-Performance Computing Data Center to predict anomalies and optimize energy efficiency, according to Network </w:t>
      </w:r>
      <w:r>
        <w:t>World.</w:t>
      </w:r>
    </w:p>
    <w:p w:rsidR="00FC3617" w:rsidRDefault="0014512D">
      <w:pPr>
        <w:pStyle w:val="ListBullet"/>
        <w:spacing w:after="60"/>
        <w:ind w:left="510"/>
      </w:pPr>
      <w:r>
        <w:t>The company reports that its HPE Sustainability Insight Center, which integrates with OpsRamp, provides detailed carbon footprint tracking and visibility into energy consumption by site and device across hybrid and multi-cloud infrastructure environ</w:t>
      </w:r>
      <w:r>
        <w:t>ments.</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83/100</w:t>
      </w:r>
    </w:p>
    <w:p w:rsidR="00FC3617" w:rsidRDefault="0014512D">
      <w:pPr>
        <w:keepNext/>
        <w:pBdr>
          <w:left w:val="single" w:sz="24" w:space="6" w:color="52B69A"/>
        </w:pBdr>
        <w:ind w:left="170"/>
      </w:pPr>
      <w:r>
        <w:t>The rating rests on the company's strategic pivot away from manufacturing commodity hardware for top-tier hyperscalers, focusing instead on higher-margin data center contracts with</w:t>
      </w:r>
      <w:r>
        <w:t xml:space="preserve"> Tier 2 cloud providers. Based on primary research, the company's high-margin tier 1 hyperscale buyer revenue can be estimated as expanding rapidly, based on its data center networking revenue jumping over 112% year over year to $382 million due to massive</w:t>
      </w:r>
      <w:r>
        <w:t xml:space="preserve"> artificial intelligence infrastructure demand.</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In fiscal year 2018, Hewlett Packard Enterprise officially ceased selling custom-designed commodity servers to Tier 1 service providers, which the company defined as Amazon, Google, Microsof</w:t>
      </w:r>
      <w:r>
        <w:t>t, Facebook, Apple, Tencent, Alibaba, and Baidu, in order to pivot toward selling higher-margin products.</w:t>
      </w:r>
    </w:p>
    <w:p w:rsidR="00FC3617" w:rsidRDefault="0014512D">
      <w:pPr>
        <w:pStyle w:val="ListBullet"/>
        <w:spacing w:after="60"/>
        <w:ind w:left="510"/>
      </w:pPr>
      <w:r>
        <w:t>The company reported a $1.2 billion artificial intelligence infrastructure order from cloud service provider Vultr to supply its data center computing</w:t>
      </w:r>
      <w:r>
        <w:t xml:space="preserve"> systems.</w:t>
      </w:r>
    </w:p>
    <w:p w:rsidR="00FC3617" w:rsidRDefault="0014512D">
      <w:pPr>
        <w:keepNext/>
        <w:pBdr>
          <w:left w:val="single" w:sz="24" w:space="6" w:color="52B69A"/>
        </w:pBdr>
        <w:spacing w:before="120" w:after="60"/>
        <w:ind w:left="170"/>
      </w:pPr>
      <w:r>
        <w:rPr>
          <w:b/>
          <w:color w:val="0F172A"/>
          <w:sz w:val="20"/>
        </w:rPr>
        <w:t>Global Revenue &amp; Market Share — scored 93/100</w:t>
      </w:r>
    </w:p>
    <w:p w:rsidR="00FC3617" w:rsidRDefault="0014512D">
      <w:pPr>
        <w:keepNext/>
        <w:pBdr>
          <w:left w:val="single" w:sz="24" w:space="6" w:color="52B69A"/>
        </w:pBdr>
        <w:ind w:left="170"/>
      </w:pPr>
      <w:r>
        <w:t xml:space="preserve">We verified the company's robust data center infrastructure presence across compute, storage, and networking product segments, supported by detailed segment revenue reporting and strong international </w:t>
      </w:r>
      <w:r>
        <w:t xml:space="preserve">diversity. Based on primary research, the company's comprehensive data center technology infrastructure market share can be estimated as strong, in line with leading vendors, based on its position as a leading global data center infrastructure player with </w:t>
      </w:r>
      <w:r>
        <w:t>over $12 billion in quarterly revenue.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for its third quarter of fiscal 2026, its Cloud &amp; AI segment generated $9.0 billion in revenue—including $6.8 billion from Server products and $1.3 billion from Storage produ</w:t>
      </w:r>
      <w:r>
        <w:t>cts—while its Data Center Networking product line grew 112.2% year-over-year to $382 million, according to financial data published on the Hewlett Packard Enterprise Investor Relations platform.</w:t>
      </w:r>
    </w:p>
    <w:p w:rsidR="00FC3617" w:rsidRDefault="0014512D">
      <w:pPr>
        <w:pStyle w:val="ListBullet"/>
        <w:spacing w:after="60"/>
        <w:ind w:left="510"/>
      </w:pPr>
      <w:r>
        <w:t>The company reports that for the full fiscal year 2025, its t</w:t>
      </w:r>
      <w:r>
        <w:t>otal net revenue grew to $34.3 billion (up 14% year-over-year in constant currency), with approximately 61% of net revenue generated from non-U.S. sales, according to its Fiscal 2025 Annual Report on Form 10-K.</w:t>
      </w:r>
    </w:p>
    <w:p w:rsidR="00FC3617" w:rsidRDefault="0014512D">
      <w:pPr>
        <w:keepNext/>
        <w:pBdr>
          <w:left w:val="single" w:sz="24" w:space="6" w:color="52B69A"/>
        </w:pBdr>
        <w:spacing w:before="120" w:after="60"/>
        <w:ind w:left="170"/>
      </w:pPr>
      <w:r>
        <w:rPr>
          <w:b/>
          <w:color w:val="0F172A"/>
          <w:sz w:val="20"/>
        </w:rPr>
        <w:t>Installed Base &amp; Deployments — scored 96/100</w:t>
      </w:r>
    </w:p>
    <w:p w:rsidR="00FC3617" w:rsidRDefault="0014512D">
      <w:pPr>
        <w:keepNext/>
        <w:pBdr>
          <w:left w:val="single" w:sz="24" w:space="6" w:color="52B69A"/>
        </w:pBdr>
        <w:ind w:left="170"/>
      </w:pPr>
      <w:r>
        <w:t>The rating rests on the company's massive, multi-million system active deployment footprint and high customer retention metrics across its core data center infrastructure management platform. Based on primary research, the company's standalone legacy hardw</w:t>
      </w:r>
      <w:r>
        <w:t>are unit installation counts can be estimated as vast across enterprise environments, based on its portfolio of millions of ProLiant compute servers and traditional storage arrays shipped globally.</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reported during its Q3 2026 </w:t>
      </w:r>
      <w:r>
        <w:t>earnings conference call that its HPE GreenLake cloud platform has grown to serve 52,000 customers globally, an 18% increase year-over-year.</w:t>
      </w:r>
    </w:p>
    <w:p w:rsidR="00FC3617" w:rsidRDefault="0014512D">
      <w:pPr>
        <w:pStyle w:val="ListBullet"/>
        <w:spacing w:after="60"/>
        <w:ind w:left="510"/>
      </w:pPr>
      <w:r>
        <w:lastRenderedPageBreak/>
        <w:t>The company reported during its Q2 2026 earnings call that its customer base actively manages more than 6.7 million</w:t>
      </w:r>
      <w:r>
        <w:t xml:space="preserve"> systems (up from 5.3 million systems a year prior) via the HPE GreenLake cloud platform, while maintaining a services net retention rate near 110%.</w:t>
      </w:r>
    </w:p>
    <w:p w:rsidR="00FC3617" w:rsidRDefault="0014512D">
      <w:pPr>
        <w:keepNext/>
        <w:pBdr>
          <w:left w:val="single" w:sz="24" w:space="6" w:color="52B69A"/>
        </w:pBdr>
        <w:spacing w:before="120" w:after="60"/>
        <w:ind w:left="170"/>
      </w:pPr>
      <w:r>
        <w:rPr>
          <w:b/>
          <w:color w:val="0F172A"/>
          <w:sz w:val="20"/>
        </w:rPr>
        <w:t>Strategic Partnerships &amp; Channels — scored 96/100</w:t>
      </w:r>
    </w:p>
    <w:p w:rsidR="00FC3617" w:rsidRDefault="0014512D">
      <w:pPr>
        <w:keepNext/>
        <w:pBdr>
          <w:left w:val="single" w:sz="24" w:space="6" w:color="52B69A"/>
        </w:pBdr>
        <w:ind w:left="170"/>
      </w:pPr>
      <w:r>
        <w:t>The rating rests on confirmed global data center networki</w:t>
      </w:r>
      <w:r>
        <w:t>ng expansions with Oracle and highly structured tiering programs with global IT distributors like TD SYNNEX. Based on primary research, the company's partner tiers revenue geographic breakdown can be estimated as broad across the major geographic segments,</w:t>
      </w:r>
      <w:r>
        <w:t xml:space="preserve"> based on its global base of 47,000 channel partners across the Americas, Europe, Middle East, Africa, and Asia Pacific.</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Hewlett Packard Enterprise announced the expansion of its global artificial intelligence infrastructure partnership w</w:t>
      </w:r>
      <w:r>
        <w:t>ith Oracle in 2026, integrating HPE Juniper Networking within Oracle AI data centers.</w:t>
      </w:r>
    </w:p>
    <w:p w:rsidR="00FC3617" w:rsidRDefault="0014512D">
      <w:pPr>
        <w:pStyle w:val="ListBullet"/>
        <w:spacing w:after="60"/>
        <w:ind w:left="510"/>
      </w:pPr>
      <w:r>
        <w:t>Hewlett Packard Enterprise honors global distributors and technology partners through its specialized channel programs, recognizing TD SYNNEX as its Global Distributor of</w:t>
      </w:r>
      <w:r>
        <w:t xml:space="preserve"> the Year and Microsoft as its Global Technology Partner at the HPE Partner Growth Summit 2025.</w:t>
      </w:r>
    </w:p>
    <w:p w:rsidR="00FC3617" w:rsidRDefault="0014512D">
      <w:pPr>
        <w:keepNext/>
        <w:pBdr>
          <w:left w:val="single" w:sz="24" w:space="6" w:color="52B69A"/>
        </w:pBdr>
        <w:spacing w:before="120" w:after="60"/>
        <w:ind w:left="170"/>
      </w:pPr>
      <w:r>
        <w:rPr>
          <w:b/>
          <w:color w:val="0F172A"/>
          <w:sz w:val="20"/>
        </w:rPr>
        <w:t>R&amp;D Investment &amp; Financial Strength — scored 93/100</w:t>
      </w:r>
    </w:p>
    <w:p w:rsidR="00FC3617" w:rsidRDefault="0014512D">
      <w:pPr>
        <w:keepNext/>
        <w:pBdr>
          <w:left w:val="single" w:sz="24" w:space="6" w:color="52B69A"/>
        </w:pBdr>
        <w:ind w:left="170"/>
      </w:pPr>
      <w:r>
        <w:t xml:space="preserve">The rating rests on the company's multi-billion dollar annual innovation budget and robust double-digit </w:t>
      </w:r>
      <w:r>
        <w:t>quarterly revenue growth fueled by the integration of its newly acquired networking business. Based on primary research, the company's data center cooling and physical infrastructure software r&amp;d percentage can be estimated as moderate but growing steadily</w:t>
      </w:r>
      <w:r>
        <w:t>, based on its multi-decade legacy in fanless direct liquid cooling technology powering the largest systems along with core tools like compute ops management and intelligent automated storage.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Hewlett Packard Enterprise reported research </w:t>
      </w:r>
      <w:r>
        <w:t>and development expenditures of $2.5 billion for the fiscal year ended October 31, 2025, which represents approximately 7% of its total net revenue of $33.529 billion, according to the company's annual report on Form 10-K.</w:t>
      </w:r>
    </w:p>
    <w:p w:rsidR="00FC3617" w:rsidRDefault="0014512D">
      <w:pPr>
        <w:pStyle w:val="ListBullet"/>
        <w:spacing w:after="60"/>
        <w:ind w:left="510"/>
      </w:pPr>
      <w:r>
        <w:t>The company reported a record fin</w:t>
      </w:r>
      <w:r>
        <w:t>ancial performance for the third quarter of fiscal 2026 with a revenue increase of 34% year-over-year to $12.2 billion, driven by surging demand for AI infrastructure and its acquisition of Juniper Networks.</w:t>
      </w:r>
    </w:p>
    <w:p w:rsidR="00FC3617" w:rsidRDefault="0014512D">
      <w:pPr>
        <w:pStyle w:val="Heading2"/>
        <w:pageBreakBefore/>
        <w:shd w:val="clear" w:color="auto" w:fill="002857"/>
        <w:spacing w:after="0"/>
      </w:pPr>
      <w:bookmarkStart w:id="9" w:name="_Toc242935679"/>
      <w:r>
        <w:lastRenderedPageBreak/>
        <w:t>Dell Technologies Inc.</w:t>
      </w:r>
      <w:bookmarkEnd w:id="9"/>
    </w:p>
    <w:p w:rsidR="00FC3617" w:rsidRDefault="0014512D">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91</w:t>
      </w:r>
      <w:r>
        <w:rPr>
          <w:color w:val="CBD5E1"/>
          <w:sz w:val="18"/>
        </w:rPr>
        <w:t xml:space="preserve">     Overall </w:t>
      </w:r>
      <w:r>
        <w:rPr>
          <w:b/>
          <w:color w:val="FFFFFF"/>
          <w:sz w:val="20"/>
        </w:rPr>
        <w:t>92</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96/100</w:t>
      </w:r>
    </w:p>
    <w:p w:rsidR="00FC3617" w:rsidRDefault="0014512D">
      <w:pPr>
        <w:keepNext/>
        <w:pBdr>
          <w:left w:val="single" w:sz="24" w:space="6" w:color="52B69A"/>
        </w:pBdr>
        <w:ind w:left="170"/>
      </w:pPr>
      <w:r>
        <w:t>The rating rests on independent third-party validation of the company's high-end storage array throughput alongside robust, updated internal SPEC CPU integer processi</w:t>
      </w:r>
      <w:r>
        <w:t>ng benchmark records across its core data center server architecture. Based on primary research, the company's hyperscale infrastructure specint performance can be estimated as strong, in line with leading vendors, based on its AMD EPYC and Intel Xeon benc</w:t>
      </w:r>
      <w:r>
        <w:t>hmark results for PowerEdge servers.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Dell PowerEdge R770 and R670 two-socket servers with 86-core 6th Generation Intel Xeon processors achieved a CPU Integer Rate Base score of 1550 during internal performance lab testing on March 10,</w:t>
      </w:r>
      <w:r>
        <w:t xml:space="preserve"> 2025, providing a significant uplift over the previous-generation PowerEdge R760 server's score of 1070, according to a Dell Technologies Info Hub benchmark report.</w:t>
      </w:r>
    </w:p>
    <w:p w:rsidR="00FC3617" w:rsidRDefault="0014512D">
      <w:pPr>
        <w:pStyle w:val="ListBullet"/>
        <w:spacing w:after="60"/>
        <w:ind w:left="510"/>
      </w:pPr>
      <w:r>
        <w:t>In an independent hands-on study released by Principled Technologies in May 2026, the Dell</w:t>
      </w:r>
      <w:r>
        <w:t xml:space="preserve"> PowerStore 9500 all-NVMe enterprise storage array demonstrated superior performance, lower latency, and higher storage density in IOPS and workload throughput tests compared to a prominent competing all-NVMe array.</w:t>
      </w:r>
    </w:p>
    <w:p w:rsidR="00FC3617" w:rsidRDefault="0014512D">
      <w:pPr>
        <w:keepNext/>
        <w:pBdr>
          <w:left w:val="single" w:sz="24" w:space="6" w:color="52B69A"/>
        </w:pBdr>
        <w:spacing w:before="120" w:after="60"/>
        <w:ind w:left="170"/>
      </w:pPr>
      <w:r>
        <w:rPr>
          <w:b/>
          <w:color w:val="0F172A"/>
          <w:sz w:val="20"/>
        </w:rPr>
        <w:t>Power &amp; Cooling Efficiency — scored 100/</w:t>
      </w:r>
      <w:r>
        <w:rPr>
          <w:b/>
          <w:color w:val="0F172A"/>
          <w:sz w:val="20"/>
        </w:rPr>
        <w:t>100</w:t>
      </w:r>
    </w:p>
    <w:p w:rsidR="00FC3617" w:rsidRDefault="0014512D">
      <w:pPr>
        <w:keepNext/>
        <w:pBdr>
          <w:left w:val="single" w:sz="24" w:space="6" w:color="52B69A"/>
        </w:pBdr>
        <w:ind w:left="170"/>
      </w:pPr>
      <w:r>
        <w:t>The rating is based on confirmed third-party deployments demonstrating significant PUE optimizations and server-level innovations like direct liquid cooling, warm water cooling loops, and intelligent airflow architectures. Based on primary research, th</w:t>
      </w:r>
      <w:r>
        <w:t>e company's standalone PDU or UPS cooling efficiency can be estimated as optimized for standard facility integrations, based on its iDRAC telemetry guides and thermal metrics for power supply units.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Co-designed by Dell Technologies, Intel</w:t>
      </w:r>
      <w:r>
        <w:t>, and the University of Cambridge, the Dawn supercomputer achieved a Power Usage Effectiveness (PUE) of 1.14 using direct liquid cooling built into the system.</w:t>
      </w:r>
    </w:p>
    <w:p w:rsidR="00FC3617" w:rsidRDefault="0014512D">
      <w:pPr>
        <w:pStyle w:val="ListBullet"/>
        <w:spacing w:after="60"/>
        <w:ind w:left="510"/>
      </w:pPr>
      <w:r>
        <w:t>In a case study involving the digital communications and archival platform Smarsh, the deploymen</w:t>
      </w:r>
      <w:r>
        <w:t>t of Dell PowerMax and PowerStore architecture alongside Dell AIOps allowed the client to compress its data center infrastructure footprint by 67% and cut monthly operational expenses by over $200,000.</w:t>
      </w:r>
    </w:p>
    <w:p w:rsidR="00FC3617" w:rsidRDefault="0014512D">
      <w:pPr>
        <w:keepNext/>
        <w:pBdr>
          <w:left w:val="single" w:sz="24" w:space="6" w:color="52B69A"/>
        </w:pBdr>
        <w:spacing w:before="120" w:after="60"/>
        <w:ind w:left="170"/>
      </w:pPr>
      <w:r>
        <w:rPr>
          <w:b/>
          <w:color w:val="0F172A"/>
          <w:sz w:val="20"/>
        </w:rPr>
        <w:t>Rack &amp; Enclosure Density — scored 96/100</w:t>
      </w:r>
    </w:p>
    <w:p w:rsidR="00FC3617" w:rsidRDefault="0014512D">
      <w:pPr>
        <w:keepNext/>
        <w:pBdr>
          <w:left w:val="single" w:sz="24" w:space="6" w:color="52B69A"/>
        </w:pBdr>
        <w:ind w:left="170"/>
      </w:pPr>
      <w:r>
        <w:t>The rating re</w:t>
      </w:r>
      <w:r>
        <w:t>sts on the company's extensive technical portfolio of high-density rack infrastructures and scalable modular data centers optimized for power loads up to 504 kW. Based on primary research, the company's real-world operational efficiency at high density can</w:t>
      </w:r>
      <w:r>
        <w:t xml:space="preserve"> be estimated as highly efficient for complex computing setups, based on its liquid-cooled PowerEdge XE servers and Open Compute Project integration.</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Dell PowerRack Integrated Rack Scalable Systems support ext</w:t>
      </w:r>
      <w:r>
        <w:t>reme-density workloads by managing up to 504 kW per ORv3 rack while utilizing a 4U PowerCool Rack-mounted Coolant Distribution Unit that supplies up to 160 kW of cooling capacity, according to the Dell Integrated Rack Scalable Systems Page.</w:t>
      </w:r>
    </w:p>
    <w:p w:rsidR="00FC3617" w:rsidRDefault="0014512D">
      <w:pPr>
        <w:pStyle w:val="ListBullet"/>
        <w:spacing w:after="60"/>
        <w:ind w:left="510"/>
      </w:pPr>
      <w:r>
        <w:t>The company rep</w:t>
      </w:r>
      <w:r>
        <w:t>orts that its Modular Data Center Flex and Click product lines support scalable buildouts utilizing 48RU racks configured to handle between 5 kW and 115 kW of power and cooling capacity per rack, as detailed on the Dell Modular Data Center Solutions Page.</w:t>
      </w:r>
    </w:p>
    <w:p w:rsidR="00FC3617" w:rsidRDefault="0014512D">
      <w:pPr>
        <w:keepNext/>
        <w:pBdr>
          <w:left w:val="single" w:sz="24" w:space="6" w:color="52B69A"/>
        </w:pBdr>
        <w:spacing w:before="120" w:after="60"/>
        <w:ind w:left="170"/>
      </w:pPr>
      <w:r>
        <w:rPr>
          <w:b/>
          <w:color w:val="0F172A"/>
          <w:sz w:val="20"/>
        </w:rPr>
        <w:t>DCIM &amp; Management Software — scored 89/100</w:t>
      </w:r>
    </w:p>
    <w:p w:rsidR="00FC3617" w:rsidRDefault="0014512D">
      <w:pPr>
        <w:keepNext/>
        <w:pBdr>
          <w:left w:val="single" w:sz="24" w:space="6" w:color="52B69A"/>
        </w:pBdr>
        <w:ind w:left="170"/>
      </w:pPr>
      <w:r>
        <w:t>The rating rests on Dell Technologies' established product documentation for its OpenManage Enterprise management suite and its proactive telemetry features. Based on primary research, the company's external build</w:t>
      </w:r>
      <w:r>
        <w:t>ing management system integration can be estimated as broad across open automation protocols, based on its Integrated Dell Remote Access Controller real-time monitoring features.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Dell Technologies offers OpenManage Enterprise, a specializ</w:t>
      </w:r>
      <w:r>
        <w:t>ed console designed to monitor and control power consumption, track carbon emissions, and evaluate thermal health and resource utilization across up to 25,000 devices per console (monitoring-only), while the earlier separate Power Manager plug-in functiona</w:t>
      </w:r>
      <w:r>
        <w:t>lity is now integrated natively into OME.</w:t>
      </w:r>
    </w:p>
    <w:p w:rsidR="00FC3617" w:rsidRDefault="0014512D">
      <w:pPr>
        <w:pStyle w:val="ListBullet"/>
        <w:spacing w:after="60"/>
        <w:ind w:left="510"/>
      </w:pPr>
      <w:r>
        <w:lastRenderedPageBreak/>
        <w:t xml:space="preserve">The company's Concept Astro initiative features a data center infrastructure management model that integrates a digital twin built from real-time telemetry and machine learning-driven predictive analytics to </w:t>
      </w:r>
      <w:r>
        <w:t>simulate workloads and optimize infrastructure capacity.</w:t>
      </w:r>
    </w:p>
    <w:p w:rsidR="00FC3617" w:rsidRDefault="0014512D">
      <w:pPr>
        <w:keepNext/>
        <w:pBdr>
          <w:left w:val="single" w:sz="24" w:space="6" w:color="52B69A"/>
        </w:pBdr>
        <w:spacing w:before="120" w:after="60"/>
        <w:ind w:left="170"/>
      </w:pPr>
      <w:r>
        <w:rPr>
          <w:b/>
          <w:color w:val="0F172A"/>
          <w:sz w:val="20"/>
        </w:rPr>
        <w:t>AI &amp; Sustainability Innovation — scored 81/100</w:t>
      </w:r>
    </w:p>
    <w:p w:rsidR="00FC3617" w:rsidRDefault="0014512D">
      <w:pPr>
        <w:keepNext/>
        <w:pBdr>
          <w:left w:val="single" w:sz="24" w:space="6" w:color="52B69A"/>
        </w:pBdr>
        <w:ind w:left="170"/>
      </w:pPr>
      <w:r>
        <w:t xml:space="preserve">The rating rests on the company's self-reported deployment of AI-driven tracking features within its infrastructure software and its active exploration </w:t>
      </w:r>
      <w:r>
        <w:t>of predictive, grid-aware optimization platforms. Based on primary research, the company's enterprise automated predictive maintenance capability can be estimated as scalable across global infrastructure deployments, based on its OpenManage enhancements an</w:t>
      </w:r>
      <w:r>
        <w:t>d real-time environment analytics.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CloudIQ AIOps infrastructure application provides automated energy and use-phase carbon footprint tracking and forecasting at organization, system, and workload levels, accor</w:t>
      </w:r>
      <w:r>
        <w:t>ding to an official corporate release.</w:t>
      </w:r>
    </w:p>
    <w:p w:rsidR="00FC3617" w:rsidRDefault="0014512D">
      <w:pPr>
        <w:pStyle w:val="ListBullet"/>
        <w:spacing w:after="60"/>
        <w:ind w:left="510"/>
      </w:pPr>
      <w:r>
        <w:t>The company announced its Concept Astro program in May 2025, which is an experimental platform utilizing agentic AI, digital twins, and real-time grid data to forecast data center power requirements and optimize workl</w:t>
      </w:r>
      <w:r>
        <w:t>oad scheduling based on green energy availability, according to a company disclosure.</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91/100</w:t>
      </w:r>
    </w:p>
    <w:p w:rsidR="00FC3617" w:rsidRDefault="0014512D">
      <w:pPr>
        <w:keepNext/>
        <w:pBdr>
          <w:left w:val="single" w:sz="24" w:space="6" w:color="52B69A"/>
        </w:pBdr>
        <w:ind w:left="170"/>
      </w:pPr>
      <w:r>
        <w:t xml:space="preserve">The rating rests on confirmed high-volume server infrastructure sales and advanced rack-scale system </w:t>
      </w:r>
      <w:r>
        <w:t>deployments with specialized AI cloud service providers. Based on primary research, the company's primary public cloud facilities hyperscaler contracts can be estimated as minimal compared to sovereign deployment, based on its focus on sovereign AI, enterp</w:t>
      </w:r>
      <w:r>
        <w:t>rise, and neocloud segments with over 5,000 AI server customers.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CoreWeave extended its strategic relationship with Dell Technologies to deploy liquid-cooled Dell Integrated Rack IR7000 systems featuring PowerEdge XE9712 servers to expand</w:t>
      </w:r>
      <w:r>
        <w:t xml:space="preserve"> its specialized AI cloud services platform.</w:t>
      </w:r>
    </w:p>
    <w:p w:rsidR="00FC3617" w:rsidRDefault="0014512D">
      <w:pPr>
        <w:pStyle w:val="ListBullet"/>
        <w:spacing w:after="60"/>
        <w:ind w:left="510"/>
      </w:pPr>
      <w:r>
        <w:t>Dell Technologies shipped Dell PowerRack systems featuring PowerEdge XE9812 servers based on the NVIDIA Vera Rubin platform to CoreWeave on June 1, 2026, to support production AI workloads at cloud scale.</w:t>
      </w:r>
    </w:p>
    <w:p w:rsidR="00FC3617" w:rsidRDefault="0014512D">
      <w:pPr>
        <w:keepNext/>
        <w:pBdr>
          <w:left w:val="single" w:sz="24" w:space="6" w:color="52B69A"/>
        </w:pBdr>
        <w:spacing w:before="120" w:after="60"/>
        <w:ind w:left="170"/>
      </w:pPr>
      <w:r>
        <w:rPr>
          <w:b/>
          <w:color w:val="0F172A"/>
          <w:sz w:val="20"/>
        </w:rPr>
        <w:t>Global</w:t>
      </w:r>
      <w:r>
        <w:rPr>
          <w:b/>
          <w:color w:val="0F172A"/>
          <w:sz w:val="20"/>
        </w:rPr>
        <w:t xml:space="preserve"> Revenue &amp; Market Share — scored 88/100</w:t>
      </w:r>
    </w:p>
    <w:p w:rsidR="00FC3617" w:rsidRDefault="0014512D">
      <w:pPr>
        <w:keepNext/>
        <w:pBdr>
          <w:left w:val="single" w:sz="24" w:space="6" w:color="52B69A"/>
        </w:pBdr>
        <w:ind w:left="170"/>
      </w:pPr>
      <w:r>
        <w:t>Our assessment rests on the company's massive and rapidly growing self-reported revenue from data center hardware and AI-optimized computing infrastructure. Based on primary research, the company's global data center</w:t>
      </w:r>
      <w:r>
        <w:t xml:space="preserve"> market share percentage can be estimated as leading across the major enterprise hardware segments, based on its total full year revenue surpassing $100 billion driven by infrastructure solutions and client computing groups.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w:t>
      </w:r>
      <w:r>
        <w:t>eports a record full-year revenue of $60.8 billion for its Infrastructure Solutions Group in fiscal year 2026, representing a 40% year-over-year increase driven by $25 billion in AI server revenue.</w:t>
      </w:r>
    </w:p>
    <w:p w:rsidR="00FC3617" w:rsidRDefault="0014512D">
      <w:pPr>
        <w:pStyle w:val="ListBullet"/>
        <w:spacing w:after="60"/>
        <w:ind w:left="510"/>
      </w:pPr>
      <w:r>
        <w:t>The company reports that its Infrastructure Solutions Grou</w:t>
      </w:r>
      <w:r>
        <w:t>p achieved record quarterly revenue of $31.8 billion in the second quarter of fiscal year 2027, an 89% increase year-over-year fueled by $16.4 billion in AI-optimized server revenue.</w:t>
      </w:r>
    </w:p>
    <w:p w:rsidR="00FC3617" w:rsidRDefault="0014512D">
      <w:pPr>
        <w:keepNext/>
        <w:pBdr>
          <w:left w:val="single" w:sz="24" w:space="6" w:color="52B69A"/>
        </w:pBdr>
        <w:spacing w:before="120" w:after="60"/>
        <w:ind w:left="170"/>
      </w:pPr>
      <w:r>
        <w:rPr>
          <w:b/>
          <w:color w:val="0F172A"/>
          <w:sz w:val="20"/>
        </w:rPr>
        <w:t>Installed Base &amp; Deployments — scored 89/100</w:t>
      </w:r>
    </w:p>
    <w:p w:rsidR="00FC3617" w:rsidRDefault="0014512D">
      <w:pPr>
        <w:keepNext/>
        <w:pBdr>
          <w:left w:val="single" w:sz="24" w:space="6" w:color="52B69A"/>
        </w:pBdr>
        <w:ind w:left="170"/>
      </w:pPr>
      <w:r>
        <w:t xml:space="preserve">The rating rests on </w:t>
      </w:r>
      <w:r>
        <w:t>documented deployments of large-scale server infrastructure across high-traffic enterprise and digital service companies. Based on primary research, the company's global data center product installed base or retention can be estimated as substantial and gr</w:t>
      </w:r>
      <w:r>
        <w:t>owing steadily, based on its over 5,000 AI server customers and multi-year supply visibility.</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Hostinger deployed 800 Dell PowerEdge servers equipped with AMD EPYC processors to scale its global server infrastructure and handle customer-fa</w:t>
      </w:r>
      <w:r>
        <w:t>cing workloads, as published in a Dell Technologies Hostinger Case Study.</w:t>
      </w:r>
    </w:p>
    <w:p w:rsidR="00FC3617" w:rsidRDefault="0014512D">
      <w:pPr>
        <w:pStyle w:val="ListBullet"/>
        <w:spacing w:after="60"/>
        <w:ind w:left="510"/>
      </w:pPr>
      <w:r>
        <w:t>EBay deployed a Dell Modular Data Center holding 1,920 servers in a 20-rack configuration on the facility's roof as part of its multi-vendor Project Mercury data center deployment, a</w:t>
      </w:r>
      <w:r>
        <w:t>ccording to the Dell Technologies eBay Case Study.</w:t>
      </w:r>
    </w:p>
    <w:p w:rsidR="00FC3617" w:rsidRDefault="0014512D">
      <w:pPr>
        <w:keepNext/>
        <w:pBdr>
          <w:left w:val="single" w:sz="24" w:space="6" w:color="52B69A"/>
        </w:pBdr>
        <w:spacing w:before="120" w:after="60"/>
        <w:ind w:left="170"/>
      </w:pPr>
      <w:r>
        <w:rPr>
          <w:b/>
          <w:color w:val="0F172A"/>
          <w:sz w:val="20"/>
        </w:rPr>
        <w:t>Strategic Partnerships &amp; Channels — scored 94/100</w:t>
      </w:r>
    </w:p>
    <w:p w:rsidR="00FC3617" w:rsidRDefault="0014512D">
      <w:pPr>
        <w:keepNext/>
        <w:pBdr>
          <w:left w:val="single" w:sz="24" w:space="6" w:color="52B69A"/>
        </w:pBdr>
        <w:ind w:left="170"/>
      </w:pPr>
      <w:r>
        <w:t>We verified that the company maintains an extensive global channel network and deep technology alliances covering co-engineered hyperconverged infrastructu</w:t>
      </w:r>
      <w:r>
        <w:t xml:space="preserve">re, independent software vendor integrations, and distributor-led deployment programs. Based on primary research, the company's data center revenue breakdown for tier-one OEM </w:t>
      </w:r>
      <w:r>
        <w:lastRenderedPageBreak/>
        <w:t>partners can be estimated as strong, in line with custom rack-scale integration d</w:t>
      </w:r>
      <w:r>
        <w:t>emand, based on its record AI server orders and massive AI backlog.</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Dell Technologies announced an extended agreement with Broadcom Inc. in June 2024 to deliver co-engineered data center solutions integrating Dell's VxRail hyperconverged </w:t>
      </w:r>
      <w:r>
        <w:t>infrastructure, vSAN Ready Nodes, and PowerEdge servers with VMware cloud infrastructure software.</w:t>
      </w:r>
    </w:p>
    <w:p w:rsidR="00FC3617" w:rsidRDefault="0014512D">
      <w:pPr>
        <w:pStyle w:val="ListBullet"/>
        <w:spacing w:after="60"/>
        <w:ind w:left="510"/>
      </w:pPr>
      <w:r>
        <w:t>Dell Technologies signed a Memorandum of Understanding with major IT distributor Tech Data in January 2025 to launch the Dell AI Factory channel initiative i</w:t>
      </w:r>
      <w:r>
        <w:t>n India, establishing a Center of Excellence for pre-validated hardware-software data center solutions.</w:t>
      </w:r>
    </w:p>
    <w:p w:rsidR="00FC3617" w:rsidRDefault="0014512D">
      <w:pPr>
        <w:keepNext/>
        <w:pBdr>
          <w:left w:val="single" w:sz="24" w:space="6" w:color="52B69A"/>
        </w:pBdr>
        <w:spacing w:before="120" w:after="60"/>
        <w:ind w:left="170"/>
      </w:pPr>
      <w:r>
        <w:rPr>
          <w:b/>
          <w:color w:val="0F172A"/>
          <w:sz w:val="20"/>
        </w:rPr>
        <w:t>R&amp;D Investment &amp; Financial Strength — scored 93/100</w:t>
      </w:r>
    </w:p>
    <w:p w:rsidR="00FC3617" w:rsidRDefault="0014512D">
      <w:pPr>
        <w:keepNext/>
        <w:pBdr>
          <w:left w:val="single" w:sz="24" w:space="6" w:color="52B69A"/>
        </w:pBdr>
        <w:ind w:left="170"/>
      </w:pPr>
      <w:r>
        <w:t>The rating rests on the company's multibillion-dollar annual innovation budget and robust profitabil</w:t>
      </w:r>
      <w:r>
        <w:t>ity gains verified through official regulatory filings. Based on primary research, the company's infrastructure versus client research and development allocation can be estimated as focused heavily on data center acceleration and cooling technologies, base</w:t>
      </w:r>
      <w:r>
        <w:t>d on its rapid expansion of AI factory platforms, liquid-cooled architectures, and rack orchestration tools.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In its annual report on Form 10-K for Fiscal 2026, the company reports a total research and development spending of $3.1 billion </w:t>
      </w:r>
      <w:r>
        <w:t>for both Fiscal 2026 and Fiscal 2025, representing approximately 2.7% of its record full-year Fiscal 2026 revenue of $113.5 billion.</w:t>
      </w:r>
    </w:p>
    <w:p w:rsidR="00FC3617" w:rsidRDefault="0014512D">
      <w:pPr>
        <w:pStyle w:val="ListBullet"/>
        <w:spacing w:after="60"/>
        <w:ind w:left="510"/>
      </w:pPr>
      <w:r>
        <w:t>In its quarterly financial statement on Form 10-Q filed with the SEC for the first quarter of Fiscal 2027 (period ended May</w:t>
      </w:r>
      <w:r>
        <w:t xml:space="preserve"> 1, 2026), the company reports a net income of $3,438 million on total net revenue of $43,842 million, indicating consistent profitability and financial health.</w:t>
      </w:r>
    </w:p>
    <w:p w:rsidR="00FC3617" w:rsidRDefault="0014512D">
      <w:pPr>
        <w:pStyle w:val="Heading2"/>
        <w:pageBreakBefore/>
        <w:shd w:val="clear" w:color="auto" w:fill="002857"/>
        <w:spacing w:after="0"/>
      </w:pPr>
      <w:bookmarkStart w:id="10" w:name="_Toc242935680"/>
      <w:r>
        <w:lastRenderedPageBreak/>
        <w:t>Dell Inc.</w:t>
      </w:r>
      <w:bookmarkEnd w:id="10"/>
    </w:p>
    <w:p w:rsidR="00FC3617" w:rsidRDefault="0014512D">
      <w:pPr>
        <w:shd w:val="clear" w:color="auto" w:fill="002857"/>
        <w:spacing w:after="200"/>
      </w:pPr>
      <w:r>
        <w:rPr>
          <w:color w:val="CBD5E1"/>
          <w:sz w:val="18"/>
        </w:rPr>
        <w:t xml:space="preserve">Dell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91</w:t>
      </w:r>
      <w:r>
        <w:rPr>
          <w:color w:val="CBD5E1"/>
          <w:sz w:val="18"/>
        </w:rPr>
        <w:t xml:space="preserve">     Overall </w:t>
      </w:r>
      <w:r>
        <w:rPr>
          <w:b/>
          <w:color w:val="FFFFFF"/>
          <w:sz w:val="20"/>
        </w:rPr>
        <w:t>92</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w:t>
      </w:r>
      <w:r>
        <w:rPr>
          <w:b/>
          <w:color w:val="0F172A"/>
          <w:sz w:val="20"/>
        </w:rPr>
        <w:t xml:space="preserve"> Storage Performance — scored 98/100</w:t>
      </w:r>
    </w:p>
    <w:p w:rsidR="00FC3617" w:rsidRDefault="0014512D">
      <w:pPr>
        <w:keepNext/>
        <w:pBdr>
          <w:left w:val="single" w:sz="24" w:space="6" w:color="52B69A"/>
        </w:pBdr>
        <w:ind w:left="170"/>
      </w:pPr>
      <w:r>
        <w:t>The rating rests on Dell's top-tier, third-party verified compute benchmarks and documented block/file storage throughput advantages under transactional database workloads. Based on primary research, the company's hyper</w:t>
      </w:r>
      <w:r>
        <w:t>scale deployment performance benchmarks can be estimated as high, based on its PowerEdge server benchmarking protocols and Hyperscale Next performance tuning framework.</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 SPEC CPU2017 benchmark evaluation published in June 2025 showed tha</w:t>
      </w:r>
      <w:r>
        <w:t>t a Dell PowerEdge R7725 server configured with dual 48-core AMD EPYC 9475F processors achieved a verified SPECrate2017_int_base score of 1,390 and a SPECrate2017_int_peak score of 1,420, as reported by the Standard Performance Evaluation Corporation.</w:t>
      </w:r>
    </w:p>
    <w:p w:rsidR="00FC3617" w:rsidRDefault="0014512D">
      <w:pPr>
        <w:pStyle w:val="ListBullet"/>
        <w:spacing w:after="60"/>
        <w:ind w:left="510"/>
      </w:pPr>
      <w:r>
        <w:t>An i</w:t>
      </w:r>
      <w:r>
        <w:t>ndependent comparative testing project conducted by Principled Technologies in May 2026 demonstrated that the Dell PowerStore 9500 storage array delivered superior IOPS, storage density, and latency performance compared to a rival all-NVMe enterprise array</w:t>
      </w:r>
      <w:r>
        <w:t>, according to the Principled Technologies report.</w:t>
      </w:r>
    </w:p>
    <w:p w:rsidR="00FC3617" w:rsidRDefault="0014512D">
      <w:pPr>
        <w:keepNext/>
        <w:pBdr>
          <w:left w:val="single" w:sz="24" w:space="6" w:color="52B69A"/>
        </w:pBdr>
        <w:spacing w:before="120" w:after="60"/>
        <w:ind w:left="170"/>
      </w:pPr>
      <w:r>
        <w:rPr>
          <w:b/>
          <w:color w:val="0F172A"/>
          <w:sz w:val="20"/>
        </w:rPr>
        <w:t>Power &amp; Cooling Efficiency — scored 95/100</w:t>
      </w:r>
    </w:p>
    <w:p w:rsidR="00FC3617" w:rsidRDefault="0014512D">
      <w:pPr>
        <w:keepNext/>
        <w:pBdr>
          <w:left w:val="single" w:sz="24" w:space="6" w:color="52B69A"/>
        </w:pBdr>
        <w:ind w:left="170"/>
      </w:pPr>
      <w:r>
        <w:t>The rating rests on the company's verified integration of ENERGY STAR certified configurations across its standard enterprise PowerEdge server lines and its exten</w:t>
      </w:r>
      <w:r>
        <w:t xml:space="preserve">sive documentation of advanced direct liquid cooling metrics for high-density AI environments. Based on primary research, the company's complete facility infrastructure PUE impact can be estimated as low, based on its energy-efficient data center modeling </w:t>
      </w:r>
      <w:r>
        <w:t>and modular data center direct-to-chip liquid cooling estimates.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that its PowerEdge XE9680L servers deploy direct liquid cooling technology within critical components to reduce cooling energy consumption by 40% to 50% </w:t>
      </w:r>
      <w:r>
        <w:t>and improve Power Usage Effectiveness (PUE), as highlighted in an interview with the Vice President of the Infrastructure Solutions Group at Dell Technologies.</w:t>
      </w:r>
    </w:p>
    <w:p w:rsidR="00FC3617" w:rsidRDefault="0014512D">
      <w:pPr>
        <w:pStyle w:val="ListBullet"/>
        <w:spacing w:after="60"/>
        <w:ind w:left="510"/>
      </w:pPr>
      <w:r>
        <w:t>The company reports that combining direct liquid cooling with its PowerCool eRDHx enables warm w</w:t>
      </w:r>
      <w:r>
        <w:t>ater cooling (32°C to 36°C) and reduces reliance on chilled water infrastructure, resulting in up to a one-third reduction in annual energy costs for large-scale AI data center deployments.</w:t>
      </w:r>
    </w:p>
    <w:p w:rsidR="00FC3617" w:rsidRDefault="0014512D">
      <w:pPr>
        <w:keepNext/>
        <w:pBdr>
          <w:left w:val="single" w:sz="24" w:space="6" w:color="52B69A"/>
        </w:pBdr>
        <w:spacing w:before="120" w:after="60"/>
        <w:ind w:left="170"/>
      </w:pPr>
      <w:r>
        <w:rPr>
          <w:b/>
          <w:color w:val="0F172A"/>
          <w:sz w:val="20"/>
        </w:rPr>
        <w:t>Rack &amp; Enclosure Density — scored 92/100</w:t>
      </w:r>
    </w:p>
    <w:p w:rsidR="00FC3617" w:rsidRDefault="0014512D">
      <w:pPr>
        <w:keepNext/>
        <w:pBdr>
          <w:left w:val="single" w:sz="24" w:space="6" w:color="52B69A"/>
        </w:pBdr>
        <w:ind w:left="170"/>
      </w:pPr>
      <w:r>
        <w:t xml:space="preserve">The rating rests on Dell </w:t>
      </w:r>
      <w:r>
        <w:t>Inc.'s native Open Rack v3 (ORv3) infrastructure designs supporting up to 504 kW per rack with direct liquid cooling, as well as enclosed rear-door heat exchangers supporting 80 kW under air-assisted deployment models. Based on primary research, the compan</w:t>
      </w:r>
      <w:r>
        <w:t>y's continuous production workload rack testing data can be estimated as high, based on its PowerEdge XE9785L hardware diagnostics and seventeenth-generation server validation metrics.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Dell IR7000 integrated 2</w:t>
      </w:r>
      <w:r>
        <w:t>1-inch Open Rack v3 (ORv3) architecture supports high-density AI deployment configurations that handle up to 504 kW per rack with a multi-generational PowerCool direct liquid cooling (DLC) busbar.</w:t>
      </w:r>
    </w:p>
    <w:p w:rsidR="00FC3617" w:rsidRDefault="0014512D">
      <w:pPr>
        <w:pStyle w:val="ListBullet"/>
        <w:spacing w:after="60"/>
        <w:ind w:left="510"/>
      </w:pPr>
      <w:r>
        <w:t>The company reports that its Dell PowerCool Enclosed Rear D</w:t>
      </w:r>
      <w:r>
        <w:t>oor Heat Exchanger (eRDHx) enables enhanced data center air cooling capacity of up to 80 kW per rack for dense AI and high-performance computing configurations.</w:t>
      </w:r>
    </w:p>
    <w:p w:rsidR="00FC3617" w:rsidRDefault="0014512D">
      <w:pPr>
        <w:keepNext/>
        <w:pBdr>
          <w:left w:val="single" w:sz="24" w:space="6" w:color="52B69A"/>
        </w:pBdr>
        <w:spacing w:before="120" w:after="60"/>
        <w:ind w:left="170"/>
      </w:pPr>
      <w:r>
        <w:rPr>
          <w:b/>
          <w:color w:val="0F172A"/>
          <w:sz w:val="20"/>
        </w:rPr>
        <w:t>DCIM &amp; Management Software — scored 90/100</w:t>
      </w:r>
    </w:p>
    <w:p w:rsidR="00FC3617" w:rsidRDefault="0014512D">
      <w:pPr>
        <w:keepNext/>
        <w:pBdr>
          <w:left w:val="single" w:sz="24" w:space="6" w:color="52B69A"/>
        </w:pBdr>
        <w:ind w:left="170"/>
      </w:pPr>
      <w:r>
        <w:t>We verified that the company's solution capabilities</w:t>
      </w:r>
      <w:r>
        <w:t xml:space="preserve"> center on automated server, power, and thermal management via its OpenManage portfolio, supplemented by direct integrations with third-party DCIM providers. Based on primary research, the company's native BMS integration software features can be estimated</w:t>
      </w:r>
      <w:r>
        <w:t xml:space="preserve"> as strong, in line with leading vendors, based on its Dell Automation Platform generative UI and Dell APEX AIOps cloud-based infrastructure observability.</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Dell provides its specialized systems management console, Dell OpenManage Enterpri</w:t>
      </w:r>
      <w:r>
        <w:t xml:space="preserve">se (OME), which actively scales to natively manage up to 8,000 devices and monitor up to 25,000 data center devices—including </w:t>
      </w:r>
      <w:r>
        <w:lastRenderedPageBreak/>
        <w:t>PowerEdge servers, power shelves, and coolant distribution units (CDUs)—while streaming real-time telemetry via Kafka and cloud-ba</w:t>
      </w:r>
      <w:r>
        <w:t>sed AIOps, as detailed in its October 2026 product specifications.</w:t>
      </w:r>
    </w:p>
    <w:p w:rsidR="00FC3617" w:rsidRDefault="0014512D">
      <w:pPr>
        <w:pStyle w:val="ListBullet"/>
        <w:spacing w:after="60"/>
        <w:ind w:left="510"/>
      </w:pPr>
      <w:r>
        <w:t>To enable comprehensive data center infrastructure management (DCIM) visualization, a joint technical integration allows Sunbird's dcTrack DCIM platform to use a programmatic software conne</w:t>
      </w:r>
      <w:r>
        <w:t>ctor to ingest configuration data directly from Dell OpenManage Enterprise, unifying the server/IT layer and facility physical layers.</w:t>
      </w:r>
    </w:p>
    <w:p w:rsidR="00FC3617" w:rsidRDefault="0014512D">
      <w:pPr>
        <w:keepNext/>
        <w:pBdr>
          <w:left w:val="single" w:sz="24" w:space="6" w:color="52B69A"/>
        </w:pBdr>
        <w:spacing w:before="120" w:after="60"/>
        <w:ind w:left="170"/>
      </w:pPr>
      <w:r>
        <w:rPr>
          <w:b/>
          <w:color w:val="0F172A"/>
          <w:sz w:val="20"/>
        </w:rPr>
        <w:t>AI &amp; Sustainability Innovation — scored 94/100</w:t>
      </w:r>
    </w:p>
    <w:p w:rsidR="00FC3617" w:rsidRDefault="0014512D">
      <w:pPr>
        <w:keepNext/>
        <w:pBdr>
          <w:left w:val="single" w:sz="24" w:space="6" w:color="52B69A"/>
        </w:pBdr>
        <w:ind w:left="170"/>
      </w:pPr>
      <w:r>
        <w:t>The rating rests on confirmed real-world pilot deployments utilizing agent</w:t>
      </w:r>
      <w:r>
        <w:t xml:space="preserve">ic AI for grid-aware scheduling alongside active AI-driven infrastructure management platforms that track carbon footprints in real-time. Based on primary research, the company's enterprise client carbon tracking dataset audits can be estimated as limited </w:t>
      </w:r>
      <w:r>
        <w:t>to a few markets, based on its Dell APEX AIOps dashboard sustainability metrics and ProSupport telemetry integrations.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Dell Technologies collaborated with the Scripps Institution of Oceanography on a pilot program using the Dell Concept </w:t>
      </w:r>
      <w:r>
        <w:t>Astro initiative to process coral reef imagery, achieving a 20% reduction in energy costs and 32% lower carbon emissions by utilizing AI to schedule processing during optimum energy windows.</w:t>
      </w:r>
    </w:p>
    <w:p w:rsidR="00FC3617" w:rsidRDefault="0014512D">
      <w:pPr>
        <w:pStyle w:val="ListBullet"/>
        <w:spacing w:after="60"/>
        <w:ind w:left="510"/>
      </w:pPr>
      <w:r>
        <w:t>The company reports that its CloudIQ AIOps application provides r</w:t>
      </w:r>
      <w:r>
        <w:t>eal-time energy use-phase carbon footprint tracking, forecasting, and workload-level optimization across Dell storage, server, and networking infrastructure to help organizations monitor metrics and automate efficiencies.</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w:t>
      </w:r>
      <w:r>
        <w:rPr>
          <w:b/>
          <w:color w:val="0F172A"/>
          <w:sz w:val="20"/>
        </w:rPr>
        <w:t xml:space="preserve"> &amp; Cloud Customers — scored 83/100</w:t>
      </w:r>
    </w:p>
    <w:p w:rsidR="00FC3617" w:rsidRDefault="0014512D">
      <w:pPr>
        <w:keepNext/>
        <w:pBdr>
          <w:left w:val="single" w:sz="24" w:space="6" w:color="52B69A"/>
        </w:pBdr>
        <w:ind w:left="170"/>
      </w:pPr>
      <w:r>
        <w:t>Our assessment rests on Dell's multi-billion dollar server supply contract with specialized AI cloud provider IREN, while noting the company lacks public high-volume hardware contracts with the absolute largest hyperscale</w:t>
      </w:r>
      <w:r>
        <w:t>rs who typically build custom hardware. Based on primary research, the company's tier-1 hyperscaler hardware contracts can be estimated as restricted to strategic on-premises platform integration, based on its collaborative enterprise architectures with Go</w:t>
      </w:r>
      <w:r>
        <w:t>ogle Gemini, Meta Llama models, and multi-cloud environments.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IREN (Iris Energy) entered into a $1.6 billion purchase agreement with Dell Technologies for air-cooled Blackwell server systems to support its five-year managed services AI </w:t>
      </w:r>
      <w:r>
        <w:t>cloud contract, as announced by the client in May 2026.</w:t>
      </w:r>
    </w:p>
    <w:p w:rsidR="00FC3617" w:rsidRDefault="0014512D">
      <w:pPr>
        <w:keepNext/>
        <w:pBdr>
          <w:left w:val="single" w:sz="24" w:space="6" w:color="52B69A"/>
        </w:pBdr>
        <w:spacing w:before="120" w:after="60"/>
        <w:ind w:left="170"/>
      </w:pPr>
      <w:r>
        <w:rPr>
          <w:b/>
          <w:color w:val="0F172A"/>
          <w:sz w:val="20"/>
        </w:rPr>
        <w:t>Global Revenue &amp; Market Share — scored 98/100</w:t>
      </w:r>
    </w:p>
    <w:p w:rsidR="00FC3617" w:rsidRDefault="0014512D">
      <w:pPr>
        <w:keepNext/>
        <w:pBdr>
          <w:left w:val="single" w:sz="24" w:space="6" w:color="52B69A"/>
        </w:pBdr>
        <w:ind w:left="170"/>
      </w:pPr>
      <w:r>
        <w:t>The rating rests on the company's verified global leadership in the data center hardware space, maintaining the top market share spot among server OEMs an</w:t>
      </w:r>
      <w:r>
        <w:t>d a dominant 31.2% market share position in external enterprise storage. Based on primary research, the company's standalone data center software revenue can be estimated as bundled extensively within core infrastructure hardware, based on its combined Inf</w:t>
      </w:r>
      <w:r>
        <w:t>rastructure Solutions Group reporting that groups servers, storage, and software together.</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record full-year fiscal 2026 revenue of $113.5 billion, driven by closing more than $64 billion in AI-optimized server orders a</w:t>
      </w:r>
      <w:r>
        <w:t>nd shipping more than $25 billion in AI server solutions throughout the fiscal year.</w:t>
      </w:r>
    </w:p>
    <w:p w:rsidR="00FC3617" w:rsidRDefault="0014512D">
      <w:pPr>
        <w:pStyle w:val="ListBullet"/>
        <w:spacing w:after="60"/>
        <w:ind w:left="510"/>
      </w:pPr>
      <w:r>
        <w:t>The company reports that its Infrastructure Solutions Group delivered a record $16.8 billion in revenue during the second quarter of fiscal 2026, which included $12.9 bill</w:t>
      </w:r>
      <w:r>
        <w:t>ion from its servers and networking business and $3.9 billion from storage solutions.</w:t>
      </w:r>
    </w:p>
    <w:p w:rsidR="00FC3617" w:rsidRDefault="0014512D">
      <w:pPr>
        <w:keepNext/>
        <w:pBdr>
          <w:left w:val="single" w:sz="24" w:space="6" w:color="52B69A"/>
        </w:pBdr>
        <w:spacing w:before="120" w:after="60"/>
        <w:ind w:left="170"/>
      </w:pPr>
      <w:r>
        <w:rPr>
          <w:b/>
          <w:color w:val="0F172A"/>
          <w:sz w:val="20"/>
        </w:rPr>
        <w:t>Installed Base &amp; Deployments — scored 90/100</w:t>
      </w:r>
    </w:p>
    <w:p w:rsidR="00FC3617" w:rsidRDefault="0014512D">
      <w:pPr>
        <w:keepNext/>
        <w:pBdr>
          <w:left w:val="single" w:sz="24" w:space="6" w:color="52B69A"/>
        </w:pBdr>
        <w:ind w:left="170"/>
      </w:pPr>
      <w:r>
        <w:t>The rating rests on the company's large documented x86 server installed base and verified large-scale enterprise infrastructu</w:t>
      </w:r>
      <w:r>
        <w:t>re rollouts. Based on primary research, the company's cumulative global infrastructure units deployed can be estimated as expansive across global enterprise footprints, based on its position as the global storage market leader in external RAID, all-flash a</w:t>
      </w:r>
      <w:r>
        <w:t>rrays, and structured backup targets.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reported in mid-2026 that its active server installed base includes approximately 1.2 million traditional compute assets running on 14th-generation or older PowerEdge server models.</w:t>
      </w:r>
    </w:p>
    <w:p w:rsidR="00FC3617" w:rsidRDefault="0014512D">
      <w:pPr>
        <w:pStyle w:val="ListBullet"/>
        <w:spacing w:after="60"/>
        <w:ind w:left="510"/>
      </w:pPr>
      <w:r>
        <w:t>Hostin</w:t>
      </w:r>
      <w:r>
        <w:t>ger completed the deployment of 800 Dell PowerEdge R6615 servers equipped with AMD EPYC processors to scale its global web hosting and server infrastructure.</w:t>
      </w:r>
    </w:p>
    <w:p w:rsidR="00FC3617" w:rsidRDefault="0014512D">
      <w:pPr>
        <w:keepNext/>
        <w:pBdr>
          <w:left w:val="single" w:sz="24" w:space="6" w:color="52B69A"/>
        </w:pBdr>
        <w:spacing w:before="120" w:after="60"/>
        <w:ind w:left="170"/>
      </w:pPr>
      <w:r>
        <w:rPr>
          <w:b/>
          <w:color w:val="0F172A"/>
          <w:sz w:val="20"/>
        </w:rPr>
        <w:t>Strategic Partnerships &amp; Channels — scored 96/100</w:t>
      </w:r>
    </w:p>
    <w:p w:rsidR="00FC3617" w:rsidRDefault="0014512D">
      <w:pPr>
        <w:keepNext/>
        <w:pBdr>
          <w:left w:val="single" w:sz="24" w:space="6" w:color="52B69A"/>
        </w:pBdr>
        <w:ind w:left="170"/>
      </w:pPr>
      <w:r>
        <w:t>The rating is founded on the company’s extensive</w:t>
      </w:r>
      <w:r>
        <w:t xml:space="preserve">, high-profile co-engineering alliances with tier-one silicon providers like Nvidia and AMD to deploy integrated full-stack hardware solutions globally. Based on primary research, the </w:t>
      </w:r>
      <w:r>
        <w:lastRenderedPageBreak/>
        <w:t>company's data center distribution channel breakdown can be estimated as</w:t>
      </w:r>
      <w:r>
        <w:t xml:space="preserve"> diverse across multi-tier global sales partners, based on its hybrid go-to-market structure spanning tens of thousands of channel partners and extensive internal corporate sales teams.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Dell Technologies teamed up with Nvidia and Indian c</w:t>
      </w:r>
      <w:r>
        <w:t>loud provider NxtGen in January 2026 to build India's largest dedicated sovereign AI factory, deploying fully integrated liquid-cooled Dell IR5000 racks, PowerEdge XE9685L servers, and over 4,000 Nvidia Blackwell GPUs.</w:t>
      </w:r>
    </w:p>
    <w:p w:rsidR="00FC3617" w:rsidRDefault="0014512D">
      <w:pPr>
        <w:pStyle w:val="ListBullet"/>
        <w:spacing w:after="60"/>
        <w:ind w:left="510"/>
      </w:pPr>
      <w:r>
        <w:t xml:space="preserve">Dell partnered with Advanced Micro </w:t>
      </w:r>
      <w:r>
        <w:t>Devices (AMD) to deliver deep joint engineering for data center workloads, integrating fifth-generation AMD Turin EPYC processor technology with 12-channel DDR5 memory into the Dell PowerEdge server portfolio.</w:t>
      </w:r>
    </w:p>
    <w:p w:rsidR="00FC3617" w:rsidRDefault="0014512D">
      <w:pPr>
        <w:keepNext/>
        <w:pBdr>
          <w:left w:val="single" w:sz="24" w:space="6" w:color="52B69A"/>
        </w:pBdr>
        <w:spacing w:before="120" w:after="60"/>
        <w:ind w:left="170"/>
      </w:pPr>
      <w:r>
        <w:rPr>
          <w:b/>
          <w:color w:val="0F172A"/>
          <w:sz w:val="20"/>
        </w:rPr>
        <w:t>R&amp;D Investment &amp; Financial Strength — scored 8</w:t>
      </w:r>
      <w:r>
        <w:rPr>
          <w:b/>
          <w:color w:val="0F172A"/>
          <w:sz w:val="20"/>
        </w:rPr>
        <w:t>9/100</w:t>
      </w:r>
    </w:p>
    <w:p w:rsidR="00FC3617" w:rsidRDefault="0014512D">
      <w:pPr>
        <w:keepNext/>
        <w:pBdr>
          <w:left w:val="single" w:sz="24" w:space="6" w:color="52B69A"/>
        </w:pBdr>
        <w:ind w:left="170"/>
      </w:pPr>
      <w:r>
        <w:t>The rating rests on Dell Technologies' multi-billion-dollar R&amp;D spending and exceptional top-line and operating income growth driven by data center AI demand. Based on primary research, the company's cooling infrastructure R&amp;D spend allocation can be</w:t>
      </w:r>
      <w:r>
        <w:t xml:space="preserve"> estimated as embedded deeply into main hardware engineering budgets, based on its integrated thermal management and liquid cooling engineering for PowerEdge server lines and high-density AI Factories.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Dell Technologies reported total res</w:t>
      </w:r>
      <w:r>
        <w:t>earch and development (R&amp;D) expenses of $3.1 billion for both Fiscal 2026 (ended January 30, 2026) and Fiscal 2025, which amounted to approximately 2.8% of its total revenue for Fiscal 2026, according to its Form 10-K filed with the U.S. Securities and Exc</w:t>
      </w:r>
      <w:r>
        <w:t>hange Commission.</w:t>
      </w:r>
    </w:p>
    <w:p w:rsidR="00FC3617" w:rsidRDefault="0014512D">
      <w:pPr>
        <w:pStyle w:val="ListBullet"/>
        <w:spacing w:after="60"/>
        <w:ind w:left="510"/>
      </w:pPr>
      <w:r>
        <w:t>Dell Technologies achieved a total full-year net revenue of $113.5 billion and operating income of $8.1 billion for Fiscal 2026, representing a 31% year-over-year growth in operating income from $6.2 billion in Fiscal 2025, according to t</w:t>
      </w:r>
      <w:r>
        <w:t>he company's full-year earnings announcement.</w:t>
      </w:r>
    </w:p>
    <w:p w:rsidR="00FC3617" w:rsidRDefault="0014512D">
      <w:pPr>
        <w:pStyle w:val="Heading2"/>
        <w:pageBreakBefore/>
        <w:shd w:val="clear" w:color="auto" w:fill="002857"/>
        <w:spacing w:after="0"/>
      </w:pPr>
      <w:bookmarkStart w:id="11" w:name="_Toc242935681"/>
      <w:r>
        <w:lastRenderedPageBreak/>
        <w:t>Arista Networks, Inc.</w:t>
      </w:r>
      <w:bookmarkEnd w:id="11"/>
    </w:p>
    <w:p w:rsidR="00FC3617" w:rsidRDefault="0014512D">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94</w:t>
      </w:r>
      <w:r>
        <w:rPr>
          <w:color w:val="CBD5E1"/>
          <w:sz w:val="18"/>
        </w:rPr>
        <w:t xml:space="preserve">     Overall </w:t>
      </w:r>
      <w:r>
        <w:rPr>
          <w:b/>
          <w:color w:val="FFFFFF"/>
          <w:sz w:val="20"/>
        </w:rPr>
        <w:t>90</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74/100</w:t>
      </w:r>
    </w:p>
    <w:p w:rsidR="00FC3617" w:rsidRDefault="0014512D">
      <w:pPr>
        <w:keepNext/>
        <w:pBdr>
          <w:left w:val="single" w:sz="24" w:space="6" w:color="52B69A"/>
        </w:pBdr>
        <w:ind w:left="170"/>
      </w:pPr>
      <w:r>
        <w:t>We verified that the company's verified testing in this category is limit</w:t>
      </w:r>
      <w:r>
        <w:t>ed to network fabric configurations validating partner compute infrastructure (such as Supermicro and AMD) rather than its own proprietary server or storage compute performance. Based on primary research, the company's benchmark results can be estimated as</w:t>
      </w:r>
      <w:r>
        <w:t xml:space="preserve"> nonexistent due to focusing strictly on network switching products rather than servers or storage, based on its focus on extensible operating systems and high-speed data center switching infrastructure.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A collaborative validation test </w:t>
      </w:r>
      <w:r>
        <w:t>completed by AMD, Supermicro, and Arista Networks utilized four Supermicro 8U GPU servers powered by dual AMD EPYC CPUs and AMD Instinct MI350X GPUs to evaluate collective communication algorithms like AllReduce and AllGather on a routed Ethernet spine-lea</w:t>
      </w:r>
      <w:r>
        <w:t>f fabric running the Arista AI Agent, as documented by Performance Intensive Computing.</w:t>
      </w:r>
    </w:p>
    <w:p w:rsidR="00FC3617" w:rsidRDefault="0014512D">
      <w:pPr>
        <w:keepNext/>
        <w:pBdr>
          <w:left w:val="single" w:sz="24" w:space="6" w:color="52B69A"/>
        </w:pBdr>
        <w:spacing w:before="120" w:after="60"/>
        <w:ind w:left="170"/>
      </w:pPr>
      <w:r>
        <w:rPr>
          <w:b/>
          <w:color w:val="0F172A"/>
          <w:sz w:val="20"/>
        </w:rPr>
        <w:t>Power &amp; Cooling Efficiency — scored 87/100</w:t>
      </w:r>
    </w:p>
    <w:p w:rsidR="00FC3617" w:rsidRDefault="0014512D">
      <w:pPr>
        <w:keepNext/>
        <w:pBdr>
          <w:left w:val="single" w:sz="24" w:space="6" w:color="52B69A"/>
        </w:pBdr>
        <w:ind w:left="170"/>
      </w:pPr>
      <w:r>
        <w:t xml:space="preserve">The assessment rests on the company's confirmed innovations in structural cooling systems, such as its integrated cold plate </w:t>
      </w:r>
      <w:r>
        <w:t>technology for optical modules and its open ORv3W rack designs for high-density AI infrastructures. Based on primary research, the company's efficiency and PUE metrics can be estimated as strong, in line with leading vendors, based on its database-driven E</w:t>
      </w:r>
      <w:r>
        <w:t>OS architecture designed for optimized, efficient cloud networks.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Arista Networks announced the development of a 100% liquid-cooled data center server rack and switch design based on the open ORv3W standard that supports approximately 120</w:t>
      </w:r>
      <w:r>
        <w:t xml:space="preserve"> kW of power and can run up to 32 AI fabric switches, as detailed by Network World.</w:t>
      </w:r>
    </w:p>
    <w:p w:rsidR="00FC3617" w:rsidRDefault="0014512D">
      <w:pPr>
        <w:pStyle w:val="ListBullet"/>
        <w:spacing w:after="60"/>
        <w:ind w:left="510"/>
      </w:pPr>
      <w:r>
        <w:t>The company launched a multi-source agreement (MSA) for XPO (eXtra-dense Pluggable Optics), an integrated liquid-cooled optics module designed for high-density AI data cent</w:t>
      </w:r>
      <w:r>
        <w:t>er workloads that contains an integrated cold plate capable of cooling up to 400W of power per module, according to Arista Networks' official press release.</w:t>
      </w:r>
    </w:p>
    <w:p w:rsidR="00FC3617" w:rsidRDefault="0014512D">
      <w:pPr>
        <w:keepNext/>
        <w:pBdr>
          <w:left w:val="single" w:sz="24" w:space="6" w:color="52B69A"/>
        </w:pBdr>
        <w:spacing w:before="120" w:after="60"/>
        <w:ind w:left="170"/>
      </w:pPr>
      <w:r>
        <w:rPr>
          <w:b/>
          <w:color w:val="0F172A"/>
          <w:sz w:val="20"/>
        </w:rPr>
        <w:t>Rack &amp; Enclosure Density — scored 91/100</w:t>
      </w:r>
    </w:p>
    <w:p w:rsidR="00FC3617" w:rsidRDefault="0014512D">
      <w:pPr>
        <w:keepNext/>
        <w:pBdr>
          <w:left w:val="single" w:sz="24" w:space="6" w:color="52B69A"/>
        </w:pBdr>
        <w:ind w:left="170"/>
      </w:pPr>
      <w:r>
        <w:t xml:space="preserve">The rating rests on the company's active engineering of </w:t>
      </w:r>
      <w:r>
        <w:t>ultra-high-density liquid-cooled architectures and OCP-aligned structural designs tailored specifically to maintain cooling and power delivery for dense AI fabrics. Based on primary research, the company's standalone rack shipments can be estimated as high</w:t>
      </w:r>
      <w:r>
        <w:t>ly integrated with core systems, based on its comprehensive IP/Ethernet AI networking solutions built tightly around core switching and fabric hardware.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In March 2026, Arista Networks announced the formation of a multi-source agreement fo</w:t>
      </w:r>
      <w:r>
        <w:t>r XPO, a liquid-cooled pluggable optics module designed for AI fabrics that delivers an unprecedented front-panel density of 204.8 Tbps per Open Compute Project (OCP) rack unit and integrates a cold plate capable of cooling up to 400W per module.</w:t>
      </w:r>
    </w:p>
    <w:p w:rsidR="00FC3617" w:rsidRDefault="0014512D">
      <w:pPr>
        <w:pStyle w:val="ListBullet"/>
        <w:spacing w:after="60"/>
        <w:ind w:left="510"/>
      </w:pPr>
      <w:r>
        <w:t>In Septem</w:t>
      </w:r>
      <w:r>
        <w:t>ber 2025, the company announced it is developing a customized Open Rack V3 (ORv3W)-based data center server rack optimized to support approximately 120 kW of power capacity per rack, running up to 32 AI fabric switches equipped with tight liquid fittings f</w:t>
      </w:r>
      <w:r>
        <w:t>or high-density cooling configurations, as reported by Network World.</w:t>
      </w:r>
    </w:p>
    <w:p w:rsidR="00FC3617" w:rsidRDefault="0014512D">
      <w:pPr>
        <w:keepNext/>
        <w:pBdr>
          <w:left w:val="single" w:sz="24" w:space="6" w:color="52B69A"/>
        </w:pBdr>
        <w:spacing w:before="120" w:after="60"/>
        <w:ind w:left="170"/>
      </w:pPr>
      <w:r>
        <w:rPr>
          <w:b/>
          <w:color w:val="0F172A"/>
          <w:sz w:val="20"/>
        </w:rPr>
        <w:t>DCIM &amp; Management Software — scored 90/100</w:t>
      </w:r>
    </w:p>
    <w:p w:rsidR="00FC3617" w:rsidRDefault="0014512D">
      <w:pPr>
        <w:keepNext/>
        <w:pBdr>
          <w:left w:val="single" w:sz="24" w:space="6" w:color="52B69A"/>
        </w:pBdr>
        <w:ind w:left="170"/>
      </w:pPr>
      <w:r>
        <w:t>The rating rests on confirmed software capabilities for automated data center network provisioning, real-time streaming telemetry, and AI-drive</w:t>
      </w:r>
      <w:r>
        <w:t>n network state analytics. Based on primary research, the company's BMS and digital twin integration can be estimated as broad across standard software stacks, based on its extensive open APIs and extensible operating system that allow seamless integration</w:t>
      </w:r>
      <w:r>
        <w:t xml:space="preserve"> across cloud stacks.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flagship network management software, Arista CloudVision, operates on a Network Data Lake (NetDL) architecture using state-streaming telemetry via its NetDB repository to replace legacy d</w:t>
      </w:r>
      <w:r>
        <w:t>evice polling and provide real-time network visibility.</w:t>
      </w:r>
    </w:p>
    <w:p w:rsidR="00FC3617" w:rsidRDefault="0014512D">
      <w:pPr>
        <w:pStyle w:val="ListBullet"/>
        <w:spacing w:after="60"/>
        <w:ind w:left="510"/>
      </w:pPr>
      <w:r>
        <w:t>The company reports that Arista CloudVision features AI-driven network insights via the Autonomous Virtual Assist (AVA) engine for machine learning intelligence, providing proactive alerting and predi</w:t>
      </w:r>
      <w:r>
        <w:t>ctive analytics on hardware components.</w:t>
      </w:r>
    </w:p>
    <w:p w:rsidR="00FC3617" w:rsidRDefault="0014512D">
      <w:pPr>
        <w:keepNext/>
        <w:pBdr>
          <w:left w:val="single" w:sz="24" w:space="6" w:color="52B69A"/>
        </w:pBdr>
        <w:spacing w:before="120" w:after="60"/>
        <w:ind w:left="170"/>
      </w:pPr>
      <w:r>
        <w:rPr>
          <w:b/>
          <w:color w:val="0F172A"/>
          <w:sz w:val="20"/>
        </w:rPr>
        <w:lastRenderedPageBreak/>
        <w:t>AI &amp; Sustainability Innovation — scored 91/100</w:t>
      </w:r>
    </w:p>
    <w:p w:rsidR="00FC3617" w:rsidRDefault="0014512D">
      <w:pPr>
        <w:keepNext/>
        <w:pBdr>
          <w:left w:val="single" w:sz="24" w:space="6" w:color="52B69A"/>
        </w:pBdr>
        <w:ind w:left="170"/>
      </w:pPr>
      <w:r>
        <w:t>The rating rests on verified product capabilities involving AI-driven predictive telemetry via the AVA engine and structural hardware advancements in liquid-cooled, low-</w:t>
      </w:r>
      <w:r>
        <w:t>power rack architectures developed alongside primary hyperscale cloud partners. Based on primary research, the company's embedded carbon tracking software can be estimated as growing steadily, based on its software-defined cloud networking infrastructure f</w:t>
      </w:r>
      <w:r>
        <w:t>ocusing on modern multi-agent monitoring and orchestration platforms.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Arista Networks introduces its Autonomous Virtual Assist (AVA) AI engine within the Arista CloudVision suite to analyze streaming telemetry from data center switches, c</w:t>
      </w:r>
      <w:r>
        <w:t>orrelating network events like Explicit Congestion Notification (ECN) marks to predict failures, pinpoint root causes, and optimize AI workload completion times, as reported by Intelligent Visibility.</w:t>
      </w:r>
    </w:p>
    <w:p w:rsidR="00FC3617" w:rsidRDefault="0014512D">
      <w:pPr>
        <w:pStyle w:val="ListBullet"/>
        <w:spacing w:after="60"/>
        <w:ind w:left="510"/>
      </w:pPr>
      <w:r>
        <w:t>The company reports in its 2026 open Ethernet rack-scal</w:t>
      </w:r>
      <w:r>
        <w:t xml:space="preserve">e portfolio announcement that it engineered liquid-cooled data center racks built for extreme compute density alongside partners including Broadcom, AMD, Meta, and Microsoft to minimize power consumption and reduce overall data center footprint, as stated </w:t>
      </w:r>
      <w:r>
        <w:t>by Arista Networks.</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99/100</w:t>
      </w:r>
    </w:p>
    <w:p w:rsidR="00FC3617" w:rsidRDefault="0014512D">
      <w:pPr>
        <w:keepNext/>
        <w:pBdr>
          <w:left w:val="single" w:sz="24" w:space="6" w:color="52B69A"/>
        </w:pBdr>
        <w:ind w:left="170"/>
      </w:pPr>
      <w:r>
        <w:t>The rating rests on confirmed, recurring multi-billion dollar contracts and technical co-development partnerships with top-tier cloud titans Meta and Microsoft, who to</w:t>
      </w:r>
      <w:r>
        <w:t>gether account for over 40% of annual revenue. Based on primary research, the company's amazon and google shipment deployment values can be estimated as substantial, growing behind primary cloud titans, based on its over $9 billion in annual revenue and pr</w:t>
      </w:r>
      <w:r>
        <w:t>imary customer concentration in Meta and Microsoft.</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Microsoft and Meta Platforms are major repeat buyers of Arista Networks data center switching products, representing 26% and 16% respectively of the company's total $9.01 billion revenue</w:t>
      </w:r>
      <w:r>
        <w:t xml:space="preserve"> for fiscal year 2025, according to financial data reported by Moat Explorer.</w:t>
      </w:r>
    </w:p>
    <w:p w:rsidR="00FC3617" w:rsidRDefault="0014512D">
      <w:pPr>
        <w:pStyle w:val="ListBullet"/>
        <w:spacing w:after="60"/>
        <w:ind w:left="510"/>
      </w:pPr>
      <w:r>
        <w:t>Arista Networks announced in October 2026 that it engineered its new open Ethernet rack-scale portfolio for high-density AI infrastructure in partnership with leading tech compan</w:t>
      </w:r>
      <w:r>
        <w:t>ies including Meta and Microsoft, as documented in an official company press release.</w:t>
      </w:r>
    </w:p>
    <w:p w:rsidR="00FC3617" w:rsidRDefault="0014512D">
      <w:pPr>
        <w:keepNext/>
        <w:pBdr>
          <w:left w:val="single" w:sz="24" w:space="6" w:color="52B69A"/>
        </w:pBdr>
        <w:spacing w:before="120" w:after="60"/>
        <w:ind w:left="170"/>
      </w:pPr>
      <w:r>
        <w:rPr>
          <w:b/>
          <w:color w:val="0F172A"/>
          <w:sz w:val="20"/>
        </w:rPr>
        <w:t>Global Revenue &amp; Market Share — scored 88/100</w:t>
      </w:r>
    </w:p>
    <w:p w:rsidR="00FC3617" w:rsidRDefault="0014512D">
      <w:pPr>
        <w:keepNext/>
        <w:pBdr>
          <w:left w:val="single" w:sz="24" w:space="6" w:color="52B69A"/>
        </w:pBdr>
        <w:ind w:left="170"/>
      </w:pPr>
      <w:r>
        <w:t xml:space="preserve">The assessment rests on the company's verified financial disclosures confirming record revenue growth driven by AI data </w:t>
      </w:r>
      <w:r>
        <w:t>center and cloud networking upgrades. Based on primary research, the company's data center hardware global market share can be estimated as significant and expanding among high-speed networks, based on its milestone of over 150 million cumulative ports shi</w:t>
      </w:r>
      <w:r>
        <w:t>pped.</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Arista Networks reported a full-year revenue of $9.006 billion for the fiscal year ended December 31, 2025, which represents a 28.6% increase compared to fiscal year 2024, as announced in the company's Q4 and full-year financial sta</w:t>
      </w:r>
      <w:r>
        <w:t>tement.</w:t>
      </w:r>
    </w:p>
    <w:p w:rsidR="00FC3617" w:rsidRDefault="0014512D">
      <w:pPr>
        <w:pStyle w:val="ListBullet"/>
        <w:spacing w:after="60"/>
        <w:ind w:left="510"/>
      </w:pPr>
      <w:r>
        <w:t>The company reported that its quarterly revenue crossed the $3 billion mark for the first time in the second quarter of 2026, reaching $3.036 billion (a 37.7% increase year-over-year), and management subsequently raised its full-year 2026 revenue g</w:t>
      </w:r>
      <w:r>
        <w:t>uidance to $12.6 billion.</w:t>
      </w:r>
    </w:p>
    <w:p w:rsidR="00FC3617" w:rsidRDefault="0014512D">
      <w:pPr>
        <w:keepNext/>
        <w:pBdr>
          <w:left w:val="single" w:sz="24" w:space="6" w:color="52B69A"/>
        </w:pBdr>
        <w:spacing w:before="120" w:after="60"/>
        <w:ind w:left="170"/>
      </w:pPr>
      <w:r>
        <w:rPr>
          <w:b/>
          <w:color w:val="0F172A"/>
          <w:sz w:val="20"/>
        </w:rPr>
        <w:t>Installed Base &amp; Deployments — scored 97/100</w:t>
      </w:r>
    </w:p>
    <w:p w:rsidR="00FC3617" w:rsidRDefault="0014512D">
      <w:pPr>
        <w:keepNext/>
        <w:pBdr>
          <w:left w:val="single" w:sz="24" w:space="6" w:color="52B69A"/>
        </w:pBdr>
        <w:ind w:left="170"/>
      </w:pPr>
      <w:r>
        <w:t>The rating rests on its massive global footprint of over 150 million cumulative shipped ports and an active customer base exceeding 10,000 installations across major cloud titans and en</w:t>
      </w:r>
      <w:r>
        <w:t>terprise data centers. Based on primary research, the company's standalone software license contractual retention and breakdown can be estimated as strong, driven by platform-wide subscription and cloud management adoption, based on its product revenue rea</w:t>
      </w:r>
      <w:r>
        <w:t>ching over one billion eight hundred million dollars alongside CloudVision software deployment.</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Arista Networks reported that it exited 2025 having shipped a cumulative total of over 150 million cloud networking ports globally across its </w:t>
      </w:r>
      <w:r>
        <w:t>high-performance switching and routing portfolios.</w:t>
      </w:r>
    </w:p>
    <w:p w:rsidR="00FC3617" w:rsidRDefault="0014512D">
      <w:pPr>
        <w:pStyle w:val="ListBullet"/>
        <w:spacing w:after="60"/>
        <w:ind w:left="510"/>
      </w:pPr>
      <w:r>
        <w:t>The company officially announced that its customer footprint surpassed the milestone of 10,000 customers worldwide by 2024, deploying its flagship Extensible Operating System (EOS) platforms across enterpr</w:t>
      </w:r>
      <w:r>
        <w:t>ise, hyperscale, and cloud provider data centers.</w:t>
      </w:r>
    </w:p>
    <w:p w:rsidR="00FC3617" w:rsidRDefault="0014512D">
      <w:pPr>
        <w:keepNext/>
        <w:pBdr>
          <w:left w:val="single" w:sz="24" w:space="6" w:color="52B69A"/>
        </w:pBdr>
        <w:spacing w:before="120" w:after="60"/>
        <w:ind w:left="170"/>
      </w:pPr>
      <w:r>
        <w:rPr>
          <w:b/>
          <w:color w:val="0F172A"/>
          <w:sz w:val="20"/>
        </w:rPr>
        <w:lastRenderedPageBreak/>
        <w:t>Strategic Partnerships &amp; Channels — scored 93/100</w:t>
      </w:r>
    </w:p>
    <w:p w:rsidR="00FC3617" w:rsidRDefault="0014512D">
      <w:pPr>
        <w:keepNext/>
        <w:pBdr>
          <w:left w:val="single" w:sz="24" w:space="6" w:color="52B69A"/>
        </w:pBdr>
        <w:ind w:left="170"/>
      </w:pPr>
      <w:r>
        <w:t>The rating rests on the company's established, multi-tiered channel partner ecosystem and verified joint technical solutions targeting specialized AI data c</w:t>
      </w:r>
      <w:r>
        <w:t>enter infrastructure. Based on primary research, the company's engineer headcount and geographic distribution can be estimated as widespread, scaled across tiered partner compliance levels, based on its partner tier requirements ranging from 2 to 12 certif</w:t>
      </w:r>
      <w:r>
        <w:t>ied staff members across Authorized, Elite, and ElitePlus tiers.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Fortinet, Inc. announced the launch of its Secure AI Data Center solution, built in close collaboration with technology partner Arista Networks, to deliver a validated, </w:t>
      </w:r>
      <w:r>
        <w:t>scalable, zero-trust architecture for AI data center infrastructure.</w:t>
      </w:r>
    </w:p>
    <w:p w:rsidR="00FC3617" w:rsidRDefault="0014512D">
      <w:pPr>
        <w:pStyle w:val="ListBullet"/>
        <w:spacing w:after="60"/>
        <w:ind w:left="510"/>
      </w:pPr>
      <w:r>
        <w:t>Arista Networks maintains a structured tier-based global channel program known as the Channels NOW! Partner Program, which categorizes its distributors and resellers into Authorized, Elit</w:t>
      </w:r>
      <w:r>
        <w:t>e, and ElitePlus partnership levels.</w:t>
      </w:r>
    </w:p>
    <w:p w:rsidR="00FC3617" w:rsidRDefault="0014512D">
      <w:pPr>
        <w:keepNext/>
        <w:pBdr>
          <w:left w:val="single" w:sz="24" w:space="6" w:color="52B69A"/>
        </w:pBdr>
        <w:spacing w:before="120" w:after="60"/>
        <w:ind w:left="170"/>
      </w:pPr>
      <w:r>
        <w:rPr>
          <w:b/>
          <w:color w:val="0F172A"/>
          <w:sz w:val="20"/>
        </w:rPr>
        <w:t>R&amp;D Investment &amp; Financial Strength — scored 93/100</w:t>
      </w:r>
    </w:p>
    <w:p w:rsidR="00FC3617" w:rsidRDefault="0014512D">
      <w:pPr>
        <w:keepNext/>
        <w:pBdr>
          <w:left w:val="single" w:sz="24" w:space="6" w:color="52B69A"/>
        </w:pBdr>
        <w:ind w:left="170"/>
      </w:pPr>
      <w:r>
        <w:t>The rating rests on the company's strong annual R&amp;D expansion to $1.24 billion and exceptional profitability margins exceeding $3.5 billion in net income for fiscal ye</w:t>
      </w:r>
      <w:r>
        <w:t>ar 2025. Based on primary research, the company's credit rating and funding guarantees can be estimated as excellent asset coverage with no long-term debt reliance, based on its total assets of over $16 billion against total liabilities of under $6 billion</w:t>
      </w:r>
      <w:r>
        <w:t xml:space="preserve"> as an independent company.</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reported an annual research and development spending of $1.24 billion for fiscal year 2025, which grew at a 19.4% compound annual rate from $209.4 million in fiscal year 2015, according to its offic</w:t>
      </w:r>
      <w:r>
        <w:t>ial SEC filings published by EarningsStory.</w:t>
      </w:r>
    </w:p>
    <w:p w:rsidR="00FC3617" w:rsidRDefault="0014512D">
      <w:pPr>
        <w:pStyle w:val="ListBullet"/>
        <w:spacing w:after="60"/>
        <w:ind w:left="510"/>
      </w:pPr>
      <w:r>
        <w:t>The company reported a full-year fiscal 2025 revenue of $9.006 billion, up 28.6% year-over-year, alongside a GAAP net income of $3.511 billion and an operating cash flow of $1.262 billion in its fourth-quarter ea</w:t>
      </w:r>
      <w:r>
        <w:t>rnings release published.</w:t>
      </w:r>
    </w:p>
    <w:p w:rsidR="00FC3617" w:rsidRDefault="0014512D">
      <w:pPr>
        <w:pStyle w:val="Heading2"/>
        <w:pageBreakBefore/>
        <w:shd w:val="clear" w:color="auto" w:fill="002857"/>
        <w:spacing w:after="0"/>
      </w:pPr>
      <w:bookmarkStart w:id="12" w:name="_Toc242935682"/>
      <w:r>
        <w:lastRenderedPageBreak/>
        <w:t>Nutanix, Inc.</w:t>
      </w:r>
      <w:bookmarkEnd w:id="12"/>
    </w:p>
    <w:p w:rsidR="00FC3617" w:rsidRDefault="0014512D">
      <w:pPr>
        <w:shd w:val="clear" w:color="auto" w:fill="002857"/>
        <w:spacing w:after="200"/>
      </w:pPr>
      <w:r>
        <w:rPr>
          <w:color w:val="CBD5E1"/>
          <w:sz w:val="18"/>
        </w:rPr>
        <w:t xml:space="preserve">Nutanix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88</w:t>
      </w:r>
      <w:r>
        <w:rPr>
          <w:color w:val="CBD5E1"/>
          <w:sz w:val="18"/>
        </w:rPr>
        <w:t xml:space="preserve">     Overall </w:t>
      </w:r>
      <w:r>
        <w:rPr>
          <w:b/>
          <w:color w:val="FFFFFF"/>
          <w:sz w:val="20"/>
        </w:rPr>
        <w:t>84</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Rack &amp; Enclosure Density — scored 65/100</w:t>
      </w:r>
    </w:p>
    <w:p w:rsidR="00FC3617" w:rsidRDefault="0014512D">
      <w:pPr>
        <w:keepNext/>
        <w:pBdr>
          <w:left w:val="single" w:sz="24" w:space="6" w:color="52B69A"/>
        </w:pBdr>
        <w:ind w:left="170"/>
      </w:pPr>
      <w:r>
        <w:t xml:space="preserve">Based on primary research, the company's physical rack environmental and security features </w:t>
      </w:r>
      <w:r>
        <w:t>can be estimated as high for enterprise deployments, based on its specialized hardware line including the newer generation platforms and recommendations for dual redundant circuits.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Compute &amp; Storage Performance — scored 94/</w:t>
      </w:r>
      <w:r>
        <w:rPr>
          <w:b/>
          <w:color w:val="0F172A"/>
          <w:sz w:val="20"/>
        </w:rPr>
        <w:t>100</w:t>
      </w:r>
    </w:p>
    <w:p w:rsidR="00FC3617" w:rsidRDefault="0014512D">
      <w:pPr>
        <w:keepNext/>
        <w:pBdr>
          <w:left w:val="single" w:sz="24" w:space="6" w:color="52B69A"/>
        </w:pBdr>
        <w:ind w:left="170"/>
      </w:pPr>
      <w:r>
        <w:t>We verified that Nutanix provides strong, scalable data throughput and high IOPS capabilities for demanding enterprise and artificial intelligence workloads. Based on primary research, the company's platform compute benchmarks can be estimated as indep</w:t>
      </w:r>
      <w:r>
        <w:t>endent, matching top-tier architecture specifications across third-party environments, based on its software-only optimization across diverse hardware architectures like Cisco, Dell, and Supermicro.</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Nutanix Unified Storage demonstrated li</w:t>
      </w:r>
      <w:r>
        <w:t>near performance scalability for machine learning workloads, including the ResNet50 and 3D-UNet models, during the industry-standard MLPerf Storage v1.0 Benchmark.</w:t>
      </w:r>
    </w:p>
    <w:p w:rsidR="00FC3617" w:rsidRDefault="0014512D">
      <w:pPr>
        <w:pStyle w:val="ListBullet"/>
        <w:spacing w:after="60"/>
        <w:ind w:left="510"/>
      </w:pPr>
      <w:r>
        <w:t>Technical benchmark results published in November 2025 demonstrated that a single virtual ma</w:t>
      </w:r>
      <w:r>
        <w:t>chine running on Nutanix hyperconverged infrastructure achieved 2 million IOPS using the Fio testing tool.</w:t>
      </w:r>
    </w:p>
    <w:p w:rsidR="00FC3617" w:rsidRDefault="0014512D">
      <w:pPr>
        <w:keepNext/>
        <w:pBdr>
          <w:left w:val="single" w:sz="24" w:space="6" w:color="52B69A"/>
        </w:pBdr>
        <w:spacing w:before="120" w:after="60"/>
        <w:ind w:left="170"/>
      </w:pPr>
      <w:r>
        <w:rPr>
          <w:b/>
          <w:color w:val="0F172A"/>
          <w:sz w:val="20"/>
        </w:rPr>
        <w:t>Power &amp; Cooling Efficiency — scored 65/100</w:t>
      </w:r>
    </w:p>
    <w:p w:rsidR="00FC3617" w:rsidRDefault="0014512D">
      <w:pPr>
        <w:keepNext/>
        <w:pBdr>
          <w:left w:val="single" w:sz="24" w:space="6" w:color="52B69A"/>
        </w:pBdr>
        <w:ind w:left="170"/>
      </w:pPr>
      <w:r>
        <w:t>The evaluation rests on third-party ENERGY STAR certificates validating the energy efficiency of the compa</w:t>
      </w:r>
      <w:r>
        <w:t>ny's hyperconverged server hardware nodes. Based on primary research, the company's standalone power efficiency can be estimated as dependent entirely on ecosystem partners for underlying facility equipment metrics, based on its reliance on validating thir</w:t>
      </w:r>
      <w:r>
        <w:t>d-party original equipment manufacturer server nodes and hardware partner factories.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Nutanix NXS2U1NL12G910 rack-mount enterprise server achieved official EPA ENERGY STAR certification on January 17, 2024, with a recorded SERT Active </w:t>
      </w:r>
      <w:r>
        <w:t>State Efficiency Score of 33.50, according to the EPA ENERGY STAR Product Finder.</w:t>
      </w:r>
    </w:p>
    <w:p w:rsidR="00FC3617" w:rsidRDefault="0014512D">
      <w:pPr>
        <w:pStyle w:val="ListBullet"/>
        <w:spacing w:after="60"/>
        <w:ind w:left="510"/>
      </w:pPr>
      <w:r>
        <w:t>The Nutanix NXS2U4NS24G900 enterprise server obtained EPA ENERGY STAR certification with a SERT Active State Efficiency Score of 34.50 and became available on the market on M</w:t>
      </w:r>
      <w:r>
        <w:t>ay 31, 2023, as detailed by the EPA ENERGY STAR Product Finder.</w:t>
      </w:r>
    </w:p>
    <w:p w:rsidR="00FC3617" w:rsidRDefault="0014512D">
      <w:pPr>
        <w:keepNext/>
        <w:pBdr>
          <w:left w:val="single" w:sz="24" w:space="6" w:color="52B69A"/>
        </w:pBdr>
        <w:spacing w:before="120" w:after="60"/>
        <w:ind w:left="170"/>
      </w:pPr>
      <w:r>
        <w:rPr>
          <w:b/>
          <w:color w:val="0F172A"/>
          <w:sz w:val="20"/>
        </w:rPr>
        <w:t>DCIM &amp; Management Software — scored 79/100</w:t>
      </w:r>
    </w:p>
    <w:p w:rsidR="00FC3617" w:rsidRDefault="0014512D">
      <w:pPr>
        <w:keepNext/>
        <w:pBdr>
          <w:left w:val="single" w:sz="24" w:space="6" w:color="52B69A"/>
        </w:pBdr>
        <w:ind w:left="170"/>
      </w:pPr>
      <w:r>
        <w:t>We verified that the company relies on third-party technology alliance partnerships for facility-level tracking and power management rather than offe</w:t>
      </w:r>
      <w:r>
        <w:t>ring a native DCIM solution. Based on primary research, the company's infrastructure management software can be estimated as strong for hyperconverged environments but limited to software-defined storage, network, and virtual cluster topologies, based on i</w:t>
      </w:r>
      <w:r>
        <w:t>ts Prism and Nutanix Cloud Manager platforms providing one-click operational insights and capacity optimization.</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Eaton achieved Nutanix Ready validation to certify interoperability between Nutanix architecture and Eaton's Brightlayer Data</w:t>
      </w:r>
      <w:r>
        <w:t xml:space="preserve"> Centers software suite, which delivers the data center infrastructure management (DCIM) capabilities for the joint environment, according to an Eaton Eaton Power Advantage Blog publication.</w:t>
      </w:r>
    </w:p>
    <w:p w:rsidR="00FC3617" w:rsidRDefault="0014512D">
      <w:pPr>
        <w:keepNext/>
        <w:pBdr>
          <w:left w:val="single" w:sz="24" w:space="6" w:color="52B69A"/>
        </w:pBdr>
        <w:spacing w:before="120" w:after="60"/>
        <w:ind w:left="170"/>
      </w:pPr>
      <w:r>
        <w:rPr>
          <w:b/>
          <w:color w:val="0F172A"/>
          <w:sz w:val="20"/>
        </w:rPr>
        <w:t>AI &amp; Sustainability Innovation — scored 90/100</w:t>
      </w:r>
    </w:p>
    <w:p w:rsidR="00FC3617" w:rsidRDefault="0014512D">
      <w:pPr>
        <w:keepNext/>
        <w:pBdr>
          <w:left w:val="single" w:sz="24" w:space="6" w:color="52B69A"/>
        </w:pBdr>
        <w:ind w:left="170"/>
      </w:pPr>
      <w:r>
        <w:t xml:space="preserve">The assessment </w:t>
      </w:r>
      <w:r>
        <w:t>rests on the company's established integration of predictive machine learning models for infrastructure right-sizing and its hardware-integrated power consumption tracking dashboards. Based on primary research, the company's facility AI controls can be est</w:t>
      </w:r>
      <w:r>
        <w:t>imated as restricted to virtualized application workloads and smart resource placement, based on its focus on GPU consumption tuning and AI-driven data tiering rather than facility building management mechanics.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w:t>
      </w:r>
      <w:r>
        <w:t>ts Nutanix Cloud Manager Intelligent Operations platform utilizes the X-FIT ensemble machine learning model engine to deliver AIOps capabilities, including real-time anomaly detection, automated VM right-sizing, and predictive capacity runway forecasting t</w:t>
      </w:r>
      <w:r>
        <w:t>o prevent resource overprovisioning.</w:t>
      </w:r>
    </w:p>
    <w:p w:rsidR="00FC3617" w:rsidRDefault="0014512D">
      <w:pPr>
        <w:pStyle w:val="ListBullet"/>
        <w:spacing w:after="60"/>
        <w:ind w:left="510"/>
      </w:pPr>
      <w:r>
        <w:lastRenderedPageBreak/>
        <w:t>At its.NEXT Conference on May 21, 2024, Nutanix announced new real-time power monitoring capabilities within the Nutanix Cloud Platform, introducing a Power Consumption Dashboard that visualizes energy utilization metri</w:t>
      </w:r>
      <w:r>
        <w:t>cs based on physical hardware configurations to support enterprise carbon footprint tracking.</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83/100</w:t>
      </w:r>
    </w:p>
    <w:p w:rsidR="00FC3617" w:rsidRDefault="0014512D">
      <w:pPr>
        <w:keepNext/>
        <w:pBdr>
          <w:left w:val="single" w:sz="24" w:space="6" w:color="52B69A"/>
        </w:pBdr>
        <w:ind w:left="170"/>
      </w:pPr>
      <w:r>
        <w:t>We verified that the company's customer base in this category consists of tier-two managed cl</w:t>
      </w:r>
      <w:r>
        <w:t xml:space="preserve">oud service providers and regional operators rather than global hyperscale tech giants. Based on primary research, the company's named public cloud hyperscaler internal contracts can be estimated as limited to collaborative hybrid cloud deployments, based </w:t>
      </w:r>
      <w:r>
        <w:t>on its partnerships enabling Nutanix Cloud Clusters on Amazon Web Services and Microsoft Azure.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Expedient, a private cloud service provider, deployed the Nutanix hyperconverged infrastructure platform and Nutanix Disaster Recovery as a Se</w:t>
      </w:r>
      <w:r>
        <w:t>rvice (DRaaS) to power its core enterprise cloud offerings, according to a case study published by Nutanix.</w:t>
      </w:r>
    </w:p>
    <w:p w:rsidR="00FC3617" w:rsidRDefault="0014512D">
      <w:pPr>
        <w:pStyle w:val="ListBullet"/>
        <w:spacing w:after="60"/>
        <w:ind w:left="510"/>
      </w:pPr>
      <w:r>
        <w:t>Metacom, a managed and cloud service provider, deployed the Nutanix Enterprise Cloud suite to replace its legacy infrastructure and achieve scalable</w:t>
      </w:r>
      <w:r>
        <w:t xml:space="preserve"> network operations across its client sites, as announced by Nutanix in May 2023.</w:t>
      </w:r>
    </w:p>
    <w:p w:rsidR="00FC3617" w:rsidRDefault="0014512D">
      <w:pPr>
        <w:keepNext/>
        <w:pBdr>
          <w:left w:val="single" w:sz="24" w:space="6" w:color="52B69A"/>
        </w:pBdr>
        <w:spacing w:before="120" w:after="60"/>
        <w:ind w:left="170"/>
      </w:pPr>
      <w:r>
        <w:rPr>
          <w:b/>
          <w:color w:val="0F172A"/>
          <w:sz w:val="20"/>
        </w:rPr>
        <w:t>Global Revenue &amp; Market Share — scored 87/100</w:t>
      </w:r>
    </w:p>
    <w:p w:rsidR="00FC3617" w:rsidRDefault="0014512D">
      <w:pPr>
        <w:keepNext/>
        <w:pBdr>
          <w:left w:val="single" w:sz="24" w:space="6" w:color="52B69A"/>
        </w:pBdr>
        <w:ind w:left="170"/>
      </w:pPr>
      <w:r>
        <w:t>The assessment rests on the company's sustained annual revenue expansion and growing recurring software contract base through it</w:t>
      </w:r>
      <w:r>
        <w:t>s fiscal year 2026 financial reporting. Based on primary research, the company's total data center market share percentages can be estimated as growing steadily from its niche core segment, based on its focus on hyperconverged infrastructure and server vir</w:t>
      </w:r>
      <w:r>
        <w:t>tualization platforms where it is named a leader.</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Nutanix reported a total annual revenue of $2.85 billion for fiscal year 2026, representing a 12% increase year-over-year, according to the official Nutanix Investor Relations Fourth Quart</w:t>
      </w:r>
      <w:r>
        <w:t>er and Fiscal 2026 Financial Results Press Release.</w:t>
      </w:r>
    </w:p>
    <w:p w:rsidR="00FC3617" w:rsidRDefault="0014512D">
      <w:pPr>
        <w:pStyle w:val="ListBullet"/>
        <w:spacing w:after="60"/>
        <w:ind w:left="510"/>
      </w:pPr>
      <w:r>
        <w:t>Nutanix achieved an annual recurring revenue (ARR) of $2.55 billion for fiscal year 2026, showing 16% year-over-year growth, and added over 3,000 new customers to reach a cumulative total of 32,360, as st</w:t>
      </w:r>
      <w:r>
        <w:t>ated in its Q4 Fiscal 2026 Earnings Summary.</w:t>
      </w:r>
    </w:p>
    <w:p w:rsidR="00FC3617" w:rsidRDefault="0014512D">
      <w:pPr>
        <w:keepNext/>
        <w:pBdr>
          <w:left w:val="single" w:sz="24" w:space="6" w:color="52B69A"/>
        </w:pBdr>
        <w:spacing w:before="120" w:after="60"/>
        <w:ind w:left="170"/>
      </w:pPr>
      <w:r>
        <w:rPr>
          <w:b/>
          <w:color w:val="0F172A"/>
          <w:sz w:val="20"/>
        </w:rPr>
        <w:t>Installed Base &amp; Deployments — scored 86/100</w:t>
      </w:r>
    </w:p>
    <w:p w:rsidR="00FC3617" w:rsidRDefault="0014512D">
      <w:pPr>
        <w:keepNext/>
        <w:pBdr>
          <w:left w:val="single" w:sz="24" w:space="6" w:color="52B69A"/>
        </w:pBdr>
        <w:ind w:left="170"/>
      </w:pPr>
      <w:r>
        <w:t>We verified Nutanix's extensive deployment scale through its large global customer base and documented enterprise data center migrations. Based on primary research, t</w:t>
      </w:r>
      <w:r>
        <w:t>he company's deployed software licenses or hardware appliance units can be estimated as substantial and growing across global enterprises, based on its 32,360 cumulative total worldwide customers.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Nutanix reports that its hybrid multiclou</w:t>
      </w:r>
      <w:r>
        <w:t>d platform is trusted by more than 29,000 customers worldwide as of July 31, 2025, according to the Nutanix Impact Report FY25.</w:t>
      </w:r>
    </w:p>
    <w:p w:rsidR="00FC3617" w:rsidRDefault="0014512D">
      <w:pPr>
        <w:pStyle w:val="ListBullet"/>
        <w:spacing w:after="60"/>
        <w:ind w:left="510"/>
      </w:pPr>
      <w:r>
        <w:t>European online retailer Smartbox Group deployed the Nutanix Cloud Platform and AHV hypervisor to consolidate its data center in</w:t>
      </w:r>
      <w:r>
        <w:t>frastructure, reducing its equipment footprint from 12 racks to a single rack, as documented in a Nutanix case study.</w:t>
      </w:r>
    </w:p>
    <w:p w:rsidR="00FC3617" w:rsidRDefault="0014512D">
      <w:pPr>
        <w:keepNext/>
        <w:pBdr>
          <w:left w:val="single" w:sz="24" w:space="6" w:color="52B69A"/>
        </w:pBdr>
        <w:spacing w:before="120" w:after="60"/>
        <w:ind w:left="170"/>
      </w:pPr>
      <w:r>
        <w:rPr>
          <w:b/>
          <w:color w:val="0F172A"/>
          <w:sz w:val="20"/>
        </w:rPr>
        <w:t>Strategic Partnerships &amp; Channels — scored 94/100</w:t>
      </w:r>
    </w:p>
    <w:p w:rsidR="00FC3617" w:rsidRDefault="0014512D">
      <w:pPr>
        <w:keepNext/>
        <w:pBdr>
          <w:left w:val="single" w:sz="24" w:space="6" w:color="52B69A"/>
        </w:pBdr>
        <w:ind w:left="170"/>
      </w:pPr>
      <w:r>
        <w:t xml:space="preserve">The rating rests on confirmed global strategic OEM integrations with tier-one hardware </w:t>
      </w:r>
      <w:r>
        <w:t>suppliers and deep tier-one distribution relationships across major geographies. Based on primary research, the company's geographic partner tier count breakdowns can be estimated as broad across major global regions, based on its Elevate Partner Program n</w:t>
      </w:r>
      <w:r>
        <w:t>etwork covering international markets including APAC, Americas, and EMEA.</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Nutanix Inc. forged a global strategic partnership with Cisco Systems Inc. on August 28, 2023, integrating Cisco's SaaS-managed compute and networking infrastructur</w:t>
      </w:r>
      <w:r>
        <w:t>e (including UCS and Intersight) with the Nutanix Cloud Platform, creating an integrated solution sold globally by Cisco.</w:t>
      </w:r>
    </w:p>
    <w:p w:rsidR="00FC3617" w:rsidRDefault="0014512D">
      <w:pPr>
        <w:pStyle w:val="ListBullet"/>
        <w:spacing w:after="60"/>
        <w:ind w:left="510"/>
      </w:pPr>
      <w:r>
        <w:t>Nutanix maintains a distribution alliance with TD SYNNEX (formerly Tech Data), which acts as an authorized distributor providing speci</w:t>
      </w:r>
      <w:r>
        <w:t>alized multi-vendor solutions assurance, deployment services, and training, including acting as a sole UK value-added distributor for Nutanix software running on the HPE DX platform.</w:t>
      </w:r>
    </w:p>
    <w:p w:rsidR="00FC3617" w:rsidRDefault="0014512D">
      <w:pPr>
        <w:keepNext/>
        <w:pBdr>
          <w:left w:val="single" w:sz="24" w:space="6" w:color="52B69A"/>
        </w:pBdr>
        <w:spacing w:before="120" w:after="60"/>
        <w:ind w:left="170"/>
      </w:pPr>
      <w:r>
        <w:rPr>
          <w:b/>
          <w:color w:val="0F172A"/>
          <w:sz w:val="20"/>
        </w:rPr>
        <w:lastRenderedPageBreak/>
        <w:t>R&amp;D Investment &amp; Financial Strength — scored 89/100</w:t>
      </w:r>
    </w:p>
    <w:p w:rsidR="00FC3617" w:rsidRDefault="0014512D">
      <w:pPr>
        <w:keepNext/>
        <w:pBdr>
          <w:left w:val="single" w:sz="24" w:space="6" w:color="52B69A"/>
        </w:pBdr>
        <w:ind w:left="170"/>
      </w:pPr>
      <w:r>
        <w:t>The rating rests on t</w:t>
      </w:r>
      <w:r>
        <w:t>he company's high research and development spending exceeding 27% of its total revenue, alongside rising profitability and cash flows to sustain infrastructure innovation. Based on primary research, the company's corporate credit rating can be estimated as</w:t>
      </w:r>
      <w:r>
        <w:t xml:space="preserve"> stable investment grade capability, based on its over two billion four hundred million dollars in annual recurring revenue and positive free cash flows.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reported a research and development expenditure of $790.892 million for </w:t>
      </w:r>
      <w:r>
        <w:t>fiscal year 2026, which constitutes approximately 27.7% of its total annual revenue of $2.85 billion, according to its official fiscal 2026 fourth quarter and full year financial results press release.</w:t>
      </w:r>
    </w:p>
    <w:p w:rsidR="00FC3617" w:rsidRDefault="0014512D">
      <w:pPr>
        <w:pStyle w:val="ListBullet"/>
        <w:spacing w:after="60"/>
        <w:ind w:left="510"/>
      </w:pPr>
      <w:r>
        <w:t>The company reported a GAAP operating income of $274.0</w:t>
      </w:r>
      <w:r>
        <w:t xml:space="preserve"> million and a free cash flow of $840.7 million for fiscal year 2026, showing an increase from its fiscal year 2025 GAAP operating income of $172.5 million and free cash flow of $750.2 million, according to its official fiscal 2026 fourth quarter and full </w:t>
      </w:r>
      <w:r>
        <w:t>year financial results press release.</w:t>
      </w:r>
    </w:p>
    <w:p w:rsidR="00FC3617" w:rsidRDefault="0014512D">
      <w:pPr>
        <w:pStyle w:val="Heading2"/>
        <w:pageBreakBefore/>
        <w:shd w:val="clear" w:color="auto" w:fill="002857"/>
        <w:spacing w:after="0"/>
      </w:pPr>
      <w:bookmarkStart w:id="13" w:name="_Toc242935683"/>
      <w:r>
        <w:lastRenderedPageBreak/>
        <w:t>EnerSys</w:t>
      </w:r>
      <w:bookmarkEnd w:id="13"/>
    </w:p>
    <w:p w:rsidR="00FC3617" w:rsidRDefault="0014512D">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78</w:t>
      </w:r>
      <w:r>
        <w:rPr>
          <w:color w:val="CBD5E1"/>
          <w:sz w:val="18"/>
        </w:rPr>
        <w:t xml:space="preserve">     Overall </w:t>
      </w:r>
      <w:r>
        <w:rPr>
          <w:b/>
          <w:color w:val="FFFFFF"/>
          <w:sz w:val="20"/>
        </w:rPr>
        <w:t>80</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66/100</w:t>
      </w:r>
    </w:p>
    <w:p w:rsidR="00FC3617" w:rsidRDefault="0014512D">
      <w:pPr>
        <w:keepNext/>
        <w:pBdr>
          <w:left w:val="single" w:sz="24" w:space="6" w:color="52B69A"/>
        </w:pBdr>
        <w:ind w:left="170"/>
      </w:pPr>
      <w:r>
        <w:t xml:space="preserve">Based on primary research, the company's server performance benchmarks can be estimated as </w:t>
      </w:r>
      <w:r>
        <w:t xml:space="preserve">limited to zero capability, as the portfolio focuses exclusively on physical power and infrastructure rather than computing hardware, based on its data center focus on industrial stored energy solutions, high-rate discharge battery systems, and thin plate </w:t>
      </w:r>
      <w:r>
        <w:t>pure lead technologies.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Efficiency — scored 82/100</w:t>
      </w:r>
    </w:p>
    <w:p w:rsidR="00FC3617" w:rsidRDefault="0014512D">
      <w:pPr>
        <w:keepNext/>
        <w:pBdr>
          <w:left w:val="single" w:sz="24" w:space="6" w:color="52B69A"/>
        </w:pBdr>
        <w:ind w:left="170"/>
      </w:pPr>
      <w:r>
        <w:t xml:space="preserve">The rating rests on confirmed internal case studies demonstrating that the company's battery technology reduces float current and operates at higher ambient </w:t>
      </w:r>
      <w:r>
        <w:t>thresholds to lower facility cooling demands. Based on primary research, the company's operational power efficiency can be estimated as strong, in line with leading mission critical battery vendors, based on its DataSafe Noir lithium system and embedded mo</w:t>
      </w:r>
      <w:r>
        <w:t>nitoring technology built to optimize backup power behavior under stress.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 case study at a Milan, Italy data center facility demonstrated that deploying EnerSys DataSafe XE Thin Plate Pure Lead (TPPL) UPS batteries achieved 30% lower ene</w:t>
      </w:r>
      <w:r>
        <w:t>rgy costs and allowed reliable operation at elevated ambient temperatures up to 30°C to reduce cooling requirements, according to an EnerSys case study.</w:t>
      </w:r>
    </w:p>
    <w:p w:rsidR="00FC3617" w:rsidRDefault="0014512D">
      <w:pPr>
        <w:pStyle w:val="ListBullet"/>
        <w:spacing w:after="60"/>
        <w:ind w:left="510"/>
      </w:pPr>
      <w:r>
        <w:t xml:space="preserve">A deployment of 260 DataSafe backup batteries integrated with the EnVision Connect system monitor at a </w:t>
      </w:r>
      <w:r>
        <w:t>European data center optimized power management and minimized emergency maintenance interventions ahead of an international sporting event, as reported in a company announcement.</w:t>
      </w:r>
    </w:p>
    <w:p w:rsidR="00FC3617" w:rsidRDefault="0014512D">
      <w:pPr>
        <w:keepNext/>
        <w:pBdr>
          <w:left w:val="single" w:sz="24" w:space="6" w:color="52B69A"/>
        </w:pBdr>
        <w:spacing w:before="120" w:after="60"/>
        <w:ind w:left="170"/>
      </w:pPr>
      <w:r>
        <w:rPr>
          <w:b/>
          <w:color w:val="0F172A"/>
          <w:sz w:val="20"/>
        </w:rPr>
        <w:t>Rack &amp; Enclosure Density — scored 91/100</w:t>
      </w:r>
    </w:p>
    <w:p w:rsidR="00FC3617" w:rsidRDefault="0014512D">
      <w:pPr>
        <w:keepNext/>
        <w:pBdr>
          <w:left w:val="single" w:sz="24" w:space="6" w:color="52B69A"/>
        </w:pBdr>
        <w:ind w:left="170"/>
      </w:pPr>
      <w:r>
        <w:t xml:space="preserve">We verified that the company offers </w:t>
      </w:r>
      <w:r>
        <w:t>modular battery cabinet enclosures capable of supporting high-density configurations up to 600 kW. Based on primary research, the company's thermal control and protective physical security can be estimated as robust for harsh industrial environments, match</w:t>
      </w:r>
      <w:r>
        <w:t>ing industry standards for outdoor infrastructure, based on its VaultFlex battery enclosures featuring customizable air conditioning, direct air cooling zones, and alpha enclosure security enhancements.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DataSafe Noir lithium energy st</w:t>
      </w:r>
      <w:r>
        <w:t>orage system supports up to 600 kW of output power per cabinet and up to 1.2 MW across two cabinets for high-density environments, as reported in the EnerSys DataSafe Noir Product Specifications.</w:t>
      </w:r>
    </w:p>
    <w:p w:rsidR="00FC3617" w:rsidRDefault="0014512D">
      <w:pPr>
        <w:pStyle w:val="ListBullet"/>
        <w:spacing w:after="60"/>
        <w:ind w:left="510"/>
      </w:pPr>
      <w:r>
        <w:t>A data center deployment case study in Milan demonstrates th</w:t>
      </w:r>
      <w:r>
        <w:t>at the DataSafe XE batteries utilize true Thin Plate Pure Lead technology to provide a 25% smaller installation footprint than traditional VRLA alternatives, as documented by the EnerSys Milan Case Study.</w:t>
      </w:r>
    </w:p>
    <w:p w:rsidR="00FC3617" w:rsidRDefault="0014512D">
      <w:pPr>
        <w:keepNext/>
        <w:pBdr>
          <w:left w:val="single" w:sz="24" w:space="6" w:color="52B69A"/>
        </w:pBdr>
        <w:spacing w:before="120" w:after="60"/>
        <w:ind w:left="170"/>
      </w:pPr>
      <w:r>
        <w:rPr>
          <w:b/>
          <w:color w:val="0F172A"/>
          <w:sz w:val="20"/>
        </w:rPr>
        <w:t>DCIM &amp; Management Software — scored 79/100</w:t>
      </w:r>
    </w:p>
    <w:p w:rsidR="00FC3617" w:rsidRDefault="0014512D">
      <w:pPr>
        <w:keepNext/>
        <w:pBdr>
          <w:left w:val="single" w:sz="24" w:space="6" w:color="52B69A"/>
        </w:pBdr>
        <w:ind w:left="170"/>
      </w:pPr>
      <w:r>
        <w:t>We verif</w:t>
      </w:r>
      <w:r>
        <w:t xml:space="preserve">ied that the company's capabilities focus specifically on specialized battery monitoring apps and integrated Battery Management Systems (BMS) rather than full-scale infrastructure orchestration. Based on primary research, the company's facility management </w:t>
      </w:r>
      <w:r>
        <w:t>software capabilities can be estimated as focused primarily on electrical subsystem asset tracking rather than comprehensive facility automation, based on its EnVision Connect system monitor designed specifically to track key battery parameters such as rea</w:t>
      </w:r>
      <w:r>
        <w:t>l-time voltage and temperature.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the integration of its DataSafe® Thin Plate Pure Lead (TPPL) batteries with its EnVision™ Connect system monitor app, allowing data center operators to track real-time battery voltage an</w:t>
      </w:r>
      <w:r>
        <w:t>d temperature for proactive maintenance.</w:t>
      </w:r>
    </w:p>
    <w:p w:rsidR="00FC3617" w:rsidRDefault="0014512D">
      <w:pPr>
        <w:pStyle w:val="ListBullet"/>
        <w:spacing w:after="60"/>
        <w:ind w:left="510"/>
      </w:pPr>
      <w:r>
        <w:t>The company reports that its DataSafe Noir™ lithium energy storage system for data center UPS applications features a multi-level Battery Management System (BMS) architecture with integrated monitoring and protectio</w:t>
      </w:r>
      <w:r>
        <w:t>n via CAN / RS485 communications.</w:t>
      </w:r>
    </w:p>
    <w:p w:rsidR="00FC3617" w:rsidRDefault="0014512D">
      <w:pPr>
        <w:keepNext/>
        <w:pBdr>
          <w:left w:val="single" w:sz="24" w:space="6" w:color="52B69A"/>
        </w:pBdr>
        <w:spacing w:before="120" w:after="60"/>
        <w:ind w:left="170"/>
      </w:pPr>
      <w:r>
        <w:rPr>
          <w:b/>
          <w:color w:val="0F172A"/>
          <w:sz w:val="20"/>
        </w:rPr>
        <w:t>AI &amp; Sustainability Innovation — scored 86/100</w:t>
      </w:r>
    </w:p>
    <w:p w:rsidR="00FC3617" w:rsidRDefault="0014512D">
      <w:pPr>
        <w:keepNext/>
        <w:pBdr>
          <w:left w:val="single" w:sz="24" w:space="6" w:color="52B69A"/>
        </w:pBdr>
        <w:ind w:left="170"/>
      </w:pPr>
      <w:r>
        <w:t>The rating rests on EnerSys' verified introduction of embedded battery intelligence for proactive maintenance and real-time operational optimization, alongside industry recogn</w:t>
      </w:r>
      <w:r>
        <w:t xml:space="preserve">ition including the 2024 Energy Storage Product of the Year at the Data Centre Review Excellence Awards. Based on primary research, the company's predictive monitoring </w:t>
      </w:r>
      <w:r>
        <w:lastRenderedPageBreak/>
        <w:t>analytics can be estimated as developing steadily via localized component level analytic</w:t>
      </w:r>
      <w:r>
        <w:t>s, based on its advanced embedded battery intelligence that captures temperature and voltage trends to enable proactive maintenance and reduce hardware downtime.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In March 2025, EnerSys integrated advanced embedded tracking technology into</w:t>
      </w:r>
      <w:r>
        <w:t xml:space="preserve"> its DataSafe Thin Plate Pure Lead (TPPL) batteries, connecting with the EnVision Connect system monitor to deliver data-driven real-time tracking of parameters like voltage and temperature for proactive data center maintenance.</w:t>
      </w:r>
    </w:p>
    <w:p w:rsidR="00FC3617" w:rsidRDefault="0014512D">
      <w:pPr>
        <w:pStyle w:val="ListBullet"/>
        <w:spacing w:after="60"/>
        <w:ind w:left="510"/>
      </w:pPr>
      <w:r>
        <w:t>A European data center succ</w:t>
      </w:r>
      <w:r>
        <w:t xml:space="preserve">essfully deployed 260 DataSafe batteries with this embedded tracking technology ahead of a major international sporting event to achieve frequent battery status updates, reduce emergency maintenance interventions, and mitigate risks associated with backup </w:t>
      </w:r>
      <w:r>
        <w:t>power failures.</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81/100</w:t>
      </w:r>
    </w:p>
    <w:p w:rsidR="00FC3617" w:rsidRDefault="0014512D">
      <w:pPr>
        <w:keepNext/>
        <w:pBdr>
          <w:left w:val="single" w:sz="24" w:space="6" w:color="52B69A"/>
        </w:pBdr>
        <w:ind w:left="170"/>
      </w:pPr>
      <w:r>
        <w:t xml:space="preserve">The rating rests on the company's self-reported case study involving an unnamed hyperscale operator implementing its battery systems. Based on primary research, the </w:t>
      </w:r>
      <w:r>
        <w:t>company's names of hyperscale customers can be estimated as extensive across major cloud platforms, based on its DataSafe Noir deployment designed for hyperscale environments and major greenfield builds.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a "hypers</w:t>
      </w:r>
      <w:r>
        <w:t>cale operator" partnered with them to rethink its UPS infrastructure strategy at scale using EnerSys DataSafe XE batteries, according to an industry insight article published on the EnerSys Website in June 2025.</w:t>
      </w:r>
    </w:p>
    <w:p w:rsidR="00FC3617" w:rsidRDefault="0014512D">
      <w:pPr>
        <w:keepNext/>
        <w:pBdr>
          <w:left w:val="single" w:sz="24" w:space="6" w:color="52B69A"/>
        </w:pBdr>
        <w:spacing w:before="120" w:after="60"/>
        <w:ind w:left="170"/>
      </w:pPr>
      <w:r>
        <w:rPr>
          <w:b/>
          <w:color w:val="0F172A"/>
          <w:sz w:val="20"/>
        </w:rPr>
        <w:t>Global Revenue &amp; Market Share — scored 88/10</w:t>
      </w:r>
      <w:r>
        <w:rPr>
          <w:b/>
          <w:color w:val="0F172A"/>
          <w:sz w:val="20"/>
        </w:rPr>
        <w:t>0</w:t>
      </w:r>
    </w:p>
    <w:p w:rsidR="00FC3617" w:rsidRDefault="0014512D">
      <w:pPr>
        <w:keepNext/>
        <w:pBdr>
          <w:left w:val="single" w:sz="24" w:space="6" w:color="52B69A"/>
        </w:pBdr>
        <w:ind w:left="170"/>
      </w:pPr>
      <w:r>
        <w:t>The assessment rests on the company's disclosed data center UPS revenue approaching $450 million and its dominant regional position within the lead-acid sub-segment. Based on primary research, the company's global data center hardware market share can be</w:t>
      </w:r>
      <w:r>
        <w:t xml:space="preserve"> estimated as dominant in lead-acid but low overall, based on its 55% U.S. data center lead-acid battery share and near 0 initial lithium share.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EnerSys reported that its data center uninterruptible power supply (UPS) revenue is </w:t>
      </w:r>
      <w:r>
        <w:t>approaching $450 million, as disclosed during the Oppenheimer Conference in May 2026.</w:t>
      </w:r>
    </w:p>
    <w:p w:rsidR="00FC3617" w:rsidRDefault="0014512D">
      <w:pPr>
        <w:pStyle w:val="ListBullet"/>
        <w:spacing w:after="60"/>
        <w:ind w:left="510"/>
      </w:pPr>
      <w:r>
        <w:t>EnerSys stated it holds approximately 55% U.S. market share in lead-acid data center batteries as of March 2026.</w:t>
      </w:r>
    </w:p>
    <w:p w:rsidR="00FC3617" w:rsidRDefault="0014512D">
      <w:pPr>
        <w:keepNext/>
        <w:pBdr>
          <w:left w:val="single" w:sz="24" w:space="6" w:color="52B69A"/>
        </w:pBdr>
        <w:spacing w:before="120" w:after="60"/>
        <w:ind w:left="170"/>
      </w:pPr>
      <w:r>
        <w:rPr>
          <w:b/>
          <w:color w:val="0F172A"/>
          <w:sz w:val="20"/>
        </w:rPr>
        <w:t>Installed Base &amp; Deployments — scored 75/100</w:t>
      </w:r>
    </w:p>
    <w:p w:rsidR="00FC3617" w:rsidRDefault="0014512D">
      <w:pPr>
        <w:keepNext/>
        <w:pBdr>
          <w:left w:val="single" w:sz="24" w:space="6" w:color="52B69A"/>
        </w:pBdr>
        <w:ind w:left="170"/>
      </w:pPr>
      <w:r>
        <w:t xml:space="preserve">We verified </w:t>
      </w:r>
      <w:r>
        <w:t>that the company's data center market footprint rests on verified public case studies of its DataSafe battery deployments in European facilities. Based on primary research, the company's product unit deployment totals can be estimated as high across missio</w:t>
      </w:r>
      <w:r>
        <w:t>n-critical facilities, based on its recent installation of 260 advanced DataSafe monitoring batteries for a European data center event.</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An unnamed data center facility serving hyperscalers and cloud providers in Milan, Italy, deployed Ene</w:t>
      </w:r>
      <w:r>
        <w:t>rSys DataSafe XE Thin Plate Pure Lead (TPPL) UPS batteries to achieve a 25% reduction in battery footprint and 30% lower energy costs, as reported in an EnerSys case study.</w:t>
      </w:r>
    </w:p>
    <w:p w:rsidR="00FC3617" w:rsidRDefault="0014512D">
      <w:pPr>
        <w:pStyle w:val="ListBullet"/>
        <w:spacing w:after="60"/>
        <w:ind w:left="510"/>
      </w:pPr>
      <w:r>
        <w:t>A European data center deployed 260 DataSafe batteries featuring embedded monitorin</w:t>
      </w:r>
      <w:r>
        <w:t>g technology ahead of a major international sporting event to enhance backup power oversight, according to an official EnerSys announcement.</w:t>
      </w:r>
    </w:p>
    <w:p w:rsidR="00FC3617" w:rsidRDefault="0014512D">
      <w:pPr>
        <w:keepNext/>
        <w:pBdr>
          <w:left w:val="single" w:sz="24" w:space="6" w:color="52B69A"/>
        </w:pBdr>
        <w:spacing w:before="120" w:after="60"/>
        <w:ind w:left="170"/>
      </w:pPr>
      <w:r>
        <w:rPr>
          <w:b/>
          <w:color w:val="0F172A"/>
          <w:sz w:val="20"/>
        </w:rPr>
        <w:t>Strategic Partnerships &amp; Channels — scored 67/100</w:t>
      </w:r>
    </w:p>
    <w:p w:rsidR="00FC3617" w:rsidRDefault="0014512D">
      <w:pPr>
        <w:keepNext/>
        <w:pBdr>
          <w:left w:val="single" w:sz="24" w:space="6" w:color="52B69A"/>
        </w:pBdr>
        <w:ind w:left="170"/>
      </w:pPr>
      <w:r>
        <w:t xml:space="preserve">The rating rests on confirmed distributor agreements with global </w:t>
      </w:r>
      <w:r>
        <w:t>electronic components suppliers and regional industrial channel networks to market the DataSafe product line. Based on primary research, the company's named data center software infrastructure joint developments can be estimated as limited to pipeline cont</w:t>
      </w:r>
      <w:r>
        <w:t>rol systems, based on its POEMS certified software integrations with platforms like Schneider Geo SCADA Expert and Rockwell Automation.</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EnerSys expanded its regional electronic and critical component market reach through an authorised dis</w:t>
      </w:r>
      <w:r>
        <w:t>tributor agreement with Avnet Abacus to supply its industrial battery lines, including its DataSafe and Genesis series, across EMEA.</w:t>
      </w:r>
    </w:p>
    <w:p w:rsidR="00FC3617" w:rsidRDefault="0014512D">
      <w:pPr>
        <w:pStyle w:val="ListBullet"/>
        <w:spacing w:after="60"/>
        <w:ind w:left="510"/>
      </w:pPr>
      <w:r>
        <w:t>EnerSys maintains commercial distribution and service channels for its data center backup power batteries via localized ind</w:t>
      </w:r>
      <w:r>
        <w:t>ustrial network partnerships, such as its supply collaboration with the certified infrastructure provider Kira Power Solutions.</w:t>
      </w:r>
    </w:p>
    <w:p w:rsidR="00FC3617" w:rsidRDefault="0014512D">
      <w:pPr>
        <w:keepNext/>
        <w:pBdr>
          <w:left w:val="single" w:sz="24" w:space="6" w:color="52B69A"/>
        </w:pBdr>
        <w:spacing w:before="120" w:after="60"/>
        <w:ind w:left="170"/>
      </w:pPr>
      <w:r>
        <w:rPr>
          <w:b/>
          <w:color w:val="0F172A"/>
          <w:sz w:val="20"/>
        </w:rPr>
        <w:lastRenderedPageBreak/>
        <w:t>R&amp;D Investment &amp; Financial Strength — scored 80/100</w:t>
      </w:r>
    </w:p>
    <w:p w:rsidR="00FC3617" w:rsidRDefault="0014512D">
      <w:pPr>
        <w:keepNext/>
        <w:pBdr>
          <w:left w:val="single" w:sz="24" w:space="6" w:color="52B69A"/>
        </w:pBdr>
        <w:ind w:left="170"/>
      </w:pPr>
      <w:r>
        <w:t>The rating rests on the company's solid overall financial health, characteri</w:t>
      </w:r>
      <w:r>
        <w:t xml:space="preserve">zed by consistent annual profitability and record revenue growth. Based on primary research, the company's annual research and development spending percentage can be estimated as conservative relative to gross margins, based on its $3.75 billion in record </w:t>
      </w:r>
      <w:r>
        <w:t>net sales alongside an 80 million dollar capital expenditure budget.</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EnerSys achieved a record full-year net sales figure of $3.8 billion for its fiscal year ended 31 March 2026, representing a 4% increase year-over-year, alongside an adj</w:t>
      </w:r>
      <w:r>
        <w:t>usted diluted EPS of $10.56, as reported in the company's official Q4 and full-year fiscal 2026 results press release.</w:t>
      </w:r>
    </w:p>
    <w:p w:rsidR="00FC3617" w:rsidRDefault="0014512D">
      <w:pPr>
        <w:pStyle w:val="ListBullet"/>
        <w:spacing w:after="60"/>
        <w:ind w:left="510"/>
      </w:pPr>
      <w:r>
        <w:t>EnerSys has planned an investment of approximately $20 million between 2023 and 2028 dedicated to operational efficiency and facility imp</w:t>
      </w:r>
      <w:r>
        <w:t>rovements across its infrastructure, according to the EnerSys Fiscal Year 2026 Voluntary Corporate Sustainability Reporting document.</w:t>
      </w:r>
    </w:p>
    <w:p w:rsidR="00FC3617" w:rsidRDefault="0014512D">
      <w:pPr>
        <w:pStyle w:val="Heading2"/>
        <w:pageBreakBefore/>
        <w:shd w:val="clear" w:color="auto" w:fill="002857"/>
        <w:spacing w:after="0"/>
      </w:pPr>
      <w:bookmarkStart w:id="14" w:name="_Toc242935684"/>
      <w:r>
        <w:lastRenderedPageBreak/>
        <w:t>Cyber Power Systems, Inc.</w:t>
      </w:r>
      <w:bookmarkEnd w:id="14"/>
    </w:p>
    <w:p w:rsidR="00FC3617" w:rsidRDefault="0014512D">
      <w:pPr>
        <w:shd w:val="clear" w:color="auto" w:fill="002857"/>
        <w:spacing w:after="200"/>
      </w:pPr>
      <w:r>
        <w:rPr>
          <w:color w:val="CBD5E1"/>
          <w:sz w:val="18"/>
        </w:rPr>
        <w:t xml:space="preserve">CyberPower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78</w:t>
      </w:r>
      <w:r>
        <w:rPr>
          <w:color w:val="CBD5E1"/>
          <w:sz w:val="18"/>
        </w:rPr>
        <w:t xml:space="preserve">     Overall </w:t>
      </w:r>
      <w:r>
        <w:rPr>
          <w:b/>
          <w:color w:val="FFFFFF"/>
          <w:sz w:val="20"/>
        </w:rPr>
        <w:t>80</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 xml:space="preserve">Compute &amp; </w:t>
      </w:r>
      <w:r>
        <w:rPr>
          <w:b/>
          <w:color w:val="0F172A"/>
          <w:sz w:val="20"/>
        </w:rPr>
        <w:t>Storage Performance — scored 65/100</w:t>
      </w:r>
    </w:p>
    <w:p w:rsidR="00FC3617" w:rsidRDefault="0014512D">
      <w:pPr>
        <w:keepNext/>
        <w:pBdr>
          <w:left w:val="single" w:sz="24" w:space="6" w:color="52B69A"/>
        </w:pBdr>
        <w:ind w:left="170"/>
      </w:pPr>
      <w:r>
        <w:t>We verified that Cyber Power Systems, Inc. specializes exclusively in data center power protection and distribution hardware, such as uninterruptible power supplies (UPS) and power distribution units (PDUs). Based on pri</w:t>
      </w:r>
      <w:r>
        <w:t>mary research, the company's server hardware and processing benchmarks can be estimated as limited to infrastructure power routing, based on its power distribution units and uninterruptible power systems.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w:t>
      </w:r>
      <w:r>
        <w:rPr>
          <w:b/>
          <w:color w:val="0F172A"/>
          <w:sz w:val="20"/>
        </w:rPr>
        <w:t>iciency — scored 87/100</w:t>
      </w:r>
    </w:p>
    <w:p w:rsidR="00FC3617" w:rsidRDefault="0014512D">
      <w:pPr>
        <w:keepNext/>
        <w:pBdr>
          <w:left w:val="single" w:sz="24" w:space="6" w:color="52B69A"/>
        </w:pBdr>
        <w:ind w:left="170"/>
      </w:pPr>
      <w:r>
        <w:t>The evaluation is based on self-reported technical specifications for the company's data center UPS and PDU models, alongside internal claims that 99% of its UPS products meet or exceed general ENERGY STAR standards. Based on primar</w:t>
      </w:r>
      <w:r>
        <w:t>y research, the company's facility deployment data can be estimated as inferred through hardware metric accuracy, based on its plus or minus one percent measurement accuracy design.</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that its online high-density </w:t>
      </w:r>
      <w:r>
        <w:t>double-conversion 3-phase UPS system models, such as the OL10KERTHD, include an exclusive ECO mode that elevates power efficiency up to 98.4% when utility grid power is completely stable.</w:t>
      </w:r>
    </w:p>
    <w:p w:rsidR="00FC3617" w:rsidRDefault="0014512D">
      <w:pPr>
        <w:pStyle w:val="ListBullet"/>
        <w:spacing w:after="60"/>
        <w:ind w:left="510"/>
      </w:pPr>
      <w:r>
        <w:t>The company reports that its data center PDU series delivers ultra-l</w:t>
      </w:r>
      <w:r>
        <w:t>ow idle power consumption of approximately 4.5 watts along with ±1% measurement accuracy to support precise Power Usage Effectiveness tracking.</w:t>
      </w:r>
    </w:p>
    <w:p w:rsidR="00FC3617" w:rsidRDefault="0014512D">
      <w:pPr>
        <w:keepNext/>
        <w:pBdr>
          <w:left w:val="single" w:sz="24" w:space="6" w:color="52B69A"/>
        </w:pBdr>
        <w:spacing w:before="120" w:after="60"/>
        <w:ind w:left="170"/>
      </w:pPr>
      <w:r>
        <w:rPr>
          <w:b/>
          <w:color w:val="0F172A"/>
          <w:sz w:val="20"/>
        </w:rPr>
        <w:t>Rack &amp; Enclosure Density — scored 84/100</w:t>
      </w:r>
    </w:p>
    <w:p w:rsidR="00FC3617" w:rsidRDefault="0014512D">
      <w:pPr>
        <w:keepNext/>
        <w:pBdr>
          <w:left w:val="single" w:sz="24" w:space="6" w:color="52B69A"/>
        </w:pBdr>
        <w:ind w:left="170"/>
      </w:pPr>
      <w:r>
        <w:t>The rating rests on the company's self-reported technical specification</w:t>
      </w:r>
      <w:r>
        <w:t>s for its core Carbon Series enclosure lineup, which covers standard physical features such as perforated doors for airflow and keyed-alike security locks but lacks explicit high-density cooling integrations or high-kW thermal ratings. Based on primary res</w:t>
      </w:r>
      <w:r>
        <w:t>earch, the company's high-density compute thermal dissipation can be estimated as focused on baseline atmospheric tolerances, based on its maximum operational temperature threshold of up to 60 degrees Celsius.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w:t>
      </w:r>
      <w:r>
        <w:t xml:space="preserve"> Carbon Series Rack Enclosures, such as the CR42U11001 model, provide standard EIA-310 19-inch compatibility, perforated front and rear doors for maximized airflow ventilation, and a stationary load weight capacity of 1,365 kg (3,000 lbs).</w:t>
      </w:r>
    </w:p>
    <w:p w:rsidR="00FC3617" w:rsidRDefault="0014512D">
      <w:pPr>
        <w:keepNext/>
        <w:pBdr>
          <w:left w:val="single" w:sz="24" w:space="6" w:color="52B69A"/>
        </w:pBdr>
        <w:spacing w:before="120" w:after="60"/>
        <w:ind w:left="170"/>
      </w:pPr>
      <w:r>
        <w:rPr>
          <w:b/>
          <w:color w:val="0F172A"/>
          <w:sz w:val="20"/>
        </w:rPr>
        <w:t>DCIM &amp; Managemen</w:t>
      </w:r>
      <w:r>
        <w:rPr>
          <w:b/>
          <w:color w:val="0F172A"/>
          <w:sz w:val="20"/>
        </w:rPr>
        <w:t>t Software — scored 88/100</w:t>
      </w:r>
    </w:p>
    <w:p w:rsidR="00FC3617" w:rsidRDefault="0014512D">
      <w:pPr>
        <w:keepNext/>
        <w:pBdr>
          <w:left w:val="single" w:sz="24" w:space="6" w:color="52B69A"/>
        </w:pBdr>
        <w:ind w:left="170"/>
      </w:pPr>
      <w:r>
        <w:t>The rating is supported by confirmed capabilities in vendor-neutral power infrastructure monitoring, virtualized infrastructure integration, and basic DCIM visualization modules within the PowerPanel Enterprise suite. Based on pr</w:t>
      </w:r>
      <w:r>
        <w:t>imary research, the company's data center digital twin performance can be estimated as driven by foundational telemetry logs, based on its powerpanel enterprise centralized management platform.</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the release of its </w:t>
      </w:r>
      <w:r>
        <w:t>vendor-neutral CyberPower DCIM module integrated into PowerPanel Enterprise software, which supports real-time monitoring of SNMP and Modbus-TCP devices including UPS systems, PDUs, PLCs, branch circuits, and environmental sensors via customized floor maps</w:t>
      </w:r>
      <w:r>
        <w:t>.</w:t>
      </w:r>
    </w:p>
    <w:p w:rsidR="00FC3617" w:rsidRDefault="0014512D">
      <w:pPr>
        <w:pStyle w:val="ListBullet"/>
        <w:spacing w:after="60"/>
        <w:ind w:left="510"/>
      </w:pPr>
      <w:r>
        <w:t>The company reports that its PowerPanel Business software has achieved VMware Ready status and provides automated graceful shutdown capabilities for virtual infrastructure deployments including VMware ESXi, Citrix XenServer, and Microsoft Hyper-V.</w:t>
      </w:r>
    </w:p>
    <w:p w:rsidR="00FC3617" w:rsidRDefault="0014512D">
      <w:pPr>
        <w:keepNext/>
        <w:pBdr>
          <w:left w:val="single" w:sz="24" w:space="6" w:color="52B69A"/>
        </w:pBdr>
        <w:spacing w:before="120" w:after="60"/>
        <w:ind w:left="170"/>
      </w:pPr>
      <w:r>
        <w:rPr>
          <w:b/>
          <w:color w:val="0F172A"/>
          <w:sz w:val="20"/>
        </w:rPr>
        <w:t>AI &amp; S</w:t>
      </w:r>
      <w:r>
        <w:rPr>
          <w:b/>
          <w:color w:val="0F172A"/>
          <w:sz w:val="20"/>
        </w:rPr>
        <w:t>ustainability Innovation — scored 83/100</w:t>
      </w:r>
    </w:p>
    <w:p w:rsidR="00FC3617" w:rsidRDefault="0014512D">
      <w:pPr>
        <w:keepNext/>
        <w:pBdr>
          <w:left w:val="single" w:sz="24" w:space="6" w:color="52B69A"/>
        </w:pBdr>
        <w:ind w:left="170"/>
      </w:pPr>
      <w:r>
        <w:t>The rating rests on the verified implementation of real-time PUE and CO2 footprint monitoring within the company's enterprise software platform, alongside an industry award for its patented bypass energy-saving hard</w:t>
      </w:r>
      <w:r>
        <w:t>ware architecture. Based on primary research, the company's automated infrastructure machine learning can be estimated as restricted to threshold alert triggers, based on its scheduled shutdowns and proactive event notification software.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CyberPower's data center management platform, PowerPanel Enterprise, features a built-in dynamic dashboard that tracks real-time carbon footprint (CO2 footprint) and provides Power Usage Effectiveness (PUE) monitoring to evaluate and optimize overall data </w:t>
      </w:r>
      <w:r>
        <w:t>center energy efficiency, as reported by Cyber Power Systems, Inc.</w:t>
      </w:r>
    </w:p>
    <w:p w:rsidR="00FC3617" w:rsidRDefault="0014512D">
      <w:pPr>
        <w:pStyle w:val="ListBullet"/>
        <w:spacing w:after="60"/>
        <w:ind w:left="510"/>
      </w:pPr>
      <w:r>
        <w:lastRenderedPageBreak/>
        <w:t>CyberPower was awarded the "Asia Data Center Green Energy Efficiency Award" at the 6th Asia Data Center Technology Expo 2018 in recognition of its patented GreenPower UPS energy-saving tech</w:t>
      </w:r>
      <w:r>
        <w:t>nology, which utilizes a bypass circuit design to reduce energy consumption.</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68/100</w:t>
      </w:r>
    </w:p>
    <w:p w:rsidR="00FC3617" w:rsidRDefault="0014512D">
      <w:pPr>
        <w:keepNext/>
        <w:pBdr>
          <w:left w:val="single" w:sz="24" w:space="6" w:color="52B69A"/>
        </w:pBdr>
        <w:ind w:left="170"/>
      </w:pPr>
      <w:r>
        <w:t>Based on primary research, the company's hyperscale and cloud customer contracts can be estimated as limited t</w:t>
      </w:r>
      <w:r>
        <w:t>o traditional enterprise and public sector segments, based on its case studies featuring the Godrej Group data center, a national restaurant chain, and a federal government agency.</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Global Revenue &amp; Market Share — scored 85/1</w:t>
      </w:r>
      <w:r>
        <w:rPr>
          <w:b/>
          <w:color w:val="0F172A"/>
          <w:sz w:val="20"/>
        </w:rPr>
        <w:t>00</w:t>
      </w:r>
    </w:p>
    <w:p w:rsidR="00FC3617" w:rsidRDefault="0014512D">
      <w:pPr>
        <w:keepNext/>
        <w:pBdr>
          <w:left w:val="single" w:sz="24" w:space="6" w:color="52B69A"/>
        </w:pBdr>
        <w:ind w:left="170"/>
      </w:pPr>
      <w:r>
        <w:t>We verified the company's self-reported total operational revenue and the proportional breakdown of its data center power management product segment. Based on primary research, the company's global data center market share can be estimated as growing st</w:t>
      </w:r>
      <w:r>
        <w:t>eadily across regional markets, based on its operational presence in over 50 countries and expanding distribution networks.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Cyber Power Systems, Inc. reported that its data center power management segment grew to account for 37% of its to</w:t>
      </w:r>
      <w:r>
        <w:t>tal consolidated revenue of NT$6.27 billion during the first half of 2026, compared to 33% in the same period of the prior year, according to the Cyber Power Systems H1 2026 Earnings Call presentation.</w:t>
      </w:r>
    </w:p>
    <w:p w:rsidR="00FC3617" w:rsidRDefault="0014512D">
      <w:pPr>
        <w:pStyle w:val="ListBullet"/>
        <w:spacing w:after="60"/>
        <w:ind w:left="510"/>
      </w:pPr>
      <w:r>
        <w:t xml:space="preserve">The company reported an annual consolidated operating </w:t>
      </w:r>
      <w:r>
        <w:t>revenue of NT$12.492 billion for the full fiscal year of 2024, as documented in its official CyberPower Sustainability Highlights.</w:t>
      </w:r>
    </w:p>
    <w:p w:rsidR="00FC3617" w:rsidRDefault="0014512D">
      <w:pPr>
        <w:keepNext/>
        <w:pBdr>
          <w:left w:val="single" w:sz="24" w:space="6" w:color="52B69A"/>
        </w:pBdr>
        <w:spacing w:before="120" w:after="60"/>
        <w:ind w:left="170"/>
      </w:pPr>
      <w:r>
        <w:rPr>
          <w:b/>
          <w:color w:val="0F172A"/>
          <w:sz w:val="20"/>
        </w:rPr>
        <w:t>Installed Base &amp; Deployments — scored 73/100</w:t>
      </w:r>
    </w:p>
    <w:p w:rsidR="00FC3617" w:rsidRDefault="0014512D">
      <w:pPr>
        <w:keepNext/>
        <w:pBdr>
          <w:left w:val="single" w:sz="24" w:space="6" w:color="52B69A"/>
        </w:pBdr>
        <w:ind w:left="170"/>
      </w:pPr>
      <w:r>
        <w:t>The rating rests on documented case studies of active 3-phase UPS infrastructure</w:t>
      </w:r>
      <w:r>
        <w:t xml:space="preserve"> deployments within enterprise data centers. Based on primary research, the company's data center deployment volumes can be estimated as high within distributed enterprise and retail infrastructure sectors, based on its power protection deployments across </w:t>
      </w:r>
      <w:r>
        <w:t>thousands of retail terminals and hundreds of government locations.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CyberPower deployed its Modular UPS (3-Phase) Series as the backup power solution to revamp the headquarters data center of the Godrej Group at Godrej One in India, </w:t>
      </w:r>
      <w:r>
        <w:t>according to a company case announcement.</w:t>
      </w:r>
    </w:p>
    <w:p w:rsidR="00FC3617" w:rsidRDefault="0014512D">
      <w:pPr>
        <w:pStyle w:val="ListBullet"/>
        <w:spacing w:after="60"/>
        <w:ind w:left="510"/>
      </w:pPr>
      <w:r>
        <w:t>CyberPower deployed its 3-phase online double-conversion UPS systems and battery packs to protect HP's IT equipment and network operations at a facility in Taipei, Taiwan, according to a company case study.</w:t>
      </w:r>
    </w:p>
    <w:p w:rsidR="00FC3617" w:rsidRDefault="0014512D">
      <w:pPr>
        <w:keepNext/>
        <w:pBdr>
          <w:left w:val="single" w:sz="24" w:space="6" w:color="52B69A"/>
        </w:pBdr>
        <w:spacing w:before="120" w:after="60"/>
        <w:ind w:left="170"/>
      </w:pPr>
      <w:r>
        <w:rPr>
          <w:b/>
          <w:color w:val="0F172A"/>
          <w:sz w:val="20"/>
        </w:rPr>
        <w:t>Strateg</w:t>
      </w:r>
      <w:r>
        <w:rPr>
          <w:b/>
          <w:color w:val="0F172A"/>
          <w:sz w:val="20"/>
        </w:rPr>
        <w:t>ic Partnerships &amp; Channels — scored 83/100</w:t>
      </w:r>
    </w:p>
    <w:p w:rsidR="00FC3617" w:rsidRDefault="0014512D">
      <w:pPr>
        <w:keepNext/>
        <w:pBdr>
          <w:left w:val="single" w:sz="24" w:space="6" w:color="52B69A"/>
        </w:pBdr>
        <w:ind w:left="170"/>
      </w:pPr>
      <w:r>
        <w:t>The rating rests on the company's well-established distribution network with prominent tier-one global IT distributors and its formal Channel Partner Alliance program tailored to infrastructure providers. Based on</w:t>
      </w:r>
      <w:r>
        <w:t xml:space="preserve"> primary research, the company's strategic hyperscale and software partnerships can be estimated as centered heavily on global channel distributors and IT resellers, based on its distribution partnership with Ingram Micro and strategic channel framework.</w:t>
      </w:r>
    </w:p>
    <w:p w:rsidR="00FC3617" w:rsidRDefault="0014512D">
      <w:pPr>
        <w:keepNext/>
        <w:spacing w:after="40"/>
        <w:ind w:left="170"/>
      </w:pPr>
      <w:r>
        <w:rPr>
          <w:b/>
          <w:caps/>
          <w:color w:val="64748B"/>
          <w:sz w:val="15"/>
        </w:rPr>
        <w:t>S</w:t>
      </w:r>
      <w:r>
        <w:rPr>
          <w:b/>
          <w:caps/>
          <w:color w:val="64748B"/>
          <w:sz w:val="15"/>
        </w:rPr>
        <w:t>upporting points</w:t>
      </w:r>
    </w:p>
    <w:p w:rsidR="00FC3617" w:rsidRDefault="0014512D">
      <w:pPr>
        <w:pStyle w:val="ListBullet"/>
        <w:spacing w:after="60"/>
        <w:ind w:left="510"/>
      </w:pPr>
      <w:r>
        <w:t xml:space="preserve">CyberPower announced the debut of its Channel Partner Portal in 2023, designed to provide value-added resellers, system integrators, and managed service providers with resources to market its data center UPS systems and power distribution </w:t>
      </w:r>
      <w:r>
        <w:t>units (PDUs).</w:t>
      </w:r>
    </w:p>
    <w:p w:rsidR="00FC3617" w:rsidRDefault="0014512D">
      <w:pPr>
        <w:pStyle w:val="ListBullet"/>
        <w:spacing w:after="60"/>
        <w:ind w:left="510"/>
      </w:pPr>
      <w:r>
        <w:t>Cyber Power Systems has established direct distribution agreements with major global IT distributors, including Ingram Micro and TD SYNNEX (historically Tech Data), to scale the delivery of its power protection portfolio across the technology</w:t>
      </w:r>
      <w:r>
        <w:t xml:space="preserve"> channel.</w:t>
      </w:r>
    </w:p>
    <w:p w:rsidR="00FC3617" w:rsidRDefault="0014512D">
      <w:pPr>
        <w:keepNext/>
        <w:pBdr>
          <w:left w:val="single" w:sz="24" w:space="6" w:color="52B69A"/>
        </w:pBdr>
        <w:spacing w:before="120" w:after="60"/>
        <w:ind w:left="170"/>
      </w:pPr>
      <w:r>
        <w:rPr>
          <w:b/>
          <w:color w:val="0F172A"/>
          <w:sz w:val="20"/>
        </w:rPr>
        <w:t>R&amp;D Investment &amp; Financial Strength — scored 80/100</w:t>
      </w:r>
    </w:p>
    <w:p w:rsidR="00FC3617" w:rsidRDefault="0014512D">
      <w:pPr>
        <w:keepNext/>
        <w:pBdr>
          <w:left w:val="single" w:sz="24" w:space="6" w:color="52B69A"/>
        </w:pBdr>
        <w:ind w:left="170"/>
      </w:pPr>
      <w:r>
        <w:t>The rating rests on the company's healthy, audited financial statements demonstrating consistent annual profitability and dedicated allocations of over 5% of its revenue to R&amp;D. Based on primary</w:t>
      </w:r>
      <w:r>
        <w:t xml:space="preserve"> research, the company's segmented data center research and development allocations can be estimated as closely integrated with its broader energy efficiency and green technology initiatives, based on its development of patented GreenPower UPS technology a</w:t>
      </w:r>
      <w:r>
        <w:t>nd PowerPanel management software.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in its CyberPower ESG Report 2023 that it consistently invested approximately 5% of its annual revenue into research and development during 2021 and 2022, with R&amp;D expenses reaching </w:t>
      </w:r>
      <w:r>
        <w:t>NT$365,663,000 (5.29% of its total revenue) in 2023.</w:t>
      </w:r>
    </w:p>
    <w:p w:rsidR="00FC3617" w:rsidRDefault="0014512D">
      <w:pPr>
        <w:pStyle w:val="ListBullet"/>
        <w:spacing w:after="60"/>
        <w:ind w:left="510"/>
      </w:pPr>
      <w:r>
        <w:lastRenderedPageBreak/>
        <w:t xml:space="preserve">Cyber Power Systems, Inc. demonstrated stable financial health in its FY2026 H1 financial reports, disclosing a consolidated revenue of NT$6.27 billion, a gross margin of 59%, and a net profit after tax </w:t>
      </w:r>
      <w:r>
        <w:t>of NT$1.08 billion.</w:t>
      </w:r>
    </w:p>
    <w:p w:rsidR="00FC3617" w:rsidRDefault="0014512D">
      <w:pPr>
        <w:pStyle w:val="Heading2"/>
        <w:pageBreakBefore/>
        <w:shd w:val="clear" w:color="auto" w:fill="002857"/>
        <w:spacing w:after="0"/>
      </w:pPr>
      <w:bookmarkStart w:id="15" w:name="_Toc242935685"/>
      <w:r>
        <w:lastRenderedPageBreak/>
        <w:t>RPS S.p.A.</w:t>
      </w:r>
      <w:bookmarkEnd w:id="15"/>
    </w:p>
    <w:p w:rsidR="00FC3617" w:rsidRDefault="0014512D">
      <w:pPr>
        <w:shd w:val="clear" w:color="auto" w:fill="002857"/>
        <w:spacing w:after="200"/>
      </w:pPr>
      <w:r>
        <w:rPr>
          <w:color w:val="CBD5E1"/>
          <w:sz w:val="18"/>
        </w:rPr>
        <w:t xml:space="preserve">Rieello UPS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79</w:t>
      </w:r>
      <w:r>
        <w:rPr>
          <w:color w:val="CBD5E1"/>
          <w:sz w:val="18"/>
        </w:rPr>
        <w:t xml:space="preserve">     Overall </w:t>
      </w:r>
      <w:r>
        <w:rPr>
          <w:b/>
          <w:color w:val="FFFFFF"/>
          <w:sz w:val="20"/>
        </w:rPr>
        <w:t>79</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72/100</w:t>
      </w:r>
    </w:p>
    <w:p w:rsidR="00FC3617" w:rsidRDefault="0014512D">
      <w:pPr>
        <w:keepNext/>
        <w:pBdr>
          <w:left w:val="single" w:sz="24" w:space="6" w:color="52B69A"/>
        </w:pBdr>
        <w:ind w:left="170"/>
      </w:pPr>
      <w:r>
        <w:t>Based on primary research, the company's server or storage system benchmarks can be estimate</w:t>
      </w:r>
      <w:r>
        <w:t>d as non-applicable as core operations are strictly limited to power quality, based on its focus exclusively on manufacturing uninterruptible power supplies from 400 volt-amperes to 6,400 kilovolt-amperes.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 xml:space="preserve">Power &amp; Cooling </w:t>
      </w:r>
      <w:r>
        <w:rPr>
          <w:b/>
          <w:color w:val="0F172A"/>
          <w:sz w:val="20"/>
        </w:rPr>
        <w:t>Efficiency — scored 92/100</w:t>
      </w:r>
    </w:p>
    <w:p w:rsidR="00FC3617" w:rsidRDefault="0014512D">
      <w:pPr>
        <w:keepNext/>
        <w:pBdr>
          <w:left w:val="single" w:sz="24" w:space="6" w:color="52B69A"/>
        </w:pBdr>
        <w:ind w:left="170"/>
      </w:pPr>
      <w:r>
        <w:t>The assessment rests on confirmed institutional case studies demonstrating operating efficiencies up to 96.5% alongside technical product specifications for silicon carbide-based modular systems. Based on primary research, the co</w:t>
      </w:r>
      <w:r>
        <w:t>mpany's energy efficiency or PUE impact can be estimated as exceptional and fully compliant with elite data center codes, based on its transformer-free double conversion systems meeting the highest level of energy efficiency classified as elite.</w:t>
      </w:r>
    </w:p>
    <w:p w:rsidR="00FC3617" w:rsidRDefault="0014512D">
      <w:pPr>
        <w:keepNext/>
        <w:spacing w:after="40"/>
        <w:ind w:left="170"/>
      </w:pPr>
      <w:r>
        <w:rPr>
          <w:b/>
          <w:caps/>
          <w:color w:val="64748B"/>
          <w:sz w:val="15"/>
        </w:rPr>
        <w:t>Supporting</w:t>
      </w:r>
      <w:r>
        <w:rPr>
          <w:b/>
          <w:caps/>
          <w:color w:val="64748B"/>
          <w:sz w:val="15"/>
        </w:rPr>
        <w:t xml:space="preserve"> points</w:t>
      </w:r>
    </w:p>
    <w:p w:rsidR="00FC3617" w:rsidRDefault="0014512D">
      <w:pPr>
        <w:pStyle w:val="ListBullet"/>
        <w:spacing w:after="60"/>
        <w:ind w:left="510"/>
      </w:pPr>
      <w:r>
        <w:t>A critical infrastructure upgrade at the University of Bristol's High Performance Computing facility, executed by reseller UPS Systems plc, replaced legacy equipment with the Riello UPS Multi Sentry range to achieve up to 96.5% operating efficiency</w:t>
      </w:r>
      <w:r>
        <w:t>.</w:t>
      </w:r>
    </w:p>
    <w:p w:rsidR="00FC3617" w:rsidRDefault="0014512D">
      <w:pPr>
        <w:pStyle w:val="ListBullet"/>
        <w:spacing w:after="60"/>
        <w:ind w:left="510"/>
      </w:pPr>
      <w:r>
        <w:t xml:space="preserve">The company reports that its Multi Power2 modular UPS range leverages advanced silicon carbide (SiC) technology to deliver up to 98.1% energy efficiency in true online double-conversion mode, maintaining over 97% efficiency even at low 10–100% workloads </w:t>
      </w:r>
      <w:r>
        <w:t>according to Riello UPS.</w:t>
      </w:r>
    </w:p>
    <w:p w:rsidR="00FC3617" w:rsidRDefault="0014512D">
      <w:pPr>
        <w:keepNext/>
        <w:pBdr>
          <w:left w:val="single" w:sz="24" w:space="6" w:color="52B69A"/>
        </w:pBdr>
        <w:spacing w:before="120" w:after="60"/>
        <w:ind w:left="170"/>
      </w:pPr>
      <w:r>
        <w:rPr>
          <w:b/>
          <w:color w:val="0F172A"/>
          <w:sz w:val="20"/>
        </w:rPr>
        <w:t>Rack &amp; Enclosure Density — scored 75/100</w:t>
      </w:r>
    </w:p>
    <w:p w:rsidR="00FC3617" w:rsidRDefault="0014512D">
      <w:pPr>
        <w:keepNext/>
        <w:pBdr>
          <w:left w:val="single" w:sz="24" w:space="6" w:color="52B69A"/>
        </w:pBdr>
        <w:ind w:left="170"/>
      </w:pPr>
      <w:r>
        <w:t>We verified that the company's core product portfolio focuses entirely on uninterruptible power supplies (UPS) and power distribution equipment rather than dedicated server rack or enclosure</w:t>
      </w:r>
      <w:r>
        <w:t xml:space="preserve"> manufacturing. Based on primary research, the company's high density infrastructure compatibility can be estimated as scalable and versatile for modular cabinet spaces, based on its multi power ranges configured with hot-swappable modules expanding up to </w:t>
      </w:r>
      <w:r>
        <w:t>1,176 kilowatts.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Sentinel Rack UPS line is a rack-mounted system designed to fit standard 19-inch cabinet racks, sitting at a depth of 380 mm to accommodate legacy 600 mm deep racks.</w:t>
      </w:r>
    </w:p>
    <w:p w:rsidR="00FC3617" w:rsidRDefault="0014512D">
      <w:pPr>
        <w:keepNext/>
        <w:pBdr>
          <w:left w:val="single" w:sz="24" w:space="6" w:color="52B69A"/>
        </w:pBdr>
        <w:spacing w:before="120" w:after="60"/>
        <w:ind w:left="170"/>
      </w:pPr>
      <w:r>
        <w:rPr>
          <w:b/>
          <w:color w:val="0F172A"/>
          <w:sz w:val="20"/>
        </w:rPr>
        <w:t>DCIM &amp; Management Software</w:t>
      </w:r>
      <w:r>
        <w:rPr>
          <w:b/>
          <w:color w:val="0F172A"/>
          <w:sz w:val="20"/>
        </w:rPr>
        <w:t xml:space="preserve"> — scored 79/100</w:t>
      </w:r>
    </w:p>
    <w:p w:rsidR="00FC3617" w:rsidRDefault="0014512D">
      <w:pPr>
        <w:keepNext/>
        <w:pBdr>
          <w:left w:val="single" w:sz="24" w:space="6" w:color="52B69A"/>
        </w:pBdr>
        <w:ind w:left="170"/>
      </w:pPr>
      <w:r>
        <w:t xml:space="preserve">Our analysis indicates that the evaluation rests on the company providing basic, self-reported UPS monitoring and equipment shutdown tools rather than a comprehensive infrastructure software suite. Based on primary research, the company's </w:t>
      </w:r>
      <w:r>
        <w:t>advanced management software capabilities can be estimated as highly reliable for remote monitoring and basic infrastructure continuity, based on its range of simplicity-driven monitoring software, transfer systems, and intelligent switching devices.</w:t>
      </w:r>
    </w:p>
    <w:p w:rsidR="00FC3617" w:rsidRDefault="0014512D">
      <w:pPr>
        <w:keepNext/>
        <w:spacing w:after="40"/>
        <w:ind w:left="170"/>
      </w:pPr>
      <w:r>
        <w:rPr>
          <w:b/>
          <w:caps/>
          <w:color w:val="64748B"/>
          <w:sz w:val="15"/>
        </w:rPr>
        <w:t>Suppo</w:t>
      </w:r>
      <w:r>
        <w:rPr>
          <w:b/>
          <w:caps/>
          <w:color w:val="64748B"/>
          <w:sz w:val="15"/>
        </w:rPr>
        <w:t>rting points</w:t>
      </w:r>
    </w:p>
    <w:p w:rsidR="00FC3617" w:rsidRDefault="0014512D">
      <w:pPr>
        <w:pStyle w:val="ListBullet"/>
        <w:spacing w:after="60"/>
        <w:ind w:left="510"/>
      </w:pPr>
      <w:r>
        <w:t>The company's PowerNetGuard is a centralized UPS management and supervision software designed for data centers and large networks, utilizing SNMP protocols and RFC1628 standards to provide a graphical overview of operating parameters and log s</w:t>
      </w:r>
      <w:r>
        <w:t>tate changes.</w:t>
      </w:r>
    </w:p>
    <w:p w:rsidR="00FC3617" w:rsidRDefault="0014512D">
      <w:pPr>
        <w:pStyle w:val="ListBullet"/>
        <w:spacing w:after="60"/>
        <w:ind w:left="510"/>
      </w:pPr>
      <w:r>
        <w:t>The company's PowerShield³ is a client/server UPS management software that enables automated, sequential, or priority-based shutdown of networked devices alongside real-time monitoring of UPS performance and environmental sensor data.</w:t>
      </w:r>
    </w:p>
    <w:p w:rsidR="00FC3617" w:rsidRDefault="0014512D">
      <w:pPr>
        <w:keepNext/>
        <w:pBdr>
          <w:left w:val="single" w:sz="24" w:space="6" w:color="52B69A"/>
        </w:pBdr>
        <w:spacing w:before="120" w:after="60"/>
        <w:ind w:left="170"/>
      </w:pPr>
      <w:r>
        <w:rPr>
          <w:b/>
          <w:color w:val="0F172A"/>
          <w:sz w:val="20"/>
        </w:rPr>
        <w:lastRenderedPageBreak/>
        <w:t>AI &amp; Su</w:t>
      </w:r>
      <w:r>
        <w:rPr>
          <w:b/>
          <w:color w:val="0F172A"/>
          <w:sz w:val="20"/>
        </w:rPr>
        <w:t>stainability Innovation — scored 79/100</w:t>
      </w:r>
    </w:p>
    <w:p w:rsidR="00FC3617" w:rsidRDefault="0014512D">
      <w:pPr>
        <w:keepNext/>
        <w:pBdr>
          <w:left w:val="single" w:sz="24" w:space="6" w:color="52B69A"/>
        </w:pBdr>
        <w:ind w:left="170"/>
      </w:pPr>
      <w:r>
        <w:t>The rating rests on the company's established, self-reported portfolio of high-efficiency silicon carbide and smart grid-ready power infrastructure components tailored for modern data workloads. Based on primary rese</w:t>
      </w:r>
      <w:r>
        <w:t>arch, the company's advanced live analytics integration can be estimated as growing steadily via intelligent power tracking architectures, based on its multi power 2 systems integrating silicon carbide semiconductors to handle generative artificial intelli</w:t>
      </w:r>
      <w:r>
        <w:t>gence workloads.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the launch of its "AI Ready" Multi Power2 Scalable modular UPS series (1000–1600 kVA), which employs advanced silicon carbide (SiC) semiconductor technology to achieve an efficiency rating of up to 98.</w:t>
      </w:r>
      <w:r>
        <w:t>1% under dense AI data center workloads, as detailed by Riello UPS.</w:t>
      </w:r>
    </w:p>
    <w:p w:rsidR="00FC3617" w:rsidRDefault="0014512D">
      <w:pPr>
        <w:pStyle w:val="ListBullet"/>
        <w:spacing w:after="60"/>
        <w:ind w:left="510"/>
      </w:pPr>
      <w:r>
        <w:t xml:space="preserve">The company reports that its UPS platforms feature Smart Grid-ready architectures that interact with communication networks to optimize power use and support renewable energy integration </w:t>
      </w:r>
      <w:r>
        <w:t>via lithium-ion battery storage, as detailed by Riello UPS.</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77/100</w:t>
      </w:r>
    </w:p>
    <w:p w:rsidR="00FC3617" w:rsidRDefault="0014512D">
      <w:pPr>
        <w:keepNext/>
        <w:pBdr>
          <w:left w:val="single" w:sz="24" w:space="6" w:color="52B69A"/>
        </w:pBdr>
        <w:ind w:left="170"/>
      </w:pPr>
      <w:r>
        <w:t>This rating rests on a confirmed case study with regional cloud provider Aruba S.p.A. demonstrating hardware compatibility with</w:t>
      </w:r>
      <w:r>
        <w:t xml:space="preserve"> high-density cloud infrastructure. Based on primary research, the company's named hyperscale contracts can be estimated as limited to a few markets, based on its focus on publicised accounts like China Mobile and Towngas rather than global US tech giants.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 case study highlighting a deployment with Aruba S.p.A., a leading Italian cloud and data center provider, where the company's NextEnergy UPS solutions safeguard critical loads and support power densities up to 40 kW per rack across Tie</w:t>
      </w:r>
      <w:r>
        <w:t>r 4 campuses, reported by Riello UPS.</w:t>
      </w:r>
    </w:p>
    <w:p w:rsidR="00FC3617" w:rsidRDefault="0014512D">
      <w:pPr>
        <w:keepNext/>
        <w:pBdr>
          <w:left w:val="single" w:sz="24" w:space="6" w:color="52B69A"/>
        </w:pBdr>
        <w:spacing w:before="120" w:after="60"/>
        <w:ind w:left="170"/>
      </w:pPr>
      <w:r>
        <w:rPr>
          <w:b/>
          <w:color w:val="0F172A"/>
          <w:sz w:val="20"/>
        </w:rPr>
        <w:t>Global Revenue &amp; Market Share — scored 79/100</w:t>
      </w:r>
    </w:p>
    <w:p w:rsidR="00FC3617" w:rsidRDefault="0014512D">
      <w:pPr>
        <w:keepNext/>
        <w:pBdr>
          <w:left w:val="single" w:sz="24" w:space="6" w:color="52B69A"/>
        </w:pBdr>
        <w:ind w:left="170"/>
      </w:pPr>
      <w:r>
        <w:t>The rating rests on the verified inclusion of the company's brand in prominent data center power market rosters and its confirmed deployment case studies with major network</w:t>
      </w:r>
      <w:r>
        <w:t xml:space="preserve"> operators. Based on primary research, the company's total annual data center product revenue can be estimated as strong, in line with leading vendors, based on its position among the top 5 global uninterruptible power supply manufacturers.</w:t>
      </w:r>
    </w:p>
    <w:p w:rsidR="00FC3617" w:rsidRDefault="0014512D">
      <w:pPr>
        <w:keepNext/>
        <w:spacing w:after="40"/>
        <w:ind w:left="170"/>
      </w:pPr>
      <w:r>
        <w:rPr>
          <w:b/>
          <w:caps/>
          <w:color w:val="64748B"/>
          <w:sz w:val="15"/>
        </w:rPr>
        <w:t>Supporting poin</w:t>
      </w:r>
      <w:r>
        <w:rPr>
          <w:b/>
          <w:caps/>
          <w:color w:val="64748B"/>
          <w:sz w:val="15"/>
        </w:rPr>
        <w:t>ts</w:t>
      </w:r>
    </w:p>
    <w:p w:rsidR="00FC3617" w:rsidRDefault="0014512D">
      <w:pPr>
        <w:pStyle w:val="ListBullet"/>
        <w:spacing w:after="60"/>
        <w:ind w:left="510"/>
      </w:pPr>
      <w:r>
        <w:t>The company reports that its specialized data center UPS infrastructure configurations have been deployed in infrastructure projects for clients including Towngas and China Mobile.</w:t>
      </w:r>
    </w:p>
    <w:p w:rsidR="00FC3617" w:rsidRDefault="0014512D">
      <w:pPr>
        <w:pStyle w:val="ListBullet"/>
        <w:spacing w:after="60"/>
        <w:ind w:left="510"/>
      </w:pPr>
      <w:r>
        <w:t xml:space="preserve">In January 2026, Riello UPS expanded its data center product lines with </w:t>
      </w:r>
      <w:r>
        <w:t>the launch of the Multi Power2 M2X, a modular online uninterruptible power supply system designed for scalable capacities from 15 kW to 120 kW.</w:t>
      </w:r>
    </w:p>
    <w:p w:rsidR="00FC3617" w:rsidRDefault="0014512D">
      <w:pPr>
        <w:keepNext/>
        <w:pBdr>
          <w:left w:val="single" w:sz="24" w:space="6" w:color="52B69A"/>
        </w:pBdr>
        <w:spacing w:before="120" w:after="60"/>
        <w:ind w:left="170"/>
      </w:pPr>
      <w:r>
        <w:rPr>
          <w:b/>
          <w:color w:val="0F172A"/>
          <w:sz w:val="20"/>
        </w:rPr>
        <w:t>Installed Base &amp; Deployments — scored 86/100</w:t>
      </w:r>
    </w:p>
    <w:p w:rsidR="00FC3617" w:rsidRDefault="0014512D">
      <w:pPr>
        <w:keepNext/>
        <w:pBdr>
          <w:left w:val="single" w:sz="24" w:space="6" w:color="52B69A"/>
        </w:pBdr>
        <w:ind w:left="170"/>
      </w:pPr>
      <w:r>
        <w:t>The rating rests on multiple third-party verified and corporate-rep</w:t>
      </w:r>
      <w:r>
        <w:t>orted case studies detailing successful high-capacity, multi-megawatt UPS deployments in critical colocation and enterprise data centers. Based on primary research, the company's global hardware deployment figures can be estimated as extensive across inter</w:t>
      </w:r>
      <w:r>
        <w:t>national markets, based on its more than 10,000 installations in India alone alongside over 20 ranges of state-of-the-art power architectures.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Riello UPS (RPS S.p.A.) collaborated with Aruba S.p.A. to deploy high-efficiency UPS solutions </w:t>
      </w:r>
      <w:r>
        <w:t>providing 60.4 MW of power protection in a 2N+1 architecture across Aruba's data centers, documented in an official case study.</w:t>
      </w:r>
    </w:p>
    <w:p w:rsidR="00FC3617" w:rsidRDefault="0014512D">
      <w:pPr>
        <w:pStyle w:val="ListBullet"/>
        <w:spacing w:after="60"/>
        <w:ind w:left="510"/>
      </w:pPr>
      <w:r>
        <w:t>Authorised reseller Computer Power Protection completed a critical infrastructure upgrade for Options Technology by replacing le</w:t>
      </w:r>
      <w:r>
        <w:t>gacy systems with four Riello Multi Power modular UPS systems featuring 42 kW modules arranged in an N+1 redundancy setup.</w:t>
      </w:r>
    </w:p>
    <w:p w:rsidR="00FC3617" w:rsidRDefault="0014512D">
      <w:pPr>
        <w:keepNext/>
        <w:pBdr>
          <w:left w:val="single" w:sz="24" w:space="6" w:color="52B69A"/>
        </w:pBdr>
        <w:spacing w:before="120" w:after="60"/>
        <w:ind w:left="170"/>
      </w:pPr>
      <w:r>
        <w:rPr>
          <w:b/>
          <w:color w:val="0F172A"/>
          <w:sz w:val="20"/>
        </w:rPr>
        <w:t>Strategic Partnerships &amp; Channels — scored 74/100</w:t>
      </w:r>
    </w:p>
    <w:p w:rsidR="00FC3617" w:rsidRDefault="0014512D">
      <w:pPr>
        <w:keepNext/>
        <w:pBdr>
          <w:left w:val="single" w:sz="24" w:space="6" w:color="52B69A"/>
        </w:pBdr>
        <w:ind w:left="170"/>
      </w:pPr>
      <w:r>
        <w:t xml:space="preserve">The rating rests on the company’s direct acquisitions and structural consolidation </w:t>
      </w:r>
      <w:r>
        <w:t>of its European regional distributors and service networks to expand its critical power and data center market reach. Based on primary research, the company's global technology alliance agreements can be estimated as broad across the major power and indust</w:t>
      </w:r>
      <w:r>
        <w:t>rial segments, based on its extensive European distribution network and localized mergers to enhance engineering resource integration.</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RPS S.p.A. announced the acquisition of BPIM BE (Belgium) and BPIM NL (the Netherlands), its establishe</w:t>
      </w:r>
      <w:r>
        <w:t>d local distributors, to transition them into its direct branch network and strengthen its data center and critical infrastructure support capabilities in these European markets.</w:t>
      </w:r>
    </w:p>
    <w:p w:rsidR="00FC3617" w:rsidRDefault="0014512D">
      <w:pPr>
        <w:pStyle w:val="ListBullet"/>
        <w:spacing w:after="60"/>
        <w:ind w:left="510"/>
      </w:pPr>
      <w:r>
        <w:lastRenderedPageBreak/>
        <w:t xml:space="preserve">RPS S.p.A. expanded its channel infrastructure by merging its UK subsidiary, </w:t>
      </w:r>
      <w:r>
        <w:t>Riello UPS Ltd, with critical power distributors Constant Power Services and Powertecnique to double its local workforce and triple its engineering resource capacity.</w:t>
      </w:r>
    </w:p>
    <w:p w:rsidR="00FC3617" w:rsidRDefault="0014512D">
      <w:pPr>
        <w:keepNext/>
        <w:pBdr>
          <w:left w:val="single" w:sz="24" w:space="6" w:color="52B69A"/>
        </w:pBdr>
        <w:spacing w:before="120" w:after="60"/>
        <w:ind w:left="170"/>
      </w:pPr>
      <w:r>
        <w:rPr>
          <w:b/>
          <w:color w:val="0F172A"/>
          <w:sz w:val="20"/>
        </w:rPr>
        <w:t>R&amp;D Investment &amp; Financial Strength — scored 80/100</w:t>
      </w:r>
    </w:p>
    <w:p w:rsidR="00FC3617" w:rsidRDefault="0014512D">
      <w:pPr>
        <w:keepNext/>
        <w:pBdr>
          <w:left w:val="single" w:sz="24" w:space="6" w:color="52B69A"/>
        </w:pBdr>
        <w:ind w:left="170"/>
      </w:pPr>
      <w:r>
        <w:t>We verified that the company possesse</w:t>
      </w:r>
      <w:r>
        <w:t>s stable financial health backed by its parent group's €400 million turnover and active strategic capital investments. Based on primary research, the company's annual research and development spending can be estimated as high, based on its dedication to ma</w:t>
      </w:r>
      <w:r>
        <w:t>intaining 2 dedicated research centers in Legnago and Cormano focused entirely on technological research.</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company's parent organization, Riello Elettronica Group, reports a global turnover of over €400 million and a workforce of more </w:t>
      </w:r>
      <w:r>
        <w:t>than 1,250 employees worldwide.</w:t>
      </w:r>
    </w:p>
    <w:p w:rsidR="00FC3617" w:rsidRDefault="0014512D">
      <w:pPr>
        <w:pStyle w:val="ListBullet"/>
        <w:spacing w:after="60"/>
        <w:ind w:left="510"/>
      </w:pPr>
      <w:r>
        <w:t>RPS S.p.A. demonstrated capital deployment capacity by subscribing to a €10.0 million investment as a cornerstone investor during the initial public offering of energy storage system integrator Energy S.p.A.</w:t>
      </w:r>
    </w:p>
    <w:p w:rsidR="00FC3617" w:rsidRDefault="0014512D">
      <w:pPr>
        <w:pStyle w:val="Heading2"/>
        <w:pageBreakBefore/>
        <w:shd w:val="clear" w:color="auto" w:fill="002857"/>
        <w:spacing w:after="0"/>
      </w:pPr>
      <w:bookmarkStart w:id="16" w:name="_Toc242935686"/>
      <w:r>
        <w:lastRenderedPageBreak/>
        <w:t xml:space="preserve">Tate Access </w:t>
      </w:r>
      <w:r>
        <w:t>Floors, Inc. (subsidiary of Kingspan Group PLC)</w:t>
      </w:r>
      <w:bookmarkEnd w:id="16"/>
    </w:p>
    <w:p w:rsidR="00FC3617" w:rsidRDefault="0014512D">
      <w:pPr>
        <w:shd w:val="clear" w:color="auto" w:fill="002857"/>
        <w:spacing w:after="200"/>
      </w:pPr>
      <w:r>
        <w:rPr>
          <w:color w:val="CBD5E1"/>
          <w:sz w:val="18"/>
        </w:rPr>
        <w:t xml:space="preserve">Tate   </w:t>
      </w:r>
      <w:r>
        <w:rPr>
          <w:color w:val="7EB6FF"/>
          <w:sz w:val="18"/>
        </w:rPr>
        <w:t xml:space="preserve">● </w:t>
      </w:r>
      <w:r>
        <w:rPr>
          <w:b/>
          <w:color w:val="FFFFFF"/>
          <w:sz w:val="18"/>
        </w:rPr>
        <w:t>Challengers</w:t>
      </w:r>
      <w:r>
        <w:rPr>
          <w:color w:val="CBD5E1"/>
          <w:sz w:val="18"/>
        </w:rPr>
        <w:t xml:space="preserve">     X </w:t>
      </w:r>
      <w:r>
        <w:rPr>
          <w:b/>
          <w:color w:val="FFFFFF"/>
          <w:sz w:val="20"/>
        </w:rPr>
        <w:t>73</w:t>
      </w:r>
      <w:r>
        <w:rPr>
          <w:color w:val="CBD5E1"/>
          <w:sz w:val="18"/>
        </w:rPr>
        <w:t xml:space="preserve">     Y </w:t>
      </w:r>
      <w:r>
        <w:rPr>
          <w:b/>
          <w:color w:val="FFFFFF"/>
          <w:sz w:val="20"/>
        </w:rPr>
        <w:t>77</w:t>
      </w:r>
      <w:r>
        <w:rPr>
          <w:color w:val="CBD5E1"/>
          <w:sz w:val="18"/>
        </w:rPr>
        <w:t xml:space="preserve">     Overall </w:t>
      </w:r>
      <w:r>
        <w:rPr>
          <w:b/>
          <w:color w:val="FFFFFF"/>
          <w:sz w:val="20"/>
        </w:rPr>
        <w:t>75</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65/100</w:t>
      </w:r>
    </w:p>
    <w:p w:rsidR="00FC3617" w:rsidRDefault="0014512D">
      <w:pPr>
        <w:keepNext/>
        <w:pBdr>
          <w:left w:val="single" w:sz="24" w:space="6" w:color="52B69A"/>
        </w:pBdr>
        <w:ind w:left="170"/>
      </w:pPr>
      <w:r>
        <w:t xml:space="preserve">Exclusively manufactures architectural and physical data center infrastructure </w:t>
      </w:r>
      <w:r>
        <w:t>like raised floors, containment, and airflow management. Based on primary research, the company's server hardware and storage computing metrics can be estimated as completely excluded, based on its focus on structural architecture, raised access floors, in</w:t>
      </w:r>
      <w:r>
        <w:t>-floor airflow containment, and liquid cooling manifold systems.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Efficiency — scored 72/100</w:t>
      </w:r>
    </w:p>
    <w:p w:rsidR="00FC3617" w:rsidRDefault="0014512D">
      <w:pPr>
        <w:keepNext/>
        <w:pBdr>
          <w:left w:val="single" w:sz="24" w:space="6" w:color="52B69A"/>
        </w:pBdr>
        <w:ind w:left="170"/>
      </w:pPr>
      <w:r>
        <w:t>The evaluation rests on the company's self-reported airflow efficiency metrics and PUE optimization capabilities for</w:t>
      </w:r>
      <w:r>
        <w:t xml:space="preserve"> its raised floors and containment systems. Based on primary research, the company's active infrastructure energy efficiency performance can be estimated as high, focused on maximizing containment and minimizing bypass airflow, based on its SmartAire elect</w:t>
      </w:r>
      <w:r>
        <w:t>ronically controlled variable dampers and DirectAire panels designed to deliver 93% total air capture.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DirectAire and DirectAire X2 directional airflow panels achieve a 93% Total Air Capture (TAC) rate by a st</w:t>
      </w:r>
      <w:r>
        <w:t>andard server rack to eliminate bypass air and optimize data center cooling efficiency, according to AC Floors.</w:t>
      </w:r>
    </w:p>
    <w:p w:rsidR="00FC3617" w:rsidRDefault="0014512D">
      <w:pPr>
        <w:pStyle w:val="ListBullet"/>
        <w:spacing w:after="60"/>
        <w:ind w:left="510"/>
      </w:pPr>
      <w:r>
        <w:t>A study published by the company details that server airflow leakage occurs at rates between 23% and 135% of their designed flow rate, according</w:t>
      </w:r>
      <w:r>
        <w:t xml:space="preserve"> to Cabling Installation &amp; Maintenance.</w:t>
      </w:r>
    </w:p>
    <w:p w:rsidR="00FC3617" w:rsidRDefault="0014512D">
      <w:pPr>
        <w:keepNext/>
        <w:pBdr>
          <w:left w:val="single" w:sz="24" w:space="6" w:color="52B69A"/>
        </w:pBdr>
        <w:spacing w:before="120" w:after="60"/>
        <w:ind w:left="170"/>
      </w:pPr>
      <w:r>
        <w:rPr>
          <w:b/>
          <w:color w:val="0F172A"/>
          <w:sz w:val="20"/>
        </w:rPr>
        <w:t>Rack &amp; Enclosure Density — scored 89/100</w:t>
      </w:r>
    </w:p>
    <w:p w:rsidR="00FC3617" w:rsidRDefault="0014512D">
      <w:pPr>
        <w:keepNext/>
        <w:pBdr>
          <w:left w:val="single" w:sz="24" w:space="6" w:color="52B69A"/>
        </w:pBdr>
        <w:ind w:left="170"/>
      </w:pPr>
      <w:r>
        <w:t>The rating rests on the company's specialized airflow management, cooling manifolds, and containment systems designed to enable third-party racks to handle high-density heat l</w:t>
      </w:r>
      <w:r>
        <w:t>oads. Based on primary research, the company's proprietary IT server rack manufacturing can be estimated as limited to containment integration and structural structural support, based on its product lines prioritizing aisle containment doors, partitions, a</w:t>
      </w:r>
      <w:r>
        <w:t>nd custom liquid cooling manifolds rather than bare IT enclosures.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in its product documentation that its PowerAire fan assist modules provide targeted, variable-speed airflow capable of cooling up to 25 kW of IT load p</w:t>
      </w:r>
      <w:r>
        <w:t>er rack panel combination to solve localized high-density hot spots.</w:t>
      </w:r>
    </w:p>
    <w:p w:rsidR="00FC3617" w:rsidRDefault="0014512D">
      <w:pPr>
        <w:pStyle w:val="ListBullet"/>
        <w:spacing w:after="60"/>
        <w:ind w:left="510"/>
      </w:pPr>
      <w:r>
        <w:t>The company reports that its Konnect by Tate fully integrated hot aisle containment (HAC) solutions are manufactured offsite with built-in direct-to-chip liquid cooling manifolds to suppo</w:t>
      </w:r>
      <w:r>
        <w:t>rt high-density artificial intelligence workloads running from 30 kW to over 100 kW per rack.</w:t>
      </w:r>
    </w:p>
    <w:p w:rsidR="00FC3617" w:rsidRDefault="0014512D">
      <w:pPr>
        <w:keepNext/>
        <w:pBdr>
          <w:left w:val="single" w:sz="24" w:space="6" w:color="52B69A"/>
        </w:pBdr>
        <w:spacing w:before="120" w:after="60"/>
        <w:ind w:left="170"/>
      </w:pPr>
      <w:r>
        <w:rPr>
          <w:b/>
          <w:color w:val="0F172A"/>
          <w:sz w:val="20"/>
        </w:rPr>
        <w:t>DCIM &amp; Management Software — scored 65/100</w:t>
      </w:r>
    </w:p>
    <w:p w:rsidR="00FC3617" w:rsidRDefault="0014512D">
      <w:pPr>
        <w:keepNext/>
        <w:pBdr>
          <w:left w:val="single" w:sz="24" w:space="6" w:color="52B69A"/>
        </w:pBdr>
        <w:ind w:left="170"/>
      </w:pPr>
      <w:r>
        <w:t xml:space="preserve">We verified that Tate Access Floors specializes in manufacturing physical infrastructure, including raised access </w:t>
      </w:r>
      <w:r>
        <w:t>flooring and airflow containment solutions, rather than software suites. Based on primary research, the company's dedicated data center infrastructure management software platform can be estimated as dependent on external software integrations, based on it</w:t>
      </w:r>
      <w:r>
        <w:t>s electronically controlled SmartAire dampers that regulate airflow based on specific rack needs through external hardware interfaces.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SmartAire electronically controlled variable air volume dampers feature lo</w:t>
      </w:r>
      <w:r>
        <w:t>cal control options, allowing them to be client-controlled or managed automatically using one to three rack-mounted temperature sensors.</w:t>
      </w:r>
    </w:p>
    <w:p w:rsidR="00FC3617" w:rsidRDefault="0014512D">
      <w:pPr>
        <w:keepNext/>
        <w:pBdr>
          <w:left w:val="single" w:sz="24" w:space="6" w:color="52B69A"/>
        </w:pBdr>
        <w:spacing w:before="120" w:after="60"/>
        <w:ind w:left="170"/>
      </w:pPr>
      <w:r>
        <w:rPr>
          <w:b/>
          <w:color w:val="0F172A"/>
          <w:sz w:val="20"/>
        </w:rPr>
        <w:lastRenderedPageBreak/>
        <w:t>AI &amp; Sustainability Innovation — scored 73/100</w:t>
      </w:r>
    </w:p>
    <w:p w:rsidR="00FC3617" w:rsidRDefault="0014512D">
      <w:pPr>
        <w:keepNext/>
        <w:pBdr>
          <w:left w:val="single" w:sz="24" w:space="6" w:color="52B69A"/>
        </w:pBdr>
        <w:ind w:left="170"/>
      </w:pPr>
      <w:r>
        <w:t>The rating rests on the company's established manufacturing capabilities</w:t>
      </w:r>
      <w:r>
        <w:t xml:space="preserve"> for low embodied carbon physical infrastructure under its Planet Passionate initiative. Based on primary research, the company's embedded artificial intelligence and carbon tracking software systems can be estimated as emerging through structural carbon t</w:t>
      </w:r>
      <w:r>
        <w:t>ransparency initiatives, based on its Planet Passionate global initiative and lower embodied carbon products like Tate Grid Plus LEC.</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its "Planet Passionate" global sustainability initiative and provides its Lower Embo</w:t>
      </w:r>
      <w:r>
        <w:t>died Carbon (LEC) product line, including the RMG600+ access floor panels made with at least 86% recycled content and offering a 57% reduction in embodied carbon compared to standard panels, which was selected for Aldi's national distribution centre in Bar</w:t>
      </w:r>
      <w:r>
        <w:t>don, UK.</w:t>
      </w:r>
    </w:p>
    <w:p w:rsidR="00FC3617" w:rsidRDefault="0014512D">
      <w:pPr>
        <w:pStyle w:val="ListBullet"/>
        <w:spacing w:after="60"/>
        <w:ind w:left="510"/>
      </w:pPr>
      <w:r>
        <w:t>The company manufactures the Tate Grid+ LEC structural ceiling system, a data center solution built from recycled aluminum that reduces the facility's carbon footprint compared to standard grids and features third-party validated safety performanc</w:t>
      </w:r>
      <w:r>
        <w:t>e.</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81/100</w:t>
      </w:r>
    </w:p>
    <w:p w:rsidR="00FC3617" w:rsidRDefault="0014512D">
      <w:pPr>
        <w:keepNext/>
        <w:pBdr>
          <w:left w:val="single" w:sz="24" w:space="6" w:color="52B69A"/>
        </w:pBdr>
        <w:ind w:left="170"/>
      </w:pPr>
      <w:r>
        <w:t>The assessment rests on the company's self-reported collaboration with unnamed hyperscale clients to design custom technical infrastructure. Based on primary research, the company's id</w:t>
      </w:r>
      <w:r>
        <w:t>entities of hyperscale customers can be estimated as extensive across major cloud providers, based on its comprehensive architectural features and data center case studies.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Tate Access Floors reports that it partners directly with hypersc</w:t>
      </w:r>
      <w:r>
        <w:t>alers and engineering teams to co-develop custom liquid cooling manifold configurations tailored to specific AI workloads, as detailed on the company's Liquid Cooling &amp; Retrofit Solutions page.</w:t>
      </w:r>
    </w:p>
    <w:p w:rsidR="00FC3617" w:rsidRDefault="0014512D">
      <w:pPr>
        <w:keepNext/>
        <w:pBdr>
          <w:left w:val="single" w:sz="24" w:space="6" w:color="52B69A"/>
        </w:pBdr>
        <w:spacing w:before="120" w:after="60"/>
        <w:ind w:left="170"/>
      </w:pPr>
      <w:r>
        <w:rPr>
          <w:b/>
          <w:color w:val="0F172A"/>
          <w:sz w:val="20"/>
        </w:rPr>
        <w:t>Global Revenue &amp; Market Share — scored 83/100</w:t>
      </w:r>
    </w:p>
    <w:p w:rsidR="00FC3617" w:rsidRDefault="0014512D">
      <w:pPr>
        <w:keepNext/>
        <w:pBdr>
          <w:left w:val="single" w:sz="24" w:space="6" w:color="52B69A"/>
        </w:pBdr>
        <w:ind w:left="170"/>
      </w:pPr>
      <w:r>
        <w:t>Our evaluation r</w:t>
      </w:r>
      <w:r>
        <w:t xml:space="preserve">ests on estimated third-party industry market revenue figures and corporate portfolio disclosures from the parent company. Based on primary research, the company's standalone data center revenue can be estimated as growing steadily over time, based on its </w:t>
      </w:r>
      <w:r>
        <w:t>continuous expansion of engineering capabilities and job postings.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Industry market landscape overviews estimate Tate's sales revenue at approximately $750 million within the data center raised floor market sector.</w:t>
      </w:r>
    </w:p>
    <w:p w:rsidR="00FC3617" w:rsidRDefault="0014512D">
      <w:pPr>
        <w:pStyle w:val="ListBullet"/>
        <w:spacing w:after="60"/>
        <w:ind w:left="510"/>
      </w:pPr>
      <w:r>
        <w:t>The company's parent cor</w:t>
      </w:r>
      <w:r>
        <w:t>poration, Kingspan Group plc, confirms in its 2025 Annual Report that it established its global data center market position following the acquisition of Tate in 2001, though it manages financial reports on a consolidated group level.</w:t>
      </w:r>
    </w:p>
    <w:p w:rsidR="00FC3617" w:rsidRDefault="0014512D">
      <w:pPr>
        <w:keepNext/>
        <w:pBdr>
          <w:left w:val="single" w:sz="24" w:space="6" w:color="52B69A"/>
        </w:pBdr>
        <w:spacing w:before="120" w:after="60"/>
        <w:ind w:left="170"/>
      </w:pPr>
      <w:r>
        <w:rPr>
          <w:b/>
          <w:color w:val="0F172A"/>
          <w:sz w:val="20"/>
        </w:rPr>
        <w:t xml:space="preserve">Installed Base &amp; </w:t>
      </w:r>
      <w:r>
        <w:rPr>
          <w:b/>
          <w:color w:val="0F172A"/>
          <w:sz w:val="20"/>
        </w:rPr>
        <w:t>Deployments — scored 78/100</w:t>
      </w:r>
    </w:p>
    <w:p w:rsidR="00FC3617" w:rsidRDefault="0014512D">
      <w:pPr>
        <w:keepNext/>
        <w:pBdr>
          <w:left w:val="single" w:sz="24" w:space="6" w:color="52B69A"/>
        </w:pBdr>
        <w:ind w:left="170"/>
      </w:pPr>
      <w:r>
        <w:t>We verified that the company has large-scale international deployments, including over a million square metres of infrastructure in Australia and high-profile hyperscale installations. Based on primary research, the company's cu</w:t>
      </w:r>
      <w:r>
        <w:t>mulative products deployed can be estimated as massive globally within infrastructure, based on its long operational history since founding and continuous project deliveries.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Through its Australian operations, the company has deployed </w:t>
      </w:r>
      <w:r>
        <w:t>over 1.2 million square metres of raised access floors across data centre and commercial facilities in Australia.</w:t>
      </w:r>
    </w:p>
    <w:p w:rsidR="00FC3617" w:rsidRDefault="0014512D">
      <w:pPr>
        <w:pStyle w:val="ListBullet"/>
        <w:spacing w:after="60"/>
        <w:ind w:left="510"/>
      </w:pPr>
      <w:r>
        <w:t>The company reports deployments of its RMG600 raised access flooring systems at the Meta data center facility in Dublin.</w:t>
      </w:r>
    </w:p>
    <w:p w:rsidR="00FC3617" w:rsidRDefault="0014512D">
      <w:pPr>
        <w:keepNext/>
        <w:pBdr>
          <w:left w:val="single" w:sz="24" w:space="6" w:color="52B69A"/>
        </w:pBdr>
        <w:spacing w:before="120" w:after="60"/>
        <w:ind w:left="170"/>
      </w:pPr>
      <w:r>
        <w:rPr>
          <w:b/>
          <w:color w:val="0F172A"/>
          <w:sz w:val="20"/>
        </w:rPr>
        <w:t>Strategic Partnership</w:t>
      </w:r>
      <w:r>
        <w:rPr>
          <w:b/>
          <w:color w:val="0F172A"/>
          <w:sz w:val="20"/>
        </w:rPr>
        <w:t>s &amp; Channels — scored 69/100</w:t>
      </w:r>
    </w:p>
    <w:p w:rsidR="00FC3617" w:rsidRDefault="0014512D">
      <w:pPr>
        <w:keepNext/>
        <w:pBdr>
          <w:left w:val="single" w:sz="24" w:space="6" w:color="52B69A"/>
        </w:pBdr>
        <w:ind w:left="170"/>
      </w:pPr>
      <w:r>
        <w:t>The rating rests on the company's verified network of domestic and international regional installation and distribution dealers specialized in architectural and data center infrastructure. Based on primary research, the company</w:t>
      </w:r>
      <w:r>
        <w:t>'s named IT distributor partnerships can be estimated as broad within building and industrial channels, based on its network of authorized installers and design support services.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Tate Access Floors operates a global channel network throug</w:t>
      </w:r>
      <w:r>
        <w:t>h an authorized dealer directory that spans regional distributors across the United States, Canada, Hong Kong, Central America, the Caribbean, and multiple Latin American nations including Brazil, Mexico, and Colombia, as detailed by Tate Global.</w:t>
      </w:r>
    </w:p>
    <w:p w:rsidR="00FC3617" w:rsidRDefault="0014512D">
      <w:pPr>
        <w:pStyle w:val="ListBullet"/>
        <w:spacing w:after="60"/>
        <w:ind w:left="510"/>
      </w:pPr>
      <w:r>
        <w:lastRenderedPageBreak/>
        <w:t>The compa</w:t>
      </w:r>
      <w:r>
        <w:t>ny maintains localized distributor agreements for its specialized data center infrastructure, such as its nearly 30-year partnership with Interior Systems, Inc. to sell and install its complete line of ConCore panels and data center airflow systems in Illi</w:t>
      </w:r>
      <w:r>
        <w:t>nois, as verified by Interior Systems, Inc.</w:t>
      </w:r>
    </w:p>
    <w:p w:rsidR="00FC3617" w:rsidRDefault="0014512D">
      <w:pPr>
        <w:keepNext/>
        <w:pBdr>
          <w:left w:val="single" w:sz="24" w:space="6" w:color="52B69A"/>
        </w:pBdr>
        <w:spacing w:before="120" w:after="60"/>
        <w:ind w:left="170"/>
      </w:pPr>
      <w:r>
        <w:rPr>
          <w:b/>
          <w:color w:val="0F172A"/>
          <w:sz w:val="20"/>
        </w:rPr>
        <w:t>R&amp;D Investment &amp; Financial Strength — scored 76/100</w:t>
      </w:r>
    </w:p>
    <w:p w:rsidR="00FC3617" w:rsidRDefault="0014512D">
      <w:pPr>
        <w:keepNext/>
        <w:pBdr>
          <w:left w:val="single" w:sz="24" w:space="6" w:color="52B69A"/>
        </w:pBdr>
        <w:ind w:left="170"/>
      </w:pPr>
      <w:r>
        <w:t>The evaluation rests on the company's strong financial backing from a highly profitable parent group and dedicated multi-million dollar regional manufacturing i</w:t>
      </w:r>
      <w:r>
        <w:t>nvestments. Based on primary research, the company's annual research and development spending can be estimated as substantial to support ongoing product innovation, based on its dedicated engineering functional group composing nearly one third of its workf</w:t>
      </w:r>
      <w:r>
        <w:t>orce.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Tate Access Floors, Inc. reports annual revenues of over $420 million up to $600 million as an independent operating entity within the Kingspan Group, which recorded a total global revenue of €8,608.0 million and a trading profit of</w:t>
      </w:r>
      <w:r>
        <w:t xml:space="preserve"> €906.7 million for FY24.</w:t>
      </w:r>
    </w:p>
    <w:p w:rsidR="00FC3617" w:rsidRDefault="0014512D">
      <w:pPr>
        <w:pStyle w:val="ListBullet"/>
        <w:spacing w:after="60"/>
        <w:ind w:left="510"/>
      </w:pPr>
      <w:r>
        <w:t>Tate Access Flooring secured a $10 million New Markets Tax Credit (NMTC) investment from Rural Development Partners, part of a total $35 million NMTC package with Three Roots Capital and Dudley Ventures, to finance a 284,000-squar</w:t>
      </w:r>
      <w:r>
        <w:t>e-foot facility expansion in St. Paul, Virginia, for manufacturing data center airflow management systems.</w:t>
      </w:r>
    </w:p>
    <w:p w:rsidR="00FC3617" w:rsidRDefault="0014512D">
      <w:pPr>
        <w:pStyle w:val="Heading2"/>
        <w:pageBreakBefore/>
        <w:shd w:val="clear" w:color="auto" w:fill="002857"/>
        <w:spacing w:after="0"/>
      </w:pPr>
      <w:bookmarkStart w:id="17" w:name="_Toc242935687"/>
      <w:r>
        <w:lastRenderedPageBreak/>
        <w:t>Wiwynn Corporation</w:t>
      </w:r>
      <w:bookmarkEnd w:id="17"/>
    </w:p>
    <w:p w:rsidR="00FC3617" w:rsidRDefault="0014512D">
      <w:pPr>
        <w:shd w:val="clear" w:color="auto" w:fill="002857"/>
        <w:spacing w:after="200"/>
      </w:pPr>
      <w:r>
        <w:rPr>
          <w:color w:val="CBD5E1"/>
          <w:sz w:val="18"/>
        </w:rPr>
        <w:t xml:space="preserve">Wiwynn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87</w:t>
      </w:r>
      <w:r>
        <w:rPr>
          <w:color w:val="CBD5E1"/>
          <w:sz w:val="18"/>
        </w:rPr>
        <w:t xml:space="preserve">     Overall </w:t>
      </w:r>
      <w:r>
        <w:rPr>
          <w:b/>
          <w:color w:val="FFFFFF"/>
          <w:sz w:val="20"/>
        </w:rPr>
        <w:t>89</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89/100</w:t>
      </w:r>
    </w:p>
    <w:p w:rsidR="00FC3617" w:rsidRDefault="0014512D">
      <w:pPr>
        <w:keepNext/>
        <w:pBdr>
          <w:left w:val="single" w:sz="24" w:space="6" w:color="52B69A"/>
        </w:pBdr>
        <w:ind w:left="170"/>
      </w:pPr>
      <w:r>
        <w:t>T</w:t>
      </w:r>
      <w:r>
        <w:t>he rating rests on the company's disclosed hardware metrics for its NVMe JBOF and AMD Helios AI platforms. Based on primary research, the company's compute benchmarks can be estimated as high, matching premier enterprise tiers, based on its open standard c</w:t>
      </w:r>
      <w:r>
        <w:t>omputing products and newest architectural integrations with premier processing families.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Wiwynn Corporation reports that its NVMe JBOF storage solution delivers an I/O throughput of 26.6GB/s and a 4KB random write performance of 5,692K </w:t>
      </w:r>
      <w:r>
        <w:t>IOPS.</w:t>
      </w:r>
    </w:p>
    <w:p w:rsidR="00FC3617" w:rsidRDefault="0014512D">
      <w:pPr>
        <w:pStyle w:val="ListBullet"/>
        <w:spacing w:after="60"/>
        <w:ind w:left="510"/>
      </w:pPr>
      <w:r>
        <w:t>The company announced its AMD Helios AI infrastructure platform at the OCP Global Summit 2026, which delivers up to 2.9 EFLOPS of OCP MXFP4 performance and features up to 31 TB of HBM4 memory per rack with 1.67 PB/s aggregate memory bandwidth.</w:t>
      </w:r>
    </w:p>
    <w:p w:rsidR="00FC3617" w:rsidRDefault="0014512D">
      <w:pPr>
        <w:keepNext/>
        <w:pBdr>
          <w:left w:val="single" w:sz="24" w:space="6" w:color="52B69A"/>
        </w:pBdr>
        <w:spacing w:before="120" w:after="60"/>
        <w:ind w:left="170"/>
      </w:pPr>
      <w:r>
        <w:rPr>
          <w:b/>
          <w:color w:val="0F172A"/>
          <w:sz w:val="20"/>
        </w:rPr>
        <w:t xml:space="preserve">Power </w:t>
      </w:r>
      <w:r>
        <w:rPr>
          <w:b/>
          <w:color w:val="0F172A"/>
          <w:sz w:val="20"/>
        </w:rPr>
        <w:t>&amp; Cooling Efficiency — scored 98/100</w:t>
      </w:r>
    </w:p>
    <w:p w:rsidR="00FC3617" w:rsidRDefault="0014512D">
      <w:pPr>
        <w:keepNext/>
        <w:pBdr>
          <w:left w:val="single" w:sz="24" w:space="6" w:color="52B69A"/>
        </w:pBdr>
        <w:ind w:left="170"/>
      </w:pPr>
      <w:r>
        <w:t xml:space="preserve">The rating rests on the company's verified deployment of advanced immersion cooling solutions with Microsoft and its extensive portfolio of liquid cooling and vertical power delivery solutions designed for high-density </w:t>
      </w:r>
      <w:r>
        <w:t xml:space="preserve">Open Compute Project architectures. Based on primary research, the company's infrastructure hardware energy efficiency can be estimated as optimized for extreme low-loss conversion, based on its integrated phase balancing distribution units delivering 97% </w:t>
      </w:r>
      <w:r>
        <w:t>conversion efficiency.</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that its tank-based two-phase immersion cooling technology delivers energy savings of over 90% for data center cooling operations and achieves a partial Power Usage Effectiveness (pPUE) of less </w:t>
      </w:r>
      <w:r>
        <w:t>than 1.01.</w:t>
      </w:r>
    </w:p>
    <w:p w:rsidR="00FC3617" w:rsidRDefault="0014512D">
      <w:pPr>
        <w:pStyle w:val="ListBullet"/>
        <w:spacing w:after="60"/>
        <w:ind w:left="510"/>
      </w:pPr>
      <w:r>
        <w:t>Wiwynn partnered with Microsoft to develop a two-phase immersion cooling solution, which Microsoft confirmed was running at its production data center in Quincy.</w:t>
      </w:r>
    </w:p>
    <w:p w:rsidR="00FC3617" w:rsidRDefault="0014512D">
      <w:pPr>
        <w:keepNext/>
        <w:pBdr>
          <w:left w:val="single" w:sz="24" w:space="6" w:color="52B69A"/>
        </w:pBdr>
        <w:spacing w:before="120" w:after="60"/>
        <w:ind w:left="170"/>
      </w:pPr>
      <w:r>
        <w:rPr>
          <w:b/>
          <w:color w:val="0F172A"/>
          <w:sz w:val="20"/>
        </w:rPr>
        <w:t>Rack &amp; Enclosure Density — scored 98/100</w:t>
      </w:r>
    </w:p>
    <w:p w:rsidR="00FC3617" w:rsidRDefault="0014512D">
      <w:pPr>
        <w:keepNext/>
        <w:pBdr>
          <w:left w:val="single" w:sz="24" w:space="6" w:color="52B69A"/>
        </w:pBdr>
        <w:ind w:left="170"/>
      </w:pPr>
      <w:r>
        <w:t>The rating rests on its clear, published e</w:t>
      </w:r>
      <w:r>
        <w:t>ngineering specifications for ultra-high-density disaggregated AI racks scaling from 190 kW up to 1.1 MW, as well as production-ready OCP-integrated configurations. Based on primary research, the company's high density capacity deployment scaling can be es</w:t>
      </w:r>
      <w:r>
        <w:t>timated as extensive across hyperscale compute architectures, based on its modular topologies successfully climbing from 100-and-90-kilowatt frameworks up to 1.1-megawatt clusters.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Wiwynn reports the development and debut of its double-wi</w:t>
      </w:r>
      <w:r>
        <w:t>de Open Compute Project (OCP) compliant rack architecture at the OCP Global Summit 2025, featuring integrated high-voltage DC (HVDC) power delivery supporting ±400/800 VDC and a liquid-cooled busbar designed for high-current loads.</w:t>
      </w:r>
    </w:p>
    <w:p w:rsidR="00FC3617" w:rsidRDefault="0014512D">
      <w:pPr>
        <w:pStyle w:val="ListBullet"/>
        <w:spacing w:after="60"/>
        <w:ind w:left="510"/>
      </w:pPr>
      <w:r>
        <w:t xml:space="preserve">Wiwynn reports that its </w:t>
      </w:r>
      <w:r>
        <w:t>scalable rack-level high-power architecture supports disaggregated power and IT racks that scale from 190 kW to 1.1 MW, coupled with a modular AI cluster design where one 800 kW Coolant Distribution Unit (CDU) serves up to 8 liquid-cooled AI racks rated at</w:t>
      </w:r>
      <w:r>
        <w:t xml:space="preserve"> 100 kW each.</w:t>
      </w:r>
    </w:p>
    <w:p w:rsidR="00FC3617" w:rsidRDefault="0014512D">
      <w:pPr>
        <w:keepNext/>
        <w:pBdr>
          <w:left w:val="single" w:sz="24" w:space="6" w:color="52B69A"/>
        </w:pBdr>
        <w:spacing w:before="120" w:after="60"/>
        <w:ind w:left="170"/>
      </w:pPr>
      <w:r>
        <w:rPr>
          <w:b/>
          <w:color w:val="0F172A"/>
          <w:sz w:val="20"/>
        </w:rPr>
        <w:t>DCIM &amp; Management Software — scored 88/100</w:t>
      </w:r>
    </w:p>
    <w:p w:rsidR="00FC3617" w:rsidRDefault="0014512D">
      <w:pPr>
        <w:keepNext/>
        <w:pBdr>
          <w:left w:val="single" w:sz="24" w:space="6" w:color="52B69A"/>
        </w:pBdr>
        <w:ind w:left="170"/>
      </w:pPr>
      <w:r>
        <w:t>The evaluation rests on the company's verified portfolio of proprietary rack-level management software, firmware utilities, and management hardware systems designed specifically to monitor direct liq</w:t>
      </w:r>
      <w:r>
        <w:t>uid cooling telemetry and optimize server clusters. Based on primary research, the company's digital facility orchestration capability can be estimated as advanced through comprehensive full-suite iot tracking, based on its smart manufacturing operations u</w:t>
      </w:r>
      <w:r>
        <w:t>tilizing full-facility operational digital twin and mes software integrations.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Wiwynn reports the implementation of its Universal Management System (UMS) under its Elastic Management Framework, which unifies rack- and cluster-level monito</w:t>
      </w:r>
      <w:r>
        <w:t>ring, exports telemetry to Prometheus/Thanos platforms with Grafana visualizations, and incorporates multi-layer leakage detection and cooling facility coordination for high-density liquid-cooled environments.</w:t>
      </w:r>
    </w:p>
    <w:p w:rsidR="00FC3617" w:rsidRDefault="0014512D">
      <w:pPr>
        <w:pStyle w:val="ListBullet"/>
        <w:spacing w:after="60"/>
        <w:ind w:left="510"/>
      </w:pPr>
      <w:r>
        <w:t xml:space="preserve">Wiwynn published technical specifications for </w:t>
      </w:r>
      <w:r>
        <w:t>its Wiwynn Cluster Manager integrated with Intel Rack Scale Design (RSD) 2.1, providing features such as resource planning, massive firmware/OS deployment, and real-time rack-level visual monitoring.</w:t>
      </w:r>
    </w:p>
    <w:p w:rsidR="00FC3617" w:rsidRDefault="0014512D">
      <w:pPr>
        <w:keepNext/>
        <w:pBdr>
          <w:left w:val="single" w:sz="24" w:space="6" w:color="52B69A"/>
        </w:pBdr>
        <w:spacing w:before="120" w:after="60"/>
        <w:ind w:left="170"/>
      </w:pPr>
      <w:r>
        <w:rPr>
          <w:b/>
          <w:color w:val="0F172A"/>
          <w:sz w:val="20"/>
        </w:rPr>
        <w:lastRenderedPageBreak/>
        <w:t>AI &amp; Sustainability Innovation — scored 83/100</w:t>
      </w:r>
    </w:p>
    <w:p w:rsidR="00FC3617" w:rsidRDefault="0014512D">
      <w:pPr>
        <w:keepNext/>
        <w:pBdr>
          <w:left w:val="single" w:sz="24" w:space="6" w:color="52B69A"/>
        </w:pBdr>
        <w:ind w:left="170"/>
      </w:pPr>
      <w:r>
        <w:t>The ratin</w:t>
      </w:r>
      <w:r>
        <w:t>g rests on the company's verified partnership testing two-phase immersion cooling and its deployment of actionable carbon analytics. Based on primary research, the company's deployment metrics for ai-driven predictive maintenance or energy optimization alg</w:t>
      </w:r>
      <w:r>
        <w:t>orithms within its can be estimated as growing steadily, based on its multi-level management architecture, AI-driven thermal-sensing algorithms, and elastic management framework deployed across its global cloud service provider networks.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In April 2021, Microsoft partnered with Wiwynn in its Quincy data center to test the deployment of energy-efficient two-phase immersion-cooled servers.</w:t>
      </w:r>
    </w:p>
    <w:p w:rsidR="00FC3617" w:rsidRDefault="0014512D">
      <w:pPr>
        <w:pStyle w:val="ListBullet"/>
        <w:spacing w:after="60"/>
        <w:ind w:left="510"/>
      </w:pPr>
      <w:r>
        <w:t>Wiwynn reported that it addresses green innovation through eco-design and circularity by implementing ca</w:t>
      </w:r>
      <w:r>
        <w:t>rbon footprint analytics for product carbon emission calculations and reduction.</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96/100</w:t>
      </w:r>
    </w:p>
    <w:p w:rsidR="00FC3617" w:rsidRDefault="0014512D">
      <w:pPr>
        <w:keepNext/>
        <w:pBdr>
          <w:left w:val="single" w:sz="24" w:space="6" w:color="52B69A"/>
        </w:pBdr>
        <w:ind w:left="170"/>
      </w:pPr>
      <w:r>
        <w:t xml:space="preserve">The rating rests on confirmed, repeat manufacturing and systems integration contracts with Tier-1 </w:t>
      </w:r>
      <w:r>
        <w:t xml:space="preserve">hyperscale operators including Amazon, Meta, and Microsoft. Based on primary research, the company's contractual values or delivery timelines for each custom server rack design can be estimated as fast for most approvals, based on its systematic procedure </w:t>
      </w:r>
      <w:r>
        <w:t>in terms of overall planning and execution of rack integration to exceed expectations.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On September 9, 2026, Amazon publicly announced that Wiwynn supports Amazon's data center infrastructure by manufacturing and integrating server system</w:t>
      </w:r>
      <w:r>
        <w:t>s and racks to expand its domestic U.S. server capacity.</w:t>
      </w:r>
    </w:p>
    <w:p w:rsidR="00FC3617" w:rsidRDefault="0014512D">
      <w:pPr>
        <w:pStyle w:val="ListBullet"/>
        <w:spacing w:after="60"/>
        <w:ind w:left="510"/>
      </w:pPr>
      <w:r>
        <w:t>Media reports in early 2025 indicated that Wiwynn counts major U.S. cloud service providers Meta Platforms Inc. and Microsoft Corp. as its primary clients, with over half of the company's revenue ver</w:t>
      </w:r>
      <w:r>
        <w:t>ified as originating from Meta to fuel AI and general-purpose server demand.</w:t>
      </w:r>
    </w:p>
    <w:p w:rsidR="00FC3617" w:rsidRDefault="0014512D">
      <w:pPr>
        <w:keepNext/>
        <w:pBdr>
          <w:left w:val="single" w:sz="24" w:space="6" w:color="52B69A"/>
        </w:pBdr>
        <w:spacing w:before="120" w:after="60"/>
        <w:ind w:left="170"/>
      </w:pPr>
      <w:r>
        <w:rPr>
          <w:b/>
          <w:color w:val="0F172A"/>
          <w:sz w:val="20"/>
        </w:rPr>
        <w:t>Global Revenue &amp; Market Share — scored 87/100</w:t>
      </w:r>
    </w:p>
    <w:p w:rsidR="00FC3617" w:rsidRDefault="0014512D">
      <w:pPr>
        <w:keepNext/>
        <w:pBdr>
          <w:left w:val="single" w:sz="24" w:space="6" w:color="52B69A"/>
        </w:pBdr>
        <w:ind w:left="170"/>
      </w:pPr>
      <w:r>
        <w:t>The assessment rests on the company's official financial disclosures demonstrating high revenue growth driven by hyperscale and AI se</w:t>
      </w:r>
      <w:r>
        <w:t>rver demand. Based on primary research, the company's global data center market share percentage can be estimated as strong, in line with leading vendors, based on its net revenue totaling over 554 billion new taiwan dollars in the first half of 2,026.</w:t>
      </w:r>
    </w:p>
    <w:p w:rsidR="00FC3617" w:rsidRDefault="0014512D">
      <w:pPr>
        <w:keepNext/>
        <w:spacing w:after="40"/>
        <w:ind w:left="170"/>
      </w:pPr>
      <w:r>
        <w:rPr>
          <w:b/>
          <w:caps/>
          <w:color w:val="64748B"/>
          <w:sz w:val="15"/>
        </w:rPr>
        <w:t>Sup</w:t>
      </w:r>
      <w:r>
        <w:rPr>
          <w:b/>
          <w:caps/>
          <w:color w:val="64748B"/>
          <w:sz w:val="15"/>
        </w:rPr>
        <w:t>porting points</w:t>
      </w:r>
    </w:p>
    <w:p w:rsidR="00FC3617" w:rsidRDefault="0014512D">
      <w:pPr>
        <w:pStyle w:val="ListBullet"/>
        <w:spacing w:after="60"/>
        <w:ind w:left="510"/>
      </w:pPr>
      <w:r>
        <w:t>Wiwynn Corporation reported a consolidated annual revenue of NT$950.663 billion for the fiscal year 2025, representing a 163.7% increase year-over-year, with AI-related products contributing to more than half of the total revenue.</w:t>
      </w:r>
    </w:p>
    <w:p w:rsidR="00FC3617" w:rsidRDefault="0014512D">
      <w:pPr>
        <w:pStyle w:val="ListBullet"/>
        <w:spacing w:after="60"/>
        <w:ind w:left="510"/>
      </w:pPr>
      <w:r>
        <w:t>Wiwynn Cor</w:t>
      </w:r>
      <w:r>
        <w:t>poration reported that its consolidated revenue for the first half of 2026 reached NT$554.660 billion, representing a 41.7% growth compared to the same period in the prior year.</w:t>
      </w:r>
    </w:p>
    <w:p w:rsidR="00FC3617" w:rsidRDefault="0014512D">
      <w:pPr>
        <w:keepNext/>
        <w:pBdr>
          <w:left w:val="single" w:sz="24" w:space="6" w:color="52B69A"/>
        </w:pBdr>
        <w:spacing w:before="120" w:after="60"/>
        <w:ind w:left="170"/>
      </w:pPr>
      <w:r>
        <w:rPr>
          <w:b/>
          <w:color w:val="0F172A"/>
          <w:sz w:val="20"/>
        </w:rPr>
        <w:t>Installed Base &amp; Deployments — scored 82/100</w:t>
      </w:r>
    </w:p>
    <w:p w:rsidR="00FC3617" w:rsidRDefault="0014512D">
      <w:pPr>
        <w:keepNext/>
        <w:pBdr>
          <w:left w:val="single" w:sz="24" w:space="6" w:color="52B69A"/>
        </w:pBdr>
        <w:ind w:left="170"/>
      </w:pPr>
      <w:r>
        <w:t>The rating rests on the company's</w:t>
      </w:r>
      <w:r>
        <w:t xml:space="preserve"> verified server deployments with top-tier hyperscale clients and its global footprint spanning hundreds of facilities. Based on primary research, the company's cumulative unit shipment figures or long-term customer retention rates can be estimated as high</w:t>
      </w:r>
      <w:r>
        <w:t>, based on its shipping of server racks to more than 350 data centers globally.</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Wiwynn reported that it has shipped server racks to more than 350 data centers worldwide, as documented by W.Media.</w:t>
      </w:r>
    </w:p>
    <w:p w:rsidR="00FC3617" w:rsidRDefault="0014512D">
      <w:pPr>
        <w:pStyle w:val="ListBullet"/>
        <w:spacing w:after="60"/>
        <w:ind w:left="510"/>
      </w:pPr>
      <w:r>
        <w:t xml:space="preserve">Microsoft partnered with Wiwynn to deploy </w:t>
      </w:r>
      <w:r>
        <w:t>and test a production-level, two-phase immersion-cooled server infrastructure at a data center in Quincy, Washington, as reported by DatacenterDynamics.</w:t>
      </w:r>
    </w:p>
    <w:p w:rsidR="00FC3617" w:rsidRDefault="0014512D">
      <w:pPr>
        <w:keepNext/>
        <w:pBdr>
          <w:left w:val="single" w:sz="24" w:space="6" w:color="52B69A"/>
        </w:pBdr>
        <w:spacing w:before="120" w:after="60"/>
        <w:ind w:left="170"/>
      </w:pPr>
      <w:r>
        <w:rPr>
          <w:b/>
          <w:color w:val="0F172A"/>
          <w:sz w:val="20"/>
        </w:rPr>
        <w:t>Strategic Partnerships &amp; Channels — scored 81/100</w:t>
      </w:r>
    </w:p>
    <w:p w:rsidR="00FC3617" w:rsidRDefault="0014512D">
      <w:pPr>
        <w:keepNext/>
        <w:pBdr>
          <w:left w:val="single" w:sz="24" w:space="6" w:color="52B69A"/>
        </w:pBdr>
        <w:ind w:left="170"/>
      </w:pPr>
      <w:r>
        <w:t>The rating rests on the company's clear verifiable di</w:t>
      </w:r>
      <w:r>
        <w:t>stribution channels across North America, Europe, and Asia-Pacific, alongside strategic co-development alliances with leading infrastructure and component providers. Based on primary research, the company's a structured, tiered global channel partner progr</w:t>
      </w:r>
      <w:r>
        <w:t>am or comprehensive metrics regarding its reseller revenues can be estimated as limited to a few markets, based on its direct original design manufacturer business model focused on world-leading hyperscale cloud service providers.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Wiwynn </w:t>
      </w:r>
      <w:r>
        <w:t xml:space="preserve">establishes global channel coverage through an authorized list of regional distributors including Penguin and Redapt in the United States, Circle-B in the Netherlands, Celeris-Informatique in France, Vespertec in the </w:t>
      </w:r>
      <w:r>
        <w:lastRenderedPageBreak/>
        <w:t>United Kingdom, and Teratac in South Ko</w:t>
      </w:r>
      <w:r>
        <w:t>rea to supply its Open Compute Project (OCP) rack servers, storage, and networking hardware.</w:t>
      </w:r>
    </w:p>
    <w:p w:rsidR="00FC3617" w:rsidRDefault="0014512D">
      <w:pPr>
        <w:pStyle w:val="ListBullet"/>
        <w:spacing w:after="60"/>
        <w:ind w:left="510"/>
      </w:pPr>
      <w:r>
        <w:t>Wiwynn announced a formal strategic collaboration with Shinwa Controls Co., Ltd. on June 3, 2026, combining their respective engineering capabilities to deliver pr</w:t>
      </w:r>
      <w:r>
        <w:t>oduction-ready server Direct Liquid Cooling (DLC) infrastructure and coolant distribution systems for global Cloud Service Providers (CSPs).</w:t>
      </w:r>
    </w:p>
    <w:p w:rsidR="00FC3617" w:rsidRDefault="0014512D">
      <w:pPr>
        <w:keepNext/>
        <w:pBdr>
          <w:left w:val="single" w:sz="24" w:space="6" w:color="52B69A"/>
        </w:pBdr>
        <w:spacing w:before="120" w:after="60"/>
        <w:ind w:left="170"/>
      </w:pPr>
      <w:r>
        <w:rPr>
          <w:b/>
          <w:color w:val="0F172A"/>
          <w:sz w:val="20"/>
        </w:rPr>
        <w:t>R&amp;D Investment &amp; Financial Strength — scored 87/100</w:t>
      </w:r>
    </w:p>
    <w:p w:rsidR="00FC3617" w:rsidRDefault="0014512D">
      <w:pPr>
        <w:keepNext/>
        <w:pBdr>
          <w:left w:val="single" w:sz="24" w:space="6" w:color="52B69A"/>
        </w:pBdr>
        <w:ind w:left="170"/>
      </w:pPr>
      <w:r>
        <w:t>The rating rests on the company's strong, transparent financial</w:t>
      </w:r>
      <w:r>
        <w:t xml:space="preserve"> growth documentation and a specific multi-billion NT$ budget assigned to its ongoing R&amp;D activities. Based on primary research, the company's annual research and development spending as a fixed percentage of revenue within its high-level public can be est</w:t>
      </w:r>
      <w:r>
        <w:t>imated as growing steadily, based on its continuous investments in advanced cooling, power, and optical interconnect technologies to scale the next generation of artificial intelligence infrastructure.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According to the Wiwynn Corporation </w:t>
      </w:r>
      <w:r>
        <w:t>2025 Annual Report, the company outlined plans to allocate an R&amp;D expense budget of NT$17.2 billion for the fiscal year to support ongoing development plans, advance R&amp;D capability, and enhance market competitiveness.</w:t>
      </w:r>
    </w:p>
    <w:p w:rsidR="00FC3617" w:rsidRDefault="0014512D">
      <w:pPr>
        <w:pStyle w:val="ListBullet"/>
        <w:spacing w:after="60"/>
        <w:ind w:left="510"/>
      </w:pPr>
      <w:r>
        <w:t>Wiwynn reported a record financial per</w:t>
      </w:r>
      <w:r>
        <w:t>formance for the first half of 2026, with consolidated revenue reaching NT$554.660 billion (a 41.7% year-over-year increase) and profit after tax rising 32.7% to NT$29.084 billion, while the Board approved a 2H26 capital expenditure budget of US$942 millio</w:t>
      </w:r>
      <w:r>
        <w:t>n alongside up to NT$15 billion in domestic unsecured convertible bonds to support working capital.</w:t>
      </w:r>
    </w:p>
    <w:p w:rsidR="00FC3617" w:rsidRDefault="0014512D">
      <w:pPr>
        <w:pStyle w:val="Heading2"/>
        <w:pageBreakBefore/>
        <w:shd w:val="clear" w:color="auto" w:fill="002857"/>
        <w:spacing w:after="0"/>
      </w:pPr>
      <w:bookmarkStart w:id="18" w:name="_Toc242935688"/>
      <w:r>
        <w:lastRenderedPageBreak/>
        <w:t>Amphenol Corporation</w:t>
      </w:r>
      <w:bookmarkEnd w:id="18"/>
    </w:p>
    <w:p w:rsidR="00FC3617" w:rsidRDefault="0014512D">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84</w:t>
      </w:r>
      <w:r>
        <w:rPr>
          <w:color w:val="CBD5E1"/>
          <w:sz w:val="18"/>
        </w:rPr>
        <w:t xml:space="preserve">     Overall </w:t>
      </w:r>
      <w:r>
        <w:rPr>
          <w:b/>
          <w:color w:val="FFFFFF"/>
          <w:sz w:val="20"/>
        </w:rPr>
        <w:t>84</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65/100</w:t>
      </w:r>
    </w:p>
    <w:p w:rsidR="00FC3617" w:rsidRDefault="0014512D">
      <w:pPr>
        <w:keepNext/>
        <w:pBdr>
          <w:left w:val="single" w:sz="24" w:space="6" w:color="52B69A"/>
        </w:pBdr>
        <w:ind w:left="170"/>
      </w:pPr>
      <w:r>
        <w:t>Based on primar</w:t>
      </w:r>
      <w:r>
        <w:t>y research, the company's server or storage system benchmarks can be estimated as strong, in line with industry-standard interconnect capabilities, based on its support for PCIe Gen 6 and Gen 7 speeds and high signal integrity card edge interfaces.</w:t>
      </w:r>
    </w:p>
    <w:p w:rsidR="00FC3617" w:rsidRDefault="0014512D">
      <w:pPr>
        <w:keepNext/>
        <w:spacing w:after="40"/>
        <w:ind w:left="170"/>
      </w:pPr>
      <w:r>
        <w:rPr>
          <w:b/>
          <w:caps/>
          <w:color w:val="64748B"/>
          <w:sz w:val="15"/>
        </w:rPr>
        <w:t>Support</w:t>
      </w:r>
      <w:r>
        <w:rPr>
          <w:b/>
          <w:caps/>
          <w:color w:val="64748B"/>
          <w:sz w:val="15"/>
        </w:rPr>
        <w: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Efficiency — scored 84/100</w:t>
      </w:r>
    </w:p>
    <w:p w:rsidR="00FC3617" w:rsidRDefault="0014512D">
      <w:pPr>
        <w:keepNext/>
        <w:pBdr>
          <w:left w:val="single" w:sz="24" w:space="6" w:color="52B69A"/>
        </w:pBdr>
        <w:ind w:left="170"/>
      </w:pPr>
      <w:r>
        <w:t>The assessment rests on the company's production of component-level interconnects, intelligent DC power distribution panels, and quick-disconnect couplings engineered to facilitate high-de</w:t>
      </w:r>
      <w:r>
        <w:t>nsity power delivery and liquid cooling loops. Based on primary research, the company's facility-wide PUE impact metrics can be estimated as high, driven by thermal resistance reductions, based on its liquid cooling quick disconnects aligned with Open Comp</w:t>
      </w:r>
      <w:r>
        <w:t>ute Project standards.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nrgILS DC power panel platform, introduced in January 2026, optimizes data center energy management by integrating real-time current and voltage monitoring, load shedding of non-critical</w:t>
      </w:r>
      <w:r>
        <w:t xml:space="preserve"> infrastructure, and sequenced recovery automation.</w:t>
      </w:r>
    </w:p>
    <w:p w:rsidR="00FC3617" w:rsidRDefault="0014512D">
      <w:pPr>
        <w:pStyle w:val="ListBullet"/>
        <w:spacing w:after="60"/>
        <w:ind w:left="510"/>
      </w:pPr>
      <w:r>
        <w:t>The company reports that its specialized liquid cooling portfolio provides high-density thermal management via OCP-compliant quick disconnect ecosystems (including the UQD, UQDB, and BMQC series) alongsid</w:t>
      </w:r>
      <w:r>
        <w:t>e custom multi-channel manifolds to support balanced fluid distribution and dry-break performance.</w:t>
      </w:r>
    </w:p>
    <w:p w:rsidR="00FC3617" w:rsidRDefault="0014512D">
      <w:pPr>
        <w:keepNext/>
        <w:pBdr>
          <w:left w:val="single" w:sz="24" w:space="6" w:color="52B69A"/>
        </w:pBdr>
        <w:spacing w:before="120" w:after="60"/>
        <w:ind w:left="170"/>
      </w:pPr>
      <w:r>
        <w:rPr>
          <w:b/>
          <w:color w:val="0F172A"/>
          <w:sz w:val="20"/>
        </w:rPr>
        <w:t>Rack &amp; Enclosure Density — scored 87/100</w:t>
      </w:r>
    </w:p>
    <w:p w:rsidR="00FC3617" w:rsidRDefault="0014512D">
      <w:pPr>
        <w:keepNext/>
        <w:pBdr>
          <w:left w:val="single" w:sz="24" w:space="6" w:color="52B69A"/>
        </w:pBdr>
        <w:ind w:left="170"/>
      </w:pPr>
      <w:r>
        <w:t xml:space="preserve">We verified that the company provides high-density fiber distribution panels and modular connectivity frames that </w:t>
      </w:r>
      <w:r>
        <w:t>optimize available space within standard data center racks. Based on primary research, the company's IT enclosure power and cooling capacities can be estimated as robust, optimized for ultra-high-density megawatt configurations, based on its delivery of po</w:t>
      </w:r>
      <w:r>
        <w:t>wer contacts and liquid cooling connectors for racks exceeding 100 kilowatts.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Amphenol Network Solutions announced the launch of its PIVOT Fiber Distribution Panel, a modular 1RU panel supporting 192 LC connections or 96 MPO ports that pr</w:t>
      </w:r>
      <w:r>
        <w:t>ovides a 33% density improvement over traditional panels and up to 25% rack space savings, according to Amphenol Network Solutions.</w:t>
      </w:r>
    </w:p>
    <w:p w:rsidR="00FC3617" w:rsidRDefault="0014512D">
      <w:pPr>
        <w:pStyle w:val="ListBullet"/>
        <w:spacing w:after="60"/>
        <w:ind w:left="510"/>
      </w:pPr>
      <w:r>
        <w:t xml:space="preserve">Amphenol Broadband Solutions offers the HyperX system, which supports up to 3,456 LC terminations on a 19-inch seismic Zone </w:t>
      </w:r>
      <w:r>
        <w:t>4 rack architecture to reduce floor space in high-density environments, as reported by Amphenol Broadband Solutions.</w:t>
      </w:r>
    </w:p>
    <w:p w:rsidR="00FC3617" w:rsidRDefault="0014512D">
      <w:pPr>
        <w:keepNext/>
        <w:pBdr>
          <w:left w:val="single" w:sz="24" w:space="6" w:color="52B69A"/>
        </w:pBdr>
        <w:spacing w:before="120" w:after="60"/>
        <w:ind w:left="170"/>
      </w:pPr>
      <w:r>
        <w:rPr>
          <w:b/>
          <w:color w:val="0F172A"/>
          <w:sz w:val="20"/>
        </w:rPr>
        <w:t>DCIM &amp; Management Software — scored 89/100</w:t>
      </w:r>
    </w:p>
    <w:p w:rsidR="00FC3617" w:rsidRDefault="0014512D">
      <w:pPr>
        <w:keepNext/>
        <w:pBdr>
          <w:left w:val="single" w:sz="24" w:space="6" w:color="52B69A"/>
        </w:pBdr>
        <w:ind w:left="170"/>
      </w:pPr>
      <w:r>
        <w:t>The rating rests on the company's recent expansion into software through the acquisition of Comm</w:t>
      </w:r>
      <w:r>
        <w:t>Scope's CCS business, which introduces established asset tracking and infrastructure management tools to its portfolio. Based on primary research, the company's ai-driven optimization case studies can be estimated as evolving, integrated via advanced hardw</w:t>
      </w:r>
      <w:r>
        <w:t>are tracking, based on its sensor arrays purpose-mapped across coolant distribution units and power distribution systems.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In January 2026, Amphenol Corporation completed the acquisition of CommScope's CCS business, integrating the iTRACS </w:t>
      </w:r>
      <w:r>
        <w:t>Enterprise DCIM platform which centralizes routine operational tasks, provides asset management capabilities, and supports mobile 3D model referencing on the data center floor, according to company announcements.</w:t>
      </w:r>
    </w:p>
    <w:p w:rsidR="00FC3617" w:rsidRDefault="0014512D">
      <w:pPr>
        <w:pStyle w:val="ListBullet"/>
        <w:spacing w:after="60"/>
        <w:ind w:left="510"/>
      </w:pPr>
      <w:r>
        <w:t>Through its acquired CommScope business, th</w:t>
      </w:r>
      <w:r>
        <w:t>e company provides the imVision system manager software, an Automated Infrastructure Management (AIM) platform that supports real-time physical layer monitoring, device discovery, and cabling documentation across more than 27 million intelligent ports glob</w:t>
      </w:r>
      <w:r>
        <w:t>ally, according to CommScope product documentation.</w:t>
      </w:r>
    </w:p>
    <w:p w:rsidR="00FC3617" w:rsidRDefault="0014512D">
      <w:pPr>
        <w:keepNext/>
        <w:pBdr>
          <w:left w:val="single" w:sz="24" w:space="6" w:color="52B69A"/>
        </w:pBdr>
        <w:spacing w:before="120" w:after="60"/>
        <w:ind w:left="170"/>
      </w:pPr>
      <w:r>
        <w:rPr>
          <w:b/>
          <w:color w:val="0F172A"/>
          <w:sz w:val="20"/>
        </w:rPr>
        <w:t>AI &amp; Sustainability Innovation — scored 91/100</w:t>
      </w:r>
    </w:p>
    <w:p w:rsidR="00FC3617" w:rsidRDefault="0014512D">
      <w:pPr>
        <w:keepNext/>
        <w:pBdr>
          <w:left w:val="single" w:sz="24" w:space="6" w:color="52B69A"/>
        </w:pBdr>
        <w:ind w:left="170"/>
      </w:pPr>
      <w:r>
        <w:t>The rating rests on the company's clear deployment of hardware interconnect architectures engineered specifically to reduce power consumption in AI infrastru</w:t>
      </w:r>
      <w:r>
        <w:t>cture and embed predictive telemetry metrics within hardware cables. Based on primary research, the company's autonomous energy tracking platforms can be estimated as component-</w:t>
      </w:r>
      <w:r>
        <w:lastRenderedPageBreak/>
        <w:t>embedded, reliant on intelligent edge telemetry, based on its specialized advan</w:t>
      </w:r>
      <w:r>
        <w:t>ced sensors and CO2 modules enabling real-time micro-environmental diagnostics.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Amphenol delivers its Linear Pluggable Optics (LPO) transceiver portfolio, which completely eliminates the DSP layer to achieve a 50% reduction in power </w:t>
      </w:r>
      <w:r>
        <w:t>consumption and optimize latency for scalable AI clusters and high-performance data centers, as reported on its official technology site in September 2025.</w:t>
      </w:r>
    </w:p>
    <w:p w:rsidR="00FC3617" w:rsidRDefault="0014512D">
      <w:pPr>
        <w:pStyle w:val="ListBullet"/>
        <w:spacing w:after="60"/>
        <w:ind w:left="510"/>
      </w:pPr>
      <w:r>
        <w:t>Amphenol Active Electrical Cables (AECs) integrate real-time predictive telemetry and analytics—moni</w:t>
      </w:r>
      <w:r>
        <w:t>toring key electrical signals like SNR, BER, FEC activity, and thermal drift—to detect early signs of component degradation before they impact GPU-scale AI workloads, as demonstrated in an operational showcase published by Amphenol Communications Solutions</w:t>
      </w:r>
      <w:r>
        <w:t>.</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Global Revenue &amp; Market Share — scored 88/100</w:t>
      </w:r>
    </w:p>
    <w:p w:rsidR="00FC3617" w:rsidRDefault="0014512D">
      <w:pPr>
        <w:keepNext/>
        <w:pBdr>
          <w:left w:val="single" w:sz="24" w:space="6" w:color="52B69A"/>
        </w:pBdr>
        <w:ind w:left="170"/>
      </w:pPr>
      <w:r>
        <w:t>The assessment rests on the company's confirmed total annual revenues of $23.1 billion for 2025 and granular details regarding its IT datacom segment expansion driven by AI infrastruct</w:t>
      </w:r>
      <w:r>
        <w:t>ure deployments. Based on primary research, the company's global market share percentage within data center infrastructure market can be estimated as substantial and expanding, based on its $23 billion in total revenue and position as primary connector sup</w:t>
      </w:r>
      <w:r>
        <w:t>plier to prominent artificial intelligence system developers.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S&amp;P Global reported that Amphenol Corporation generated $23.1 billion in total revenues in 2025, with its largest end market being IT datacom representing 36% of sales.</w:t>
      </w:r>
    </w:p>
    <w:p w:rsidR="00FC3617" w:rsidRDefault="0014512D">
      <w:pPr>
        <w:pStyle w:val="ListBullet"/>
        <w:spacing w:after="60"/>
        <w:ind w:left="510"/>
      </w:pPr>
      <w:r>
        <w:t>In a Q2</w:t>
      </w:r>
      <w:r>
        <w:t xml:space="preserve"> 2026 investor letter cited by Yahoo Finance, Aoris International Fund stated that data center infrastructure has grown to represent one-third of Amphenol Corporation's revenue, with the company's data center revenue expanding by 81% in the March 2026 quar</w:t>
      </w:r>
      <w:r>
        <w:t>ter compared to the prior year.</w:t>
      </w:r>
    </w:p>
    <w:p w:rsidR="00FC3617" w:rsidRDefault="0014512D">
      <w:pPr>
        <w:keepNext/>
        <w:pBdr>
          <w:left w:val="single" w:sz="24" w:space="6" w:color="52B69A"/>
        </w:pBdr>
        <w:spacing w:before="120" w:after="60"/>
        <w:ind w:left="170"/>
      </w:pPr>
      <w:r>
        <w:rPr>
          <w:b/>
          <w:color w:val="0F172A"/>
          <w:sz w:val="20"/>
        </w:rPr>
        <w:t>Hyperscale &amp; Cloud Customers — scored 93/100</w:t>
      </w:r>
    </w:p>
    <w:p w:rsidR="00FC3617" w:rsidRDefault="0014512D">
      <w:pPr>
        <w:keepNext/>
        <w:pBdr>
          <w:left w:val="single" w:sz="24" w:space="6" w:color="52B69A"/>
        </w:pBdr>
        <w:ind w:left="170"/>
      </w:pPr>
      <w:r>
        <w:t xml:space="preserve">The rating rests on confirmed participation in prominent multi-vendor design alliances and joint hardware ecosystem development alongside Tier-1 hyperscale operators and silicon </w:t>
      </w:r>
      <w:r>
        <w:t>vendors to establish next-generation AI and cloud networking standards. Based on primary research, the company's named customer contract values for direct deployments with major cloud service providers can be estimated as substantial and scaling rapidly, b</w:t>
      </w:r>
      <w:r>
        <w:t>ased on its record-high backlogs and more than 80% year-over-year growth in data communications segment sales.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Amphenol joined a new multi-source agreement announced in May 2026 to standardize expanded beam optical (EBO) connectivity spec</w:t>
      </w:r>
      <w:r>
        <w:t>ifications targeting next-generation AI and hyperscale data center infrastructure alongside Meta, AMD, Cisco, 3M, and Arista Networks, as reported by Simply Wall St.</w:t>
      </w:r>
    </w:p>
    <w:p w:rsidR="00FC3617" w:rsidRDefault="0014512D">
      <w:pPr>
        <w:pStyle w:val="ListBullet"/>
        <w:spacing w:after="60"/>
        <w:ind w:left="510"/>
      </w:pPr>
      <w:r>
        <w:t>Amphenol collaborated with NVIDIA and Cisco to build the hardware ecosystem for the Ultra-</w:t>
      </w:r>
      <w:r>
        <w:t>Dense Small Form Factor Pluggable (USFP) optical module designed for 400Gb/s-per-lane signals for large-scale AI factory networking, announced at the OCP Global Summit in October 2026 and published by Futurum Group.</w:t>
      </w:r>
    </w:p>
    <w:p w:rsidR="00FC3617" w:rsidRDefault="0014512D">
      <w:pPr>
        <w:keepNext/>
        <w:pBdr>
          <w:left w:val="single" w:sz="24" w:space="6" w:color="52B69A"/>
        </w:pBdr>
        <w:spacing w:before="120" w:after="60"/>
        <w:ind w:left="170"/>
      </w:pPr>
      <w:r>
        <w:rPr>
          <w:b/>
          <w:color w:val="0F172A"/>
          <w:sz w:val="20"/>
        </w:rPr>
        <w:t>Installed Base &amp; Deployments — scored 75</w:t>
      </w:r>
      <w:r>
        <w:rPr>
          <w:b/>
          <w:color w:val="0F172A"/>
          <w:sz w:val="20"/>
        </w:rPr>
        <w:t>/100</w:t>
      </w:r>
    </w:p>
    <w:p w:rsidR="00FC3617" w:rsidRDefault="0014512D">
      <w:pPr>
        <w:keepNext/>
        <w:pBdr>
          <w:left w:val="single" w:sz="24" w:space="6" w:color="52B69A"/>
        </w:pBdr>
        <w:ind w:left="170"/>
      </w:pPr>
      <w:r>
        <w:t>We verified that the company's market presence is anchored by widespread adoption of its high-speed interconnect solutions and specialized fiber frameworks across enterprise and AI workloads. Based on primary research, the company's cumulative worldwi</w:t>
      </w:r>
      <w:r>
        <w:t>de unit shipment volumes or customer retention rates can be estimated as consistently elevated across long-term deployments, based on its thousands of unique product configurations and long history of programmatic client design wins.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Amph</w:t>
      </w:r>
      <w:r>
        <w:t xml:space="preserve">enol Corporation offers dedicated data center product case studies, highlighting its WaveTrax cable management solution that delivers 50% faster installation and 60% faster retrofits, alongside its FiberVault hyperscale fiber management frame built for AI </w:t>
      </w:r>
      <w:r>
        <w:t>infrastructure, as reported by Amphenol Network Solutions.</w:t>
      </w:r>
    </w:p>
    <w:p w:rsidR="00FC3617" w:rsidRDefault="0014512D">
      <w:pPr>
        <w:pStyle w:val="ListBullet"/>
        <w:spacing w:after="60"/>
        <w:ind w:left="510"/>
      </w:pPr>
      <w:r>
        <w:t>Amphenol Corporation's Mini Cool Edge IO GH01 Series platform for PCIe Gen 6 connectors has been actively adopted by multiple global enterprise data center solution providers for integration within</w:t>
      </w:r>
      <w:r>
        <w:t xml:space="preserve"> their next-generation server equipment, as reported by Amphenol Communications Solutions.</w:t>
      </w:r>
    </w:p>
    <w:p w:rsidR="00FC3617" w:rsidRDefault="0014512D">
      <w:pPr>
        <w:keepNext/>
        <w:pBdr>
          <w:left w:val="single" w:sz="24" w:space="6" w:color="52B69A"/>
        </w:pBdr>
        <w:spacing w:before="120" w:after="60"/>
        <w:ind w:left="170"/>
      </w:pPr>
      <w:r>
        <w:rPr>
          <w:b/>
          <w:color w:val="0F172A"/>
          <w:sz w:val="20"/>
        </w:rPr>
        <w:t>Strategic Partnerships &amp; Channels — scored 87/100</w:t>
      </w:r>
    </w:p>
    <w:p w:rsidR="00FC3617" w:rsidRDefault="0014512D">
      <w:pPr>
        <w:keepNext/>
        <w:pBdr>
          <w:left w:val="single" w:sz="24" w:space="6" w:color="52B69A"/>
        </w:pBdr>
        <w:ind w:left="170"/>
      </w:pPr>
      <w:r>
        <w:t>The rating rests on confirmed multi-vendor standardization agreements and joint technology ecosystem partnerships t</w:t>
      </w:r>
      <w:r>
        <w:t>argeting high-density AI data center connectivity, supported by a global channel network of authorized IT and electronics distributors like Arrow Electronics, Avnet, and TTI Inc. Based on primary research, the company's percentage of data center revenue ge</w:t>
      </w:r>
      <w:r>
        <w:t xml:space="preserve">nerated through channels versus direct agreements can be estimated as </w:t>
      </w:r>
      <w:r>
        <w:lastRenderedPageBreak/>
        <w:t>predominantly concentrated in direct original equipment manufacturer engagements, based on its specialized focus on building engineered solutions directly with large-scale hyperscale inf</w:t>
      </w:r>
      <w:r>
        <w:t>rastructure operators.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Amphenol FCi Bangalore partnered with SENKO Advanced Components, Inc. as an ecosystem partner to integrate SENKO's SN® and VSFF connectivity into its high-density patch panels for AI, cloud, and hyperscale data cent</w:t>
      </w:r>
      <w:r>
        <w:t>er infrastructure, according to an announcement by Amphenol FCi Bangalore.</w:t>
      </w:r>
    </w:p>
    <w:p w:rsidR="00FC3617" w:rsidRDefault="0014512D">
      <w:pPr>
        <w:pStyle w:val="ListBullet"/>
        <w:spacing w:after="60"/>
        <w:ind w:left="510"/>
      </w:pPr>
      <w:r>
        <w:t>Amphenol joined the Expanded Beam Optical (EBO) Multi-Source Agreement (MSA) standard alongside industry participants including Molex, TE Connectivity, and Cisco to establish intero</w:t>
      </w:r>
      <w:r>
        <w:t>perable optical interconnect architectures tailored for scaling AI data center clusters, as reported by Simply Wall St.</w:t>
      </w:r>
    </w:p>
    <w:p w:rsidR="00FC3617" w:rsidRDefault="0014512D">
      <w:pPr>
        <w:keepNext/>
        <w:pBdr>
          <w:left w:val="single" w:sz="24" w:space="6" w:color="52B69A"/>
        </w:pBdr>
        <w:spacing w:before="120" w:after="60"/>
        <w:ind w:left="170"/>
      </w:pPr>
      <w:r>
        <w:rPr>
          <w:b/>
          <w:color w:val="0F172A"/>
          <w:sz w:val="20"/>
        </w:rPr>
        <w:t>R&amp;D Investment &amp; Financial Strength — scored 78/100</w:t>
      </w:r>
    </w:p>
    <w:p w:rsidR="00FC3617" w:rsidRDefault="0014512D">
      <w:pPr>
        <w:keepNext/>
        <w:pBdr>
          <w:left w:val="single" w:sz="24" w:space="6" w:color="52B69A"/>
        </w:pBdr>
        <w:ind w:left="170"/>
      </w:pPr>
      <w:r>
        <w:t>The rating rests on the company's exceptional top-line revenue growth, highly stable</w:t>
      </w:r>
      <w:r>
        <w:t xml:space="preserve"> operating profit margins exceeding 26%, and high-profile strategic acquisitions within the fiber-optic data center network infrastructure segment. Based on primary research, the company's stand-alone annual research and development spending specifically a</w:t>
      </w:r>
      <w:r>
        <w:t>llocated to data centers can be estimated as substantial, distributed, and directly responsive to technical client demands, based on its customer-led engineering structure decentralized across operating business segments rather than a siloed corporate orga</w:t>
      </w:r>
      <w:r>
        <w:t>nization.</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reported full year 2025 net sales of $23.1 billion, representing a 52% increase from 2024, alongside an adjusted operating margin of 26.2% and a net income of $5.4 billion, demonstrating robust overall financial heal</w:t>
      </w:r>
      <w:r>
        <w:t>th to sustain innovation as outlined in its 2025 Annual Report.</w:t>
      </w:r>
    </w:p>
    <w:p w:rsidR="00FC3617" w:rsidRDefault="0014512D">
      <w:pPr>
        <w:pStyle w:val="ListBullet"/>
        <w:spacing w:after="60"/>
        <w:ind w:left="510"/>
      </w:pPr>
      <w:r>
        <w:t>The company reported record-breaking first quarter 2026 net sales of $7.62 billion—a 58% growth year-over-year—and expanded its technology portfolio in fiber-optic data center connectivity thr</w:t>
      </w:r>
      <w:r>
        <w:t>ough a $10.5 billion acquisition of CommScope's Connectivity and Cable Solutions (CCS) business completed in January 2026, as verified in Amphenol Reports Record First Quarter 2026 Results.</w:t>
      </w:r>
    </w:p>
    <w:p w:rsidR="00FC3617" w:rsidRDefault="0014512D">
      <w:pPr>
        <w:pStyle w:val="Heading2"/>
        <w:pageBreakBefore/>
        <w:shd w:val="clear" w:color="auto" w:fill="002857"/>
        <w:spacing w:after="0"/>
      </w:pPr>
      <w:bookmarkStart w:id="19" w:name="_Toc242935689"/>
      <w:r>
        <w:lastRenderedPageBreak/>
        <w:t>Datapod Pty Ltd</w:t>
      </w:r>
      <w:bookmarkEnd w:id="19"/>
    </w:p>
    <w:p w:rsidR="00FC3617" w:rsidRDefault="0014512D">
      <w:pPr>
        <w:shd w:val="clear" w:color="auto" w:fill="002857"/>
        <w:spacing w:after="200"/>
      </w:pPr>
      <w:r>
        <w:rPr>
          <w:color w:val="CBD5E1"/>
          <w:sz w:val="18"/>
        </w:rPr>
        <w:t xml:space="preserve">Datapod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82</w:t>
      </w:r>
      <w:r>
        <w:rPr>
          <w:color w:val="CBD5E1"/>
          <w:sz w:val="18"/>
        </w:rPr>
        <w:t xml:space="preserve">     Overall </w:t>
      </w:r>
      <w:r>
        <w:rPr>
          <w:b/>
          <w:color w:val="FFFFFF"/>
          <w:sz w:val="20"/>
        </w:rPr>
        <w:t>81</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70/100</w:t>
      </w:r>
    </w:p>
    <w:p w:rsidR="00FC3617" w:rsidRDefault="0014512D">
      <w:pPr>
        <w:keepNext/>
        <w:pBdr>
          <w:left w:val="single" w:sz="24" w:space="6" w:color="52B69A"/>
        </w:pBdr>
        <w:ind w:left="170"/>
      </w:pPr>
      <w:r>
        <w:t xml:space="preserve">Based on primary research, the company's benchmarks data can be estimated as high, matching modern enterprise server configurations, based on its supply agreement with </w:t>
      </w:r>
      <w:r>
        <w:t>Oracle and deployment with the Australian Department of Defence.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Efficiency — scored 78/100</w:t>
      </w:r>
    </w:p>
    <w:p w:rsidR="00FC3617" w:rsidRDefault="0014512D">
      <w:pPr>
        <w:keepNext/>
        <w:pBdr>
          <w:left w:val="single" w:sz="24" w:space="6" w:color="52B69A"/>
        </w:pBdr>
        <w:ind w:left="170"/>
      </w:pPr>
      <w:r>
        <w:t>We verified that the company's efficiency claims rest primarily on pre-engineered factory design thresholds and inte</w:t>
      </w:r>
      <w:r>
        <w:t>grated partner infrastructure. Based on primary research, the company's operational PUE metrics can be estimated as superior, indicating optimal cooling efficiency, based on its partnership with APC by Schneider Electric utilizing their highly energy-effic</w:t>
      </w:r>
      <w:r>
        <w:t>ient Hot Aisle Containment System and InRow Cooling solutions.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Datapod System integrates infrastructure from APC by Schneider Electric, including the APC Hot Aisle Containment System and InRow Cooling solution</w:t>
      </w:r>
      <w:r>
        <w:t>s, to achieve a Power Usage Effectiveness (PUE) of less than 1.3, according to a Datapod technical overview.</w:t>
      </w:r>
    </w:p>
    <w:p w:rsidR="00FC3617" w:rsidRDefault="0014512D">
      <w:pPr>
        <w:pStyle w:val="ListBullet"/>
        <w:spacing w:after="60"/>
        <w:ind w:left="510"/>
      </w:pPr>
      <w:r>
        <w:t>The company reports that its modular system design reduces energy consumption by up to 50% compared to traditional brick-and-mortar data centers, a</w:t>
      </w:r>
      <w:r>
        <w:t xml:space="preserve"> capability recognized by an industry design award as reported by Technology Decisions.</w:t>
      </w:r>
    </w:p>
    <w:p w:rsidR="00FC3617" w:rsidRDefault="0014512D">
      <w:pPr>
        <w:keepNext/>
        <w:pBdr>
          <w:left w:val="single" w:sz="24" w:space="6" w:color="52B69A"/>
        </w:pBdr>
        <w:spacing w:before="120" w:after="60"/>
        <w:ind w:left="170"/>
      </w:pPr>
      <w:r>
        <w:rPr>
          <w:b/>
          <w:color w:val="0F172A"/>
          <w:sz w:val="20"/>
        </w:rPr>
        <w:t>Rack &amp; Enclosure Density — scored 89/100</w:t>
      </w:r>
    </w:p>
    <w:p w:rsidR="00FC3617" w:rsidRDefault="0014512D">
      <w:pPr>
        <w:keepNext/>
        <w:pBdr>
          <w:left w:val="single" w:sz="24" w:space="6" w:color="52B69A"/>
        </w:pBdr>
        <w:ind w:left="170"/>
      </w:pPr>
      <w:r>
        <w:t>The rating rests on the company's self-reported operational specifications for its scalable modular platforms, which range from</w:t>
      </w:r>
      <w:r>
        <w:t xml:space="preserve"> standard 7kW–30kW configurations up to extreme 200kW+ densities for specialized AI workloads. Based on primary research, the company's high-density client case study data can be estimated as strong, demonstrating considerable power handling per rack, base</w:t>
      </w:r>
      <w:r>
        <w:t>d on its documented government client installation featuring 24 racks running at 15 kilowatt average density with 30 kilowatt peak capacity.</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Datapod reports that its modular data center systems can be deployed with an average rack density</w:t>
      </w:r>
      <w:r>
        <w:t xml:space="preserve"> of 7kW and hot-scaled in the field up to 15kW or 30kW per rack without interruption to services.</w:t>
      </w:r>
    </w:p>
    <w:p w:rsidR="00FC3617" w:rsidRDefault="0014512D">
      <w:pPr>
        <w:pStyle w:val="ListBullet"/>
        <w:spacing w:after="60"/>
        <w:ind w:left="510"/>
      </w:pPr>
      <w:r>
        <w:t>The company reports that its Datapod AI Factory Platform supports rack densities exceeding 200kW per rack to handle current- and next-generation AI accelerato</w:t>
      </w:r>
      <w:r>
        <w:t>r workloads through the integration of precision thermal management, high-density power distribution, and optimized structural engineering.</w:t>
      </w:r>
    </w:p>
    <w:p w:rsidR="00FC3617" w:rsidRDefault="0014512D">
      <w:pPr>
        <w:keepNext/>
        <w:pBdr>
          <w:left w:val="single" w:sz="24" w:space="6" w:color="52B69A"/>
        </w:pBdr>
        <w:spacing w:before="120" w:after="60"/>
        <w:ind w:left="170"/>
      </w:pPr>
      <w:r>
        <w:rPr>
          <w:b/>
          <w:color w:val="0F172A"/>
          <w:sz w:val="20"/>
        </w:rPr>
        <w:t>DCIM &amp; Management Software — scored 85/100</w:t>
      </w:r>
    </w:p>
    <w:p w:rsidR="00FC3617" w:rsidRDefault="0014512D">
      <w:pPr>
        <w:keepNext/>
        <w:pBdr>
          <w:left w:val="single" w:sz="24" w:space="6" w:color="52B69A"/>
        </w:pBdr>
        <w:ind w:left="170"/>
      </w:pPr>
      <w:r>
        <w:t>We verified that Datapod possesses established, proprietary infrastructur</w:t>
      </w:r>
      <w:r>
        <w:t>e monitoring through its integrated IMCS and remote MASC frameworks, though it explicitly notes that these solutions are designed to be supplemented by external, third-party DCIM software suites for deeper analytics. Based on primary research, the company'</w:t>
      </w:r>
      <w:r>
        <w:t>s proprietary digital twin optimization platforms can be estimated as integrated, enabling automated module monitoring and capacity scaling, based on its accredited Monitoring Analysis and Support Centres coupled with an expandable Data Center 2.0 system a</w:t>
      </w:r>
      <w:r>
        <w:t>rchitecture.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Datapod deploys its proprietary Integrated Management and Control System (IMCS), a Modbus-based hardware and device management appliance built directly into its modular data center systems that offers local and remote access </w:t>
      </w:r>
      <w:r>
        <w:t>to performance data, as published on Datapod's corporate documentation.</w:t>
      </w:r>
    </w:p>
    <w:p w:rsidR="00FC3617" w:rsidRDefault="0014512D">
      <w:pPr>
        <w:pStyle w:val="ListBullet"/>
        <w:spacing w:after="60"/>
        <w:ind w:left="510"/>
      </w:pPr>
      <w:r>
        <w:t xml:space="preserve">Datapod reports that its global fleet of containerized AI Factory modules connects back to its security-accredited Monitoring Analysis and Support Centre (MASC) to run anomaly </w:t>
      </w:r>
      <w:r>
        <w:t>detection, real-time thermal performance tracking, and predictive maintenance, as outlined in Datapod's technical architecture portfolio.</w:t>
      </w:r>
    </w:p>
    <w:p w:rsidR="00FC3617" w:rsidRDefault="0014512D">
      <w:pPr>
        <w:keepNext/>
        <w:pBdr>
          <w:left w:val="single" w:sz="24" w:space="6" w:color="52B69A"/>
        </w:pBdr>
        <w:spacing w:before="120" w:after="60"/>
        <w:ind w:left="170"/>
      </w:pPr>
      <w:r>
        <w:rPr>
          <w:b/>
          <w:color w:val="0F172A"/>
          <w:sz w:val="20"/>
        </w:rPr>
        <w:lastRenderedPageBreak/>
        <w:t>AI &amp; Sustainability Innovation — scored 79/100</w:t>
      </w:r>
    </w:p>
    <w:p w:rsidR="00FC3617" w:rsidRDefault="0014512D">
      <w:pPr>
        <w:keepNext/>
        <w:pBdr>
          <w:left w:val="single" w:sz="24" w:space="6" w:color="52B69A"/>
        </w:pBdr>
        <w:ind w:left="170"/>
      </w:pPr>
      <w:r>
        <w:t>The assessment rests on the company's self-reported capabilities for fa</w:t>
      </w:r>
      <w:r>
        <w:t>ctory-manufactured modular deployment at renewable energy installations and high-efficiency waterless cooling solutions. Based on primary research, the company's predictive facility maintenance algorithms can be estimated as advanced, tailored for high-den</w:t>
      </w:r>
      <w:r>
        <w:t>sity edge deployments, based on its active fleet management across global industrial edge sectors including mining, energy, and defense command centers.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that its Datapod AI Factory platform is designed for co-location </w:t>
      </w:r>
      <w:r>
        <w:t>with renewable generation sites worldwide to serve as an anchor off-taker for curtailed or wasted energy, as detailed on the Datapod Renewable Energy overview.</w:t>
      </w:r>
    </w:p>
    <w:p w:rsidR="00FC3617" w:rsidRDefault="0014512D">
      <w:pPr>
        <w:pStyle w:val="ListBullet"/>
        <w:spacing w:after="60"/>
        <w:ind w:left="510"/>
      </w:pPr>
      <w:r>
        <w:t>The company reports that its Utilitypod module features a closed-loop dry radiator system enabli</w:t>
      </w:r>
      <w:r>
        <w:t>ng zero water consumption, combined with an automatic waterside economizer option to optimize cooling efficiency in cold climates, according to the Datapod Green Data Center specifications.</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84/1</w:t>
      </w:r>
      <w:r>
        <w:rPr>
          <w:b/>
          <w:color w:val="0F172A"/>
          <w:sz w:val="20"/>
        </w:rPr>
        <w:t>00</w:t>
      </w:r>
    </w:p>
    <w:p w:rsidR="00FC3617" w:rsidRDefault="0014512D">
      <w:pPr>
        <w:keepNext/>
        <w:pBdr>
          <w:left w:val="single" w:sz="24" w:space="6" w:color="52B69A"/>
        </w:pBdr>
        <w:ind w:left="170"/>
      </w:pPr>
      <w:r>
        <w:t>The rating rests entirely on a major, multi-billion-dollar global supply agreement secured with Oracle in 2026 to scale up cloud and AI infrastructure. Based on primary research, the company's alternative hyperscale contracts or repeat business can be e</w:t>
      </w:r>
      <w:r>
        <w:t>stimated as selective and limited to a few specific hyperscale providers, based on its multibillion-dollar agreement with Oracle and delivery of AI factories to leading technology companies.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In April 2026, Datapod signed a six-year global</w:t>
      </w:r>
      <w:r>
        <w:t xml:space="preserve"> supply agreement valued at up to $2.3 billion with hyperscaler Oracle to supply, deploy, and maintain modular AI data center infrastructure globally for Oracle Cloud Infrastructure.</w:t>
      </w:r>
    </w:p>
    <w:p w:rsidR="00FC3617" w:rsidRDefault="0014512D">
      <w:pPr>
        <w:keepNext/>
        <w:pBdr>
          <w:left w:val="single" w:sz="24" w:space="6" w:color="52B69A"/>
        </w:pBdr>
        <w:spacing w:before="120" w:after="60"/>
        <w:ind w:left="170"/>
      </w:pPr>
      <w:r>
        <w:rPr>
          <w:b/>
          <w:color w:val="0F172A"/>
          <w:sz w:val="20"/>
        </w:rPr>
        <w:t>Global Revenue &amp; Market Share — scored 85/100</w:t>
      </w:r>
    </w:p>
    <w:p w:rsidR="00FC3617" w:rsidRDefault="0014512D">
      <w:pPr>
        <w:keepNext/>
        <w:pBdr>
          <w:left w:val="single" w:sz="24" w:space="6" w:color="52B69A"/>
        </w:pBdr>
        <w:ind w:left="170"/>
      </w:pPr>
      <w:r>
        <w:t>The rating rests on the com</w:t>
      </w:r>
      <w:r>
        <w:t>pany's confirmed historical Australian government contract revenue and its major 2026 global supply agreement with Oracle. Based on primary research, the company's total annual global revenue or market share percentage can be estimated as substantial and s</w:t>
      </w:r>
      <w:r>
        <w:t>caling rapidly, based on its multi-billion dollar agreement with Oracle alongside multimillion-dollar defense contracts.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In April 2026, Datapod signed a global supply agreement with Oracle to supply, deliver, and maintain modular AI data </w:t>
      </w:r>
      <w:r>
        <w:t>centers, which is forecast to generate export revenue exceeding $2.3 billion by 2030, according to the company's official announcement.</w:t>
      </w:r>
    </w:p>
    <w:p w:rsidR="00FC3617" w:rsidRDefault="0014512D">
      <w:pPr>
        <w:pStyle w:val="ListBullet"/>
        <w:spacing w:after="60"/>
        <w:ind w:left="510"/>
      </w:pPr>
      <w:r>
        <w:t>In 2020, the Australian Department of Defence awarded Datapod a two-year, AU$20 million contract to provide four portabl</w:t>
      </w:r>
      <w:r>
        <w:t>e, containerized data systems, as reported by Data Center Dynamics.</w:t>
      </w:r>
    </w:p>
    <w:p w:rsidR="00FC3617" w:rsidRDefault="0014512D">
      <w:pPr>
        <w:keepNext/>
        <w:pBdr>
          <w:left w:val="single" w:sz="24" w:space="6" w:color="52B69A"/>
        </w:pBdr>
        <w:spacing w:before="120" w:after="60"/>
        <w:ind w:left="170"/>
      </w:pPr>
      <w:r>
        <w:rPr>
          <w:b/>
          <w:color w:val="0F172A"/>
          <w:sz w:val="20"/>
        </w:rPr>
        <w:t>Installed Base &amp; Deployments — scored 78/100</w:t>
      </w:r>
    </w:p>
    <w:p w:rsidR="00FC3617" w:rsidRDefault="0014512D">
      <w:pPr>
        <w:keepNext/>
        <w:pBdr>
          <w:left w:val="single" w:sz="24" w:space="6" w:color="52B69A"/>
        </w:pBdr>
        <w:ind w:left="170"/>
      </w:pPr>
      <w:r>
        <w:t>The rating reflects the company's verified deployment with a major US utility provider and a high-profile multi-billion dollar manufacturing su</w:t>
      </w:r>
      <w:r>
        <w:t>pply contract with a hyperscale cloud provider in 2026. Based on primary research, the company's cumulative worldwide unit shipments or customer retention can be estimated as expanding steadily across global sectors, based on its deployment of a global fle</w:t>
      </w:r>
      <w:r>
        <w:t>et including over 120 modules for defense and a surge in overseas interest.</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Datapod was awarded a contract by the Washington Suburban Sanitary Commission (WSSC) to build and deploy a 200kW modular data center system on the outskirts of Wa</w:t>
      </w:r>
      <w:r>
        <w:t>shington DC, capable of scaling to over 1 MW.</w:t>
      </w:r>
    </w:p>
    <w:p w:rsidR="00FC3617" w:rsidRDefault="0014512D">
      <w:pPr>
        <w:pStyle w:val="ListBullet"/>
        <w:spacing w:after="60"/>
        <w:ind w:left="510"/>
      </w:pPr>
      <w:r>
        <w:t>Datapod secured a major supply agreement with Oracle in April 2026 for its cloud computing expansion plans, a partnership that could scale up to $2.3 billion in value.</w:t>
      </w:r>
    </w:p>
    <w:p w:rsidR="00FC3617" w:rsidRDefault="0014512D">
      <w:pPr>
        <w:keepNext/>
        <w:pBdr>
          <w:left w:val="single" w:sz="24" w:space="6" w:color="52B69A"/>
        </w:pBdr>
        <w:spacing w:before="120" w:after="60"/>
        <w:ind w:left="170"/>
      </w:pPr>
      <w:r>
        <w:rPr>
          <w:b/>
          <w:color w:val="0F172A"/>
          <w:sz w:val="20"/>
        </w:rPr>
        <w:t>Strategic Partnerships &amp; Channels — scored</w:t>
      </w:r>
      <w:r>
        <w:rPr>
          <w:b/>
          <w:color w:val="0F172A"/>
          <w:sz w:val="20"/>
        </w:rPr>
        <w:t xml:space="preserve"> 83/100</w:t>
      </w:r>
    </w:p>
    <w:p w:rsidR="00FC3617" w:rsidRDefault="0014512D">
      <w:pPr>
        <w:keepNext/>
        <w:pBdr>
          <w:left w:val="single" w:sz="24" w:space="6" w:color="52B69A"/>
        </w:pBdr>
        <w:ind w:left="170"/>
      </w:pPr>
      <w:r>
        <w:t>The rating rests on a landmark multi-billion dollar manufacturing supply agreement with a major hyperscaler alongside established strategic technology licensing and localized distribution networks. Based on primary research, the company's formalize</w:t>
      </w:r>
      <w:r>
        <w:t xml:space="preserve">d global multi-tier distributor or enterprise software channel can be estimated as heavily reliant on direct strategic alliances rather than a broad distributor network, based on its direct multi-billion dollar partnership with Oracle and custom sovereign </w:t>
      </w:r>
      <w:r>
        <w:t>deployments.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Datapod inked a six-year, A$2.3 billion cloud AI infrastructure supply agreement with Oracle in April 2026 to act as an embedded modular data center manufacturer in Oracle's capacity pipeline.</w:t>
      </w:r>
    </w:p>
    <w:p w:rsidR="00FC3617" w:rsidRDefault="0014512D">
      <w:pPr>
        <w:pStyle w:val="ListBullet"/>
        <w:spacing w:after="60"/>
        <w:ind w:left="510"/>
      </w:pPr>
      <w:r>
        <w:lastRenderedPageBreak/>
        <w:t>Datapod maintains a long-term te</w:t>
      </w:r>
      <w:r>
        <w:t>chnology partnership with APC by Schneider Electric, licensing state-of-the-art power and cooling systems, and expanded its geographic channel footprint through a North American distribution partnership with Denver-based Universal Networking Services.</w:t>
      </w:r>
    </w:p>
    <w:p w:rsidR="00FC3617" w:rsidRDefault="0014512D">
      <w:pPr>
        <w:keepNext/>
        <w:pBdr>
          <w:left w:val="single" w:sz="24" w:space="6" w:color="52B69A"/>
        </w:pBdr>
        <w:spacing w:before="120" w:after="60"/>
        <w:ind w:left="170"/>
      </w:pPr>
      <w:r>
        <w:rPr>
          <w:b/>
          <w:color w:val="0F172A"/>
          <w:sz w:val="20"/>
        </w:rPr>
        <w:t xml:space="preserve">R&amp;D </w:t>
      </w:r>
      <w:r>
        <w:rPr>
          <w:b/>
          <w:color w:val="0F172A"/>
          <w:sz w:val="20"/>
        </w:rPr>
        <w:t>Investment &amp; Financial Strength — scored 80/100</w:t>
      </w:r>
    </w:p>
    <w:p w:rsidR="00FC3617" w:rsidRDefault="0014512D">
      <w:pPr>
        <w:keepNext/>
        <w:pBdr>
          <w:left w:val="single" w:sz="24" w:space="6" w:color="52B69A"/>
        </w:pBdr>
        <w:ind w:left="170"/>
      </w:pPr>
      <w:r>
        <w:t>We verified that the company exhibits strong financial health and commercial viability through multi-million and multi-billion dollar contracts with national defense agencies and international cloud hyperscal</w:t>
      </w:r>
      <w:r>
        <w:t>ers. Based on primary research, the company has not disclosed its annual research and development expenditure or R&amp;D spending as a percentage of revenue.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Datapod Pty Ltd signed a six-year global supply agreement worth up to $2.3 billion w</w:t>
      </w:r>
      <w:r>
        <w:t>ith Oracle in April 2026, which includes a forecast revenue of $100 million over the following 12 months to provide, install, and service modular AI data centers for Oracle Cloud Infrastructure.</w:t>
      </w:r>
    </w:p>
    <w:p w:rsidR="00FC3617" w:rsidRDefault="0014512D">
      <w:pPr>
        <w:pStyle w:val="ListBullet"/>
        <w:spacing w:after="60"/>
        <w:ind w:left="510"/>
      </w:pPr>
      <w:r>
        <w:t>The company was awarded a $12 million contract extension by t</w:t>
      </w:r>
      <w:r>
        <w:t>he Australian Department of Defence in April 2022 to manufacture 120 modular data center units, expanding upon an initial $20 million contract finalized in August 2020.</w:t>
      </w:r>
    </w:p>
    <w:p w:rsidR="00FC3617" w:rsidRDefault="0014512D">
      <w:pPr>
        <w:pStyle w:val="Heading2"/>
        <w:pageBreakBefore/>
        <w:shd w:val="clear" w:color="auto" w:fill="002857"/>
        <w:spacing w:after="0"/>
      </w:pPr>
      <w:bookmarkStart w:id="20" w:name="_Toc242935690"/>
      <w:r>
        <w:lastRenderedPageBreak/>
        <w:t>Asperitas BV</w:t>
      </w:r>
      <w:bookmarkEnd w:id="20"/>
    </w:p>
    <w:p w:rsidR="00FC3617" w:rsidRDefault="0014512D">
      <w:pPr>
        <w:shd w:val="clear" w:color="auto" w:fill="002857"/>
        <w:spacing w:after="200"/>
      </w:pPr>
      <w:r>
        <w:rPr>
          <w:color w:val="CBD5E1"/>
          <w:sz w:val="18"/>
        </w:rPr>
        <w:t xml:space="preserve">Asperitas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75</w:t>
      </w:r>
      <w:r>
        <w:rPr>
          <w:color w:val="CBD5E1"/>
          <w:sz w:val="18"/>
        </w:rPr>
        <w:t xml:space="preserve">     Overall </w:t>
      </w:r>
      <w:r>
        <w:rPr>
          <w:b/>
          <w:color w:val="FFFFFF"/>
          <w:sz w:val="20"/>
        </w:rPr>
        <w:t>80</w:t>
      </w:r>
    </w:p>
    <w:p w:rsidR="00FC3617" w:rsidRDefault="0014512D">
      <w:pPr>
        <w:keepNext/>
        <w:pBdr>
          <w:bottom w:val="single" w:sz="6" w:space="3" w:color="E2E8F0"/>
        </w:pBdr>
        <w:spacing w:before="120" w:after="120"/>
      </w:pPr>
      <w:r>
        <w:rPr>
          <w:b/>
          <w:caps/>
          <w:color w:val="1A759F"/>
        </w:rPr>
        <w:t>X — Technology</w:t>
      </w:r>
      <w:r>
        <w:rPr>
          <w:b/>
          <w:caps/>
          <w:color w:val="1A759F"/>
        </w:rPr>
        <w:t xml:space="preserve"> Capability</w:t>
      </w:r>
    </w:p>
    <w:p w:rsidR="00FC3617" w:rsidRDefault="0014512D">
      <w:pPr>
        <w:keepNext/>
        <w:pBdr>
          <w:left w:val="single" w:sz="24" w:space="6" w:color="52B69A"/>
        </w:pBdr>
        <w:spacing w:before="120" w:after="60"/>
        <w:ind w:left="170"/>
      </w:pPr>
      <w:r>
        <w:rPr>
          <w:b/>
          <w:color w:val="0F172A"/>
          <w:sz w:val="20"/>
        </w:rPr>
        <w:t>DCIM &amp; Management Software — scored 84/100</w:t>
      </w:r>
    </w:p>
    <w:p w:rsidR="00FC3617" w:rsidRDefault="0014512D">
      <w:pPr>
        <w:keepNext/>
        <w:pBdr>
          <w:left w:val="single" w:sz="24" w:space="6" w:color="52B69A"/>
        </w:pBdr>
        <w:ind w:left="170"/>
      </w:pPr>
      <w:r>
        <w:t>The evaluation rests on the company's integrated sensor-level monitoring arrays and Redfish API capabilities that allow its hardware to connect with external data center management suites. Based on pri</w:t>
      </w:r>
      <w:r>
        <w:t>mary research, the company's standalone DCIM software suite capabilities can be estimated as limited to integrated monitoring control systems, based on its integrated sensor-based intelligence layer and control dashboards providing coherent thermal visuali</w:t>
      </w:r>
      <w:r>
        <w:t>zations.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immersion cooling solutions feature a smart sensor-based monitoring and management control system that is Redfish capable for full integration in Open Compute Project (OCP) standard environments and t</w:t>
      </w:r>
      <w:r>
        <w:t>hird-party DCIM platforms.</w:t>
      </w:r>
    </w:p>
    <w:p w:rsidR="00FC3617" w:rsidRDefault="0014512D">
      <w:pPr>
        <w:pStyle w:val="ListBullet"/>
        <w:spacing w:after="60"/>
        <w:ind w:left="510"/>
      </w:pPr>
      <w:r>
        <w:t>A product partnership announced in February 2024 between STULZ Modular and Asperitas features a compact, modular end-to-end data center for IT loads up to 200 kW that relies on STULZ Modular's infrastructure management (DCIM) and</w:t>
      </w:r>
      <w:r>
        <w:t xml:space="preserve"> remote monitoring integrated with Asperitas' cooling systems.</w:t>
      </w:r>
    </w:p>
    <w:p w:rsidR="00FC3617" w:rsidRDefault="0014512D">
      <w:pPr>
        <w:keepNext/>
        <w:pBdr>
          <w:left w:val="single" w:sz="24" w:space="6" w:color="52B69A"/>
        </w:pBdr>
        <w:spacing w:before="120" w:after="60"/>
        <w:ind w:left="170"/>
      </w:pPr>
      <w:r>
        <w:rPr>
          <w:b/>
          <w:color w:val="0F172A"/>
          <w:sz w:val="20"/>
        </w:rPr>
        <w:t>Compute &amp; Storage Performance — scored 65/100</w:t>
      </w:r>
    </w:p>
    <w:p w:rsidR="00FC3617" w:rsidRDefault="0014512D">
      <w:pPr>
        <w:keepNext/>
        <w:pBdr>
          <w:left w:val="single" w:sz="24" w:space="6" w:color="52B69A"/>
        </w:pBdr>
        <w:ind w:left="170"/>
      </w:pPr>
      <w:r>
        <w:t xml:space="preserve">We verified that Asperitas BV specializes in modular immersion liquid cooling technology and integration infrastructure rather than manufacturing </w:t>
      </w:r>
      <w:r>
        <w:t>standalone servers or storage infrastructure. Based on primary research, the company's server throughput benchmark performance can be estimated as high for high performance computing deployments, based on its partnership with Penguin Computing to deliver h</w:t>
      </w:r>
      <w:r>
        <w:t>igh-end Intel CPU and GPU processing power for Shell.</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Efficiency — scored 95/100</w:t>
      </w:r>
    </w:p>
    <w:p w:rsidR="00FC3617" w:rsidRDefault="0014512D">
      <w:pPr>
        <w:keepNext/>
        <w:pBdr>
          <w:left w:val="single" w:sz="24" w:space="6" w:color="52B69A"/>
        </w:pBdr>
        <w:ind w:left="170"/>
      </w:pPr>
      <w:r>
        <w:t xml:space="preserve">We verified that this assessment rests on the company's independent Open Compute Project compliance validation alongside </w:t>
      </w:r>
      <w:r>
        <w:t>technical projections for sub-1.1 PUE operations. Based on primary research, the company's system cooling efficiency performance can be estimated as strong, in line with leading clean tech vendors, based on its technology reducing data center cooling energ</w:t>
      </w:r>
      <w:r>
        <w:t>y consumption by up to 90%.</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Open Compute Project panel validated Asperitas' immersion cooling technology for achieving Standard, Thermal Optimization, and High Safety requirements.</w:t>
      </w:r>
    </w:p>
    <w:p w:rsidR="00FC3617" w:rsidRDefault="0014512D">
      <w:pPr>
        <w:pStyle w:val="ListBullet"/>
        <w:spacing w:after="60"/>
        <w:ind w:left="510"/>
      </w:pPr>
      <w:r>
        <w:t xml:space="preserve">Asperitas reports that its immersion cooling systems </w:t>
      </w:r>
      <w:r>
        <w:t>achieve a Power Usage Effectiveness (PUE) below 1.1, highlighted in its regional infrastructure partnership announcement with STECON GROUP.</w:t>
      </w:r>
    </w:p>
    <w:p w:rsidR="00FC3617" w:rsidRDefault="0014512D">
      <w:pPr>
        <w:keepNext/>
        <w:pBdr>
          <w:left w:val="single" w:sz="24" w:space="6" w:color="52B69A"/>
        </w:pBdr>
        <w:spacing w:before="120" w:after="60"/>
        <w:ind w:left="170"/>
      </w:pPr>
      <w:r>
        <w:rPr>
          <w:b/>
          <w:color w:val="0F172A"/>
          <w:sz w:val="20"/>
        </w:rPr>
        <w:t>Rack &amp; Enclosure Density — scored 92/100</w:t>
      </w:r>
    </w:p>
    <w:p w:rsidR="00FC3617" w:rsidRDefault="0014512D">
      <w:pPr>
        <w:keepNext/>
        <w:pBdr>
          <w:left w:val="single" w:sz="24" w:space="6" w:color="52B69A"/>
        </w:pBdr>
        <w:ind w:left="170"/>
      </w:pPr>
      <w:r>
        <w:t>The rating is based on its documented product specifications for modular si</w:t>
      </w:r>
      <w:r>
        <w:t>ngle-phase immersion cooling tanks that achieve high power and cooling metrics per enclosure unit. Based on primary research, the company's enclosure density rating reliability under workload can be estimated as highly robust and validated under extended r</w:t>
      </w:r>
      <w:r>
        <w:t>eal world loads, based on its rigorous extended soak tests and accelerated aging protocols for validating immersion-ready servers.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Asperitas reports that its DFCX1 Direct Forced Convection immersion cooling tank offers an IT capacity of 1</w:t>
      </w:r>
      <w:r>
        <w:t>2U, an electrical capacity of 44kW at 2N, and a cooling capacity up to 60kW, or 5kW per U.</w:t>
      </w:r>
    </w:p>
    <w:p w:rsidR="00FC3617" w:rsidRDefault="0014512D">
      <w:pPr>
        <w:pStyle w:val="ListBullet"/>
        <w:spacing w:after="60"/>
        <w:ind w:left="510"/>
      </w:pPr>
      <w:r>
        <w:t xml:space="preserve">Asperitas cooperated with STULZ Modular to develop a compact, modular end-to-end data center designed for an IT load of up to 200 kW combining its immersion cooling </w:t>
      </w:r>
      <w:r>
        <w:t>technology with secure power and environmental infrastructure.</w:t>
      </w:r>
    </w:p>
    <w:p w:rsidR="00FC3617" w:rsidRDefault="0014512D">
      <w:pPr>
        <w:keepNext/>
        <w:pBdr>
          <w:left w:val="single" w:sz="24" w:space="6" w:color="52B69A"/>
        </w:pBdr>
        <w:spacing w:before="120" w:after="60"/>
        <w:ind w:left="170"/>
      </w:pPr>
      <w:r>
        <w:rPr>
          <w:b/>
          <w:color w:val="0F172A"/>
          <w:sz w:val="20"/>
        </w:rPr>
        <w:lastRenderedPageBreak/>
        <w:t>AI &amp; Sustainability Innovation — scored 83/100</w:t>
      </w:r>
    </w:p>
    <w:p w:rsidR="00FC3617" w:rsidRDefault="0014512D">
      <w:pPr>
        <w:keepNext/>
        <w:pBdr>
          <w:left w:val="single" w:sz="24" w:space="6" w:color="52B69A"/>
        </w:pBdr>
        <w:ind w:left="170"/>
      </w:pPr>
      <w:r>
        <w:t>The rating rests on verified environmental sustainability innovations, including award-winning single-phase natural convection cooling modules tha</w:t>
      </w:r>
      <w:r>
        <w:t>t significantly reduce energy footprints and capture heat for secondary local infrastructure reuse. Based on primary research, the company's automated carbon footprint tracking integration can be estimated as limited, relying on system-level total energy o</w:t>
      </w:r>
      <w:r>
        <w:t>ptimization tracking, based on its focus on total system optimization and multi-point monitoring systems to track energy reduction.</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Asperitas reports that its AIC24 Immersed Computing system utilizes a smart sensor-based monitoring and ma</w:t>
      </w:r>
      <w:r>
        <w:t>nagement control system with automated safety controls to sustain efficient thermal layers for AI workloads and edge environments.</w:t>
      </w:r>
    </w:p>
    <w:p w:rsidR="00FC3617" w:rsidRDefault="0014512D">
      <w:pPr>
        <w:pStyle w:val="ListBullet"/>
        <w:spacing w:after="60"/>
        <w:ind w:left="510"/>
      </w:pPr>
      <w:r>
        <w:t xml:space="preserve">Asperitas won the TechTour Growth Sustainability 2023 award under the Cleantech for Industry category for its science-driven </w:t>
      </w:r>
      <w:r>
        <w:t>AIC24N immersion cooling solution, which captures up to 99% of IT energy in liquid for circular heat reuse.</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78/100</w:t>
      </w:r>
    </w:p>
    <w:p w:rsidR="00FC3617" w:rsidRDefault="0014512D">
      <w:pPr>
        <w:keepNext/>
        <w:pBdr>
          <w:left w:val="single" w:sz="24" w:space="6" w:color="52B69A"/>
        </w:pBdr>
        <w:ind w:left="170"/>
      </w:pPr>
      <w:r>
        <w:t xml:space="preserve">We verified that the company targets the hyperscale cloud market and develops </w:t>
      </w:r>
      <w:r>
        <w:t>Open Compute Project (OCP) compliant infrastructure designed to integrate with major cloud hardware vendors. Based on primary research, the company's named hyperscale contracts or repeat business can be estimated as focused on foundational validation and e</w:t>
      </w:r>
      <w:r>
        <w:t>cosystem readiness rather than high-volume public hyperscaler deployments, based on its strategic engineering alliances with Cisco, Dell Technologies, and NVIDIA alongside enterprise deployments for Crédit Agricole and Shell.</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w:t>
      </w:r>
      <w:r>
        <w:t>reports that its fully integrated modular immersion cooling solutions are designed to address high-density demand and are deployed across cloud, enterprise, and high-performance computing environments.</w:t>
      </w:r>
    </w:p>
    <w:p w:rsidR="00FC3617" w:rsidRDefault="0014512D">
      <w:pPr>
        <w:keepNext/>
        <w:pBdr>
          <w:left w:val="single" w:sz="24" w:space="6" w:color="52B69A"/>
        </w:pBdr>
        <w:spacing w:before="120" w:after="60"/>
        <w:ind w:left="170"/>
      </w:pPr>
      <w:r>
        <w:rPr>
          <w:b/>
          <w:color w:val="0F172A"/>
          <w:sz w:val="20"/>
        </w:rPr>
        <w:t>Global Revenue &amp; Market Share — scored 65/100</w:t>
      </w:r>
    </w:p>
    <w:p w:rsidR="00FC3617" w:rsidRDefault="0014512D">
      <w:pPr>
        <w:keepNext/>
        <w:pBdr>
          <w:left w:val="single" w:sz="24" w:space="6" w:color="52B69A"/>
        </w:pBdr>
        <w:ind w:left="170"/>
      </w:pPr>
      <w:r>
        <w:t>Based on</w:t>
      </w:r>
      <w:r>
        <w:t xml:space="preserve"> primary research, the company's annual data center revenue or global market share can be estimated as expanding steadily within the high-density infrastructure segment, based on its recent international investment round to fuel scale-up and growing enterp</w:t>
      </w:r>
      <w:r>
        <w:t>rise customer stories.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Installed Base &amp; Deployments — scored 73/100</w:t>
      </w:r>
    </w:p>
    <w:p w:rsidR="00FC3617" w:rsidRDefault="0014512D">
      <w:pPr>
        <w:keepNext/>
        <w:pBdr>
          <w:left w:val="single" w:sz="24" w:space="6" w:color="52B69A"/>
        </w:pBdr>
        <w:ind w:left="170"/>
      </w:pPr>
      <w:r>
        <w:t>The evaluation rests on multiple confirmed site deployments and pilot case studies across enterprise, HPC, and colocation facilities. Based on primary resea</w:t>
      </w:r>
      <w:r>
        <w:t>rch, the company's total cumulative units or licenses deployed worldwide can be estimated as highly concentrated across key european research and industrial computing clusters, based on its multi-system real-world deployments including 10 systems at EcoRac</w:t>
      </w:r>
      <w:r>
        <w:t>ks and dedicated clusters at the Shell Technology Centre.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EcoRacks has deployed 10 modular Asperitas liquid immersion systems configured for high-density GPU platforms, operating 300 kW of IT power within an existing air-cooled data cente</w:t>
      </w:r>
      <w:r>
        <w:t>r.</w:t>
      </w:r>
    </w:p>
    <w:p w:rsidR="00FC3617" w:rsidRDefault="0014512D">
      <w:pPr>
        <w:pStyle w:val="ListBullet"/>
        <w:spacing w:after="60"/>
        <w:ind w:left="510"/>
      </w:pPr>
      <w:r>
        <w:t>Asperitas reports that its AIC24N immersion cooling solutions have been deployed across high-performance computing (HPC), enterprise, and GPU cluster case studies at the Shell Technology Centre, Bytesnet, Crédit Agricole, and the LOEWE Centre.</w:t>
      </w:r>
    </w:p>
    <w:p w:rsidR="00FC3617" w:rsidRDefault="0014512D">
      <w:pPr>
        <w:keepNext/>
        <w:pBdr>
          <w:left w:val="single" w:sz="24" w:space="6" w:color="52B69A"/>
        </w:pBdr>
        <w:spacing w:before="120" w:after="60"/>
        <w:ind w:left="170"/>
      </w:pPr>
      <w:r>
        <w:rPr>
          <w:b/>
          <w:color w:val="0F172A"/>
          <w:sz w:val="20"/>
        </w:rPr>
        <w:t>Strategic</w:t>
      </w:r>
      <w:r>
        <w:rPr>
          <w:b/>
          <w:color w:val="0F172A"/>
          <w:sz w:val="20"/>
        </w:rPr>
        <w:t xml:space="preserve"> Partnerships &amp; Channels — scored 87/100</w:t>
      </w:r>
    </w:p>
    <w:p w:rsidR="00FC3617" w:rsidRDefault="0014512D">
      <w:pPr>
        <w:keepNext/>
        <w:pBdr>
          <w:left w:val="single" w:sz="24" w:space="6" w:color="52B69A"/>
        </w:pBdr>
        <w:ind w:left="170"/>
      </w:pPr>
      <w:r>
        <w:t>The evaluation rests on formal global OEM resale partnerships and procurement agreements established with major IT infrastructure suppliers like Dell Technologies and UNICOM Engineering. Based on primary research, t</w:t>
      </w:r>
      <w:r>
        <w:t>he company's volume or geographic breakdown of regional resellers can be estimated as selectively expanding across strategic high-growth international data center hubs, based on its exclusive reselling agreement with Metaline in France and a dedicated expa</w:t>
      </w:r>
      <w:r>
        <w:t>nsion partnership with STECON GROUP in Southeast Asia.</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Asperitas signed a non-exclusive commercial agreement with U.S.-based global provider UNICOM Engineering in February 2026, allowing customers to procure integrated immersion cooling s</w:t>
      </w:r>
      <w:r>
        <w:t>ystems and immersion-ready server platforms under a single contract.</w:t>
      </w:r>
    </w:p>
    <w:p w:rsidR="00FC3617" w:rsidRDefault="0014512D">
      <w:pPr>
        <w:pStyle w:val="ListBullet"/>
        <w:spacing w:after="60"/>
        <w:ind w:left="510"/>
      </w:pPr>
      <w:r>
        <w:t>Asperitas partnered with Dell Technologies in June 2026 under the OEM Engineered Solutions program, establishing Dell as a global reseller of Asperitas immersion cooling solutions combine</w:t>
      </w:r>
      <w:r>
        <w:t>d with Dell server infrastructure.</w:t>
      </w:r>
    </w:p>
    <w:p w:rsidR="00FC3617" w:rsidRDefault="0014512D">
      <w:pPr>
        <w:keepNext/>
        <w:pBdr>
          <w:left w:val="single" w:sz="24" w:space="6" w:color="52B69A"/>
        </w:pBdr>
        <w:spacing w:before="120" w:after="60"/>
        <w:ind w:left="170"/>
      </w:pPr>
      <w:r>
        <w:rPr>
          <w:b/>
          <w:color w:val="0F172A"/>
          <w:sz w:val="20"/>
        </w:rPr>
        <w:lastRenderedPageBreak/>
        <w:t>R&amp;D Investment &amp; Financial Strength — scored 74/100</w:t>
      </w:r>
    </w:p>
    <w:p w:rsidR="00FC3617" w:rsidRDefault="0014512D">
      <w:pPr>
        <w:keepNext/>
        <w:pBdr>
          <w:left w:val="single" w:sz="24" w:space="6" w:color="52B69A"/>
        </w:pBdr>
        <w:ind w:left="170"/>
      </w:pPr>
      <w:r>
        <w:t>We verified that the company's financial capability is sustained by recent scale-up venture capital injections and ongoing collaborative research projects within its lab</w:t>
      </w:r>
      <w:r>
        <w:t>oratories. Based on primary research, the company's r and d spending, profitability, or credit ratings can be estimated as heavily weighted toward continuous engineering validation and fluid optimization, based on its joint product development roadmaps wit</w:t>
      </w:r>
      <w:r>
        <w:t>h chip manufacturers and ongoing laboratory verification programs using Shell immersion fluids.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 scale-up equity investment round successfully closed in September 2025, which included an undisclosed investment from Invest-NL alongside ca</w:t>
      </w:r>
      <w:r>
        <w:t>pital from STECON GROUP, Shell Ventures, and PDENH to accelerate international expansion and portfolio innovation.</w:t>
      </w:r>
    </w:p>
    <w:p w:rsidR="00FC3617" w:rsidRDefault="0014512D">
      <w:pPr>
        <w:pStyle w:val="ListBullet"/>
        <w:spacing w:after="60"/>
        <w:ind w:left="510"/>
      </w:pPr>
      <w:r>
        <w:t>A joint technology roadmap and R&amp;D collaboration with Shell renewed in March 2026, utilizing Shell products within Asperitas' laboratories to</w:t>
      </w:r>
      <w:r>
        <w:t xml:space="preserve"> support product development, testing, and continuous system validation.</w:t>
      </w:r>
    </w:p>
    <w:p w:rsidR="00FC3617" w:rsidRDefault="0014512D">
      <w:pPr>
        <w:pStyle w:val="Heading2"/>
        <w:pageBreakBefore/>
        <w:shd w:val="clear" w:color="auto" w:fill="002857"/>
        <w:spacing w:after="0"/>
      </w:pPr>
      <w:bookmarkStart w:id="21" w:name="_Toc242935691"/>
      <w:r>
        <w:lastRenderedPageBreak/>
        <w:t>OptiCool Technologies LLC (subsidiary of Calvary Robotics)</w:t>
      </w:r>
      <w:bookmarkEnd w:id="21"/>
    </w:p>
    <w:p w:rsidR="00FC3617" w:rsidRDefault="0014512D">
      <w:pPr>
        <w:shd w:val="clear" w:color="auto" w:fill="002857"/>
        <w:spacing w:after="200"/>
      </w:pPr>
      <w:r>
        <w:rPr>
          <w:color w:val="CBD5E1"/>
          <w:sz w:val="18"/>
        </w:rPr>
        <w:t xml:space="preserve">OptiCool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69</w:t>
      </w:r>
      <w:r>
        <w:rPr>
          <w:color w:val="CBD5E1"/>
          <w:sz w:val="18"/>
        </w:rPr>
        <w:t xml:space="preserve">     Overall </w:t>
      </w:r>
      <w:r>
        <w:rPr>
          <w:b/>
          <w:color w:val="FFFFFF"/>
          <w:sz w:val="20"/>
        </w:rPr>
        <w:t>75</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 xml:space="preserve">Compute &amp; Storage Performance — scored </w:t>
      </w:r>
      <w:r>
        <w:rPr>
          <w:b/>
          <w:color w:val="0F172A"/>
          <w:sz w:val="20"/>
        </w:rPr>
        <w:t>65/100</w:t>
      </w:r>
    </w:p>
    <w:p w:rsidR="00FC3617" w:rsidRDefault="0014512D">
      <w:pPr>
        <w:keepNext/>
        <w:pBdr>
          <w:left w:val="single" w:sz="24" w:space="6" w:color="52B69A"/>
        </w:pBdr>
        <w:ind w:left="170"/>
      </w:pPr>
      <w:r>
        <w:t>Based on primary research, the company's processing power, memory bandwidth, or storage throughput metrics can be estimated as strong, in line with leading vendors, based on its 120kW rear door heat exchanger supporting demanding GPU clusters.</w:t>
      </w:r>
    </w:p>
    <w:p w:rsidR="00FC3617" w:rsidRDefault="0014512D">
      <w:pPr>
        <w:keepNext/>
        <w:spacing w:after="40"/>
        <w:ind w:left="170"/>
      </w:pPr>
      <w:r>
        <w:rPr>
          <w:b/>
          <w:caps/>
          <w:color w:val="64748B"/>
          <w:sz w:val="15"/>
        </w:rPr>
        <w:t>Suppo</w:t>
      </w:r>
      <w:r>
        <w:rPr>
          <w:b/>
          <w:caps/>
          <w:color w:val="64748B"/>
          <w:sz w:val="15"/>
        </w:rPr>
        <w:t>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Efficiency — scored 87/100</w:t>
      </w:r>
    </w:p>
    <w:p w:rsidR="00FC3617" w:rsidRDefault="0014512D">
      <w:pPr>
        <w:keepNext/>
        <w:pBdr>
          <w:left w:val="single" w:sz="24" w:space="6" w:color="52B69A"/>
        </w:pBdr>
        <w:ind w:left="170"/>
      </w:pPr>
      <w:r>
        <w:t>The rating rests on documented laboratory evaluation data illustrating efficient steady-state power draw under heavy simulated high-density workloads, alongside company-reported performa</w:t>
      </w:r>
      <w:r>
        <w:t>nce metrics. Based on primary research, the company's operational PUE metrics from live production facilities can be estimated as exceptionally efficient, based on its recorded power usage effectiveness as low as 1.02 in tested deployments.</w:t>
      </w:r>
    </w:p>
    <w:p w:rsidR="00FC3617" w:rsidRDefault="0014512D">
      <w:pPr>
        <w:keepNext/>
        <w:spacing w:after="40"/>
        <w:ind w:left="170"/>
      </w:pPr>
      <w:r>
        <w:rPr>
          <w:b/>
          <w:caps/>
          <w:color w:val="64748B"/>
          <w:sz w:val="15"/>
        </w:rPr>
        <w:t>Supporting poin</w:t>
      </w:r>
      <w:r>
        <w:rPr>
          <w:b/>
          <w:caps/>
          <w:color w:val="64748B"/>
          <w:sz w:val="15"/>
        </w:rPr>
        <w:t>ts</w:t>
      </w:r>
    </w:p>
    <w:p w:rsidR="00FC3617" w:rsidRDefault="0014512D">
      <w:pPr>
        <w:pStyle w:val="ListBullet"/>
        <w:spacing w:after="60"/>
        <w:ind w:left="510"/>
      </w:pPr>
      <w:r>
        <w:t>An engineering laboratory evaluation completed in March 2026 for a major aerospace company simulated an 80 kW rack heat load and verified that OptiCool Technologies' 120 kW rear-door heat exchanger effectively sustained a 70°F exit temperature while dra</w:t>
      </w:r>
      <w:r>
        <w:t>wing a steady-state power load of only 550 W under a system ambient temperature set point of 75°F.</w:t>
      </w:r>
    </w:p>
    <w:p w:rsidR="00FC3617" w:rsidRDefault="0014512D">
      <w:pPr>
        <w:pStyle w:val="ListBullet"/>
        <w:spacing w:after="60"/>
        <w:ind w:left="510"/>
      </w:pPr>
      <w:r>
        <w:t>Product specifications published by the company indicate that its proprietary Delta4T fourth-generation two-phase refrigerant cooling system achieves a Power</w:t>
      </w:r>
      <w:r>
        <w:t xml:space="preserve"> Usage Effectiveness as low as 1.02 in tested deployments.</w:t>
      </w:r>
    </w:p>
    <w:p w:rsidR="00FC3617" w:rsidRDefault="0014512D">
      <w:pPr>
        <w:keepNext/>
        <w:pBdr>
          <w:left w:val="single" w:sz="24" w:space="6" w:color="52B69A"/>
        </w:pBdr>
        <w:spacing w:before="120" w:after="60"/>
        <w:ind w:left="170"/>
      </w:pPr>
      <w:r>
        <w:rPr>
          <w:b/>
          <w:color w:val="0F172A"/>
          <w:sz w:val="20"/>
        </w:rPr>
        <w:t>Rack &amp; Enclosure Density — scored 96/100</w:t>
      </w:r>
    </w:p>
    <w:p w:rsidR="00FC3617" w:rsidRDefault="0014512D">
      <w:pPr>
        <w:keepNext/>
        <w:pBdr>
          <w:left w:val="single" w:sz="24" w:space="6" w:color="52B69A"/>
        </w:pBdr>
        <w:ind w:left="170"/>
      </w:pPr>
      <w:r>
        <w:t>The rating rests on confirmed rack-level cooling capacities of up to 120 kW achieved through specialized rear-door heat exchanger technology and modular enc</w:t>
      </w:r>
      <w:r>
        <w:t>losure partnerships. Based on primary research, the company's physical security features built into these rack systems can be estimated as robust and fully integrated, based on its integration with Belden rack and cabinet connection solutions.</w:t>
      </w:r>
    </w:p>
    <w:p w:rsidR="00FC3617" w:rsidRDefault="0014512D">
      <w:pPr>
        <w:keepNext/>
        <w:spacing w:after="40"/>
        <w:ind w:left="170"/>
      </w:pPr>
      <w:r>
        <w:rPr>
          <w:b/>
          <w:caps/>
          <w:color w:val="64748B"/>
          <w:sz w:val="15"/>
        </w:rPr>
        <w:t>Supporting p</w:t>
      </w:r>
      <w:r>
        <w:rPr>
          <w:b/>
          <w:caps/>
          <w:color w:val="64748B"/>
          <w:sz w:val="15"/>
        </w:rPr>
        <w:t>oints</w:t>
      </w:r>
    </w:p>
    <w:p w:rsidR="00FC3617" w:rsidRDefault="0014512D">
      <w:pPr>
        <w:pStyle w:val="ListBullet"/>
        <w:spacing w:after="60"/>
        <w:ind w:left="510"/>
      </w:pPr>
      <w:r>
        <w:t xml:space="preserve">A factory witness test and product evaluation conducted in March 2026 for a major aerospace company simulated an 80 kW heat load on OptiCool's 120 kW rear-door heat exchanger, confirming successful heat extraction while drawing 550 W of steady-state </w:t>
      </w:r>
      <w:r>
        <w:t>power, as reported in an OptiCool Technologies case study.</w:t>
      </w:r>
    </w:p>
    <w:p w:rsidR="00FC3617" w:rsidRDefault="0014512D">
      <w:pPr>
        <w:pStyle w:val="ListBullet"/>
        <w:spacing w:after="60"/>
        <w:ind w:left="510"/>
      </w:pPr>
      <w:r>
        <w:t>A collaborative partnership announced in April 2026 between Belden and OptiCool integrates Belden's data center racks and cabinets with OptiCool's active two-phase refrigerant rear-door heat exchan</w:t>
      </w:r>
      <w:r>
        <w:t>gers to deliver a unified solution supporting high-density AI infrastructure of up to 120 kW per rack.</w:t>
      </w:r>
    </w:p>
    <w:p w:rsidR="00FC3617" w:rsidRDefault="0014512D">
      <w:pPr>
        <w:keepNext/>
        <w:pBdr>
          <w:left w:val="single" w:sz="24" w:space="6" w:color="52B69A"/>
        </w:pBdr>
        <w:spacing w:before="120" w:after="60"/>
        <w:ind w:left="170"/>
      </w:pPr>
      <w:r>
        <w:rPr>
          <w:b/>
          <w:color w:val="0F172A"/>
          <w:sz w:val="20"/>
        </w:rPr>
        <w:t>DCIM &amp; Management Software — scored 81/100</w:t>
      </w:r>
    </w:p>
    <w:p w:rsidR="00FC3617" w:rsidRDefault="0014512D">
      <w:pPr>
        <w:keepNext/>
        <w:pBdr>
          <w:left w:val="single" w:sz="24" w:space="6" w:color="52B69A"/>
        </w:pBdr>
        <w:ind w:left="170"/>
      </w:pPr>
      <w:r>
        <w:t xml:space="preserve">The evaluation rests on the company's verified provision of embedded hardware-level monitoring software and </w:t>
      </w:r>
      <w:r>
        <w:t>communication protocols intended for external integration rather than an autonomous DCIM application. Based on primary research, the company's a standalone data center infrastructure management platform, digital twin functionality, or proprietary can be es</w:t>
      </w:r>
      <w:r>
        <w:t>timated as complete and integrated, based on its 10 inch touchscreen and building management system integration features.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Coolant Distribution Units, including the CDU-M15 model launched in February 2025, inco</w:t>
      </w:r>
      <w:r>
        <w:t>rporate Dynamic Smart Temperature &amp; Flow Regulation alongside built-in building management system (BMS) integration and remote monitoring capabilities, according to an official product announcement.</w:t>
      </w:r>
    </w:p>
    <w:p w:rsidR="00FC3617" w:rsidRDefault="0014512D">
      <w:pPr>
        <w:pStyle w:val="ListBullet"/>
        <w:spacing w:after="60"/>
        <w:ind w:left="510"/>
      </w:pPr>
      <w:r>
        <w:t>The company reports that its refrigerant pump lines, such</w:t>
      </w:r>
      <w:r>
        <w:t xml:space="preserve"> as the RPW-230 and RPC-230 models, utilize specialized controls with 10-inch touchscreen panels and support communication protocols like Modbus, BACnet, or SNMP for easy facility-level BMS integration, according to its official product data sheets.</w:t>
      </w:r>
    </w:p>
    <w:p w:rsidR="00FC3617" w:rsidRDefault="0014512D">
      <w:pPr>
        <w:keepNext/>
        <w:pBdr>
          <w:left w:val="single" w:sz="24" w:space="6" w:color="52B69A"/>
        </w:pBdr>
        <w:spacing w:before="120" w:after="60"/>
        <w:ind w:left="170"/>
      </w:pPr>
      <w:r>
        <w:rPr>
          <w:b/>
          <w:color w:val="0F172A"/>
          <w:sz w:val="20"/>
        </w:rPr>
        <w:lastRenderedPageBreak/>
        <w:t>AI &amp; S</w:t>
      </w:r>
      <w:r>
        <w:rPr>
          <w:b/>
          <w:color w:val="0F172A"/>
          <w:sz w:val="20"/>
        </w:rPr>
        <w:t>ustainability Innovation — scored 77/100</w:t>
      </w:r>
    </w:p>
    <w:p w:rsidR="00FC3617" w:rsidRDefault="0014512D">
      <w:pPr>
        <w:keepNext/>
        <w:pBdr>
          <w:left w:val="single" w:sz="24" w:space="6" w:color="52B69A"/>
        </w:pBdr>
        <w:ind w:left="170"/>
      </w:pPr>
      <w:r>
        <w:t>The evaluation rests on the company's external industry recognition for high-efficiency refrigerant hardware and its collaborative water-saving initiatives. Based on primary research, the company's integration of AI</w:t>
      </w:r>
      <w:r>
        <w:t xml:space="preserve"> for predictive maintenance or dedicated software for carbon footprint tracking can be estimated as sophisticated and fully automated, based on its fourth generation Delta4T technology built for high performance computing and artificial intelligence worklo</w:t>
      </w:r>
      <w:r>
        <w:t>ads.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OptiCool Technologies was named to the CRN 2026 Data Center 50 list for its Delta4T two-phase pumped refrigerant cooling architecture, which can achieve Power Usage Effectiveness (PUE) values as low as 1.02.</w:t>
      </w:r>
    </w:p>
    <w:p w:rsidR="00FC3617" w:rsidRDefault="0014512D">
      <w:pPr>
        <w:pStyle w:val="ListBullet"/>
        <w:spacing w:after="60"/>
        <w:ind w:left="510"/>
      </w:pPr>
      <w:r>
        <w:t xml:space="preserve">OptiCool Technologies </w:t>
      </w:r>
      <w:r>
        <w:t>formed a strategic partnership with Accelsius in April 2024 to accelerate the development of waterless, direct-to-chip liquid cooling systems that eliminate facility water usage in primary cooling loops.</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R&amp;D Investment &amp; Financial S</w:t>
      </w:r>
      <w:r>
        <w:rPr>
          <w:b/>
          <w:color w:val="0F172A"/>
          <w:sz w:val="20"/>
        </w:rPr>
        <w:t>trength — scored 67/100</w:t>
      </w:r>
    </w:p>
    <w:p w:rsidR="00FC3617" w:rsidRDefault="0014512D">
      <w:pPr>
        <w:keepNext/>
        <w:pBdr>
          <w:left w:val="single" w:sz="24" w:space="6" w:color="52B69A"/>
        </w:pBdr>
        <w:ind w:left="170"/>
      </w:pPr>
      <w:r>
        <w:t>We verified that the company operates as an affiliate or subsidiary of Calvary Automation and has historically secured private investment capital. Based on primary research, the company's research and development spending, profit ma</w:t>
      </w:r>
      <w:r>
        <w:t>rgins, and credit ratings can be estimated as strong, in line with leading vendors, based on its sustained investment in research and development and fourth-generation 2-phase liquid cooling platform leveraging Calvary Robotics engineering.</w:t>
      </w:r>
    </w:p>
    <w:p w:rsidR="00FC3617" w:rsidRDefault="0014512D">
      <w:pPr>
        <w:keepNext/>
        <w:spacing w:after="40"/>
        <w:ind w:left="170"/>
      </w:pPr>
      <w:r>
        <w:rPr>
          <w:b/>
          <w:caps/>
          <w:color w:val="64748B"/>
          <w:sz w:val="15"/>
        </w:rPr>
        <w:t>Supporting poin</w:t>
      </w:r>
      <w:r>
        <w:rPr>
          <w:b/>
          <w:caps/>
          <w:color w:val="64748B"/>
          <w:sz w:val="15"/>
        </w:rPr>
        <w:t>ts</w:t>
      </w:r>
    </w:p>
    <w:p w:rsidR="00FC3617" w:rsidRDefault="0014512D">
      <w:pPr>
        <w:pStyle w:val="ListBullet"/>
        <w:spacing w:after="60"/>
        <w:ind w:left="510"/>
      </w:pPr>
      <w:r>
        <w:t>OptiCool Technologies is an affiliate or operating subsidiary of Calvary Automation, which co-founded the company in July 2012.</w:t>
      </w:r>
    </w:p>
    <w:p w:rsidR="00FC3617" w:rsidRDefault="0014512D">
      <w:pPr>
        <w:pStyle w:val="ListBullet"/>
        <w:spacing w:after="60"/>
        <w:ind w:left="510"/>
      </w:pPr>
      <w:r>
        <w:t>The company has historically secured private investment capital exceeding $4 million to support early-stage growth and develo</w:t>
      </w:r>
      <w:r>
        <w:t>pment of its data center cooling solutions.</w:t>
      </w:r>
    </w:p>
    <w:p w:rsidR="00FC3617" w:rsidRDefault="0014512D">
      <w:pPr>
        <w:keepNext/>
        <w:pBdr>
          <w:left w:val="single" w:sz="24" w:space="6" w:color="52B69A"/>
        </w:pBdr>
        <w:spacing w:before="120" w:after="60"/>
        <w:ind w:left="170"/>
      </w:pPr>
      <w:r>
        <w:rPr>
          <w:b/>
          <w:color w:val="0F172A"/>
          <w:sz w:val="20"/>
        </w:rPr>
        <w:t>Hyperscale &amp; Cloud Customers — scored 65/100</w:t>
      </w:r>
    </w:p>
    <w:p w:rsidR="00FC3617" w:rsidRDefault="0014512D">
      <w:pPr>
        <w:keepNext/>
        <w:pBdr>
          <w:left w:val="single" w:sz="24" w:space="6" w:color="52B69A"/>
        </w:pBdr>
        <w:ind w:left="170"/>
      </w:pPr>
      <w:r>
        <w:t>Based on primary research, the company's hyperscale or cloud service provider customers can be estimated as growing steadily, based on its modular architecture that sc</w:t>
      </w:r>
      <w:r>
        <w:t>ales from single hotspots to hyperscale environments and partnerships with large multi-tenant data center operators.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Global Revenue &amp; Market Share — scored 65/100</w:t>
      </w:r>
    </w:p>
    <w:p w:rsidR="00FC3617" w:rsidRDefault="0014512D">
      <w:pPr>
        <w:keepNext/>
        <w:pBdr>
          <w:left w:val="single" w:sz="24" w:space="6" w:color="52B69A"/>
        </w:pBdr>
        <w:ind w:left="170"/>
      </w:pPr>
      <w:r>
        <w:t>Based on primary research, the company's annual data center p</w:t>
      </w:r>
      <w:r>
        <w:t>roduct sales revenue or market share can be estimated as strong, in line with leading vendors, based on its expansion to meet surging demand for artificial intelligence infrastructure and recognition on industry leadership lists.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Anticipated revenues for 2012 were stated by company executive Burke to be less than $10 million but well above $1 million, according to the Rochester Business Journal.</w:t>
      </w:r>
    </w:p>
    <w:p w:rsidR="00FC3617" w:rsidRDefault="0014512D">
      <w:pPr>
        <w:keepNext/>
        <w:pBdr>
          <w:left w:val="single" w:sz="24" w:space="6" w:color="52B69A"/>
        </w:pBdr>
        <w:spacing w:before="120" w:after="60"/>
        <w:ind w:left="170"/>
      </w:pPr>
      <w:r>
        <w:rPr>
          <w:b/>
          <w:color w:val="0F172A"/>
          <w:sz w:val="20"/>
        </w:rPr>
        <w:t>Installed Base &amp; Deployments — scored 75/100</w:t>
      </w:r>
    </w:p>
    <w:p w:rsidR="00FC3617" w:rsidRDefault="0014512D">
      <w:pPr>
        <w:keepNext/>
        <w:pBdr>
          <w:left w:val="single" w:sz="24" w:space="6" w:color="52B69A"/>
        </w:pBdr>
        <w:ind w:left="170"/>
      </w:pPr>
      <w:r>
        <w:t>We verified active deployments across high</w:t>
      </w:r>
      <w:r>
        <w:t>-performance computing sites and Tier-1 telecommunications networks, demonstrating proven commercial capability for its close-coupled liquid cooling technology. Based on primary research, the company's cumulative worldwide unit shipment volumes, total inst</w:t>
      </w:r>
      <w:r>
        <w:t>alled base, or customer retention rates can be estimated as growing steadily, based on its extensive assembly footprint at its large facility in New York and scalable ecosystem deployments across national portfolios.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Telecom operators T-M</w:t>
      </w:r>
      <w:r>
        <w:t>obile and Comcast adopted OptiCool Technologies' Delta4T fourth-generation cooling technology, deploying its 60 kW rear-door heat exchanger units as detailed in an official OptiCool Technologies Case Study.</w:t>
      </w:r>
    </w:p>
    <w:p w:rsidR="00FC3617" w:rsidRDefault="0014512D">
      <w:pPr>
        <w:pStyle w:val="ListBullet"/>
        <w:spacing w:after="60"/>
        <w:ind w:left="510"/>
      </w:pPr>
      <w:r>
        <w:t>The MITRE High Performance Compute Center deploye</w:t>
      </w:r>
      <w:r>
        <w:t>d the company's non-conductive refrigerant-based cooling system, incorporating its refrigerant distribution units over a four-year operational timeline as reported in the OptiCool Technologies MITRE Case Study.</w:t>
      </w:r>
    </w:p>
    <w:p w:rsidR="00FC3617" w:rsidRDefault="0014512D">
      <w:pPr>
        <w:keepNext/>
        <w:pBdr>
          <w:left w:val="single" w:sz="24" w:space="6" w:color="52B69A"/>
        </w:pBdr>
        <w:spacing w:before="120" w:after="60"/>
        <w:ind w:left="170"/>
      </w:pPr>
      <w:r>
        <w:rPr>
          <w:b/>
          <w:color w:val="0F172A"/>
          <w:sz w:val="20"/>
        </w:rPr>
        <w:t>Strategic Partnerships &amp; Channels — scored 74</w:t>
      </w:r>
      <w:r>
        <w:rPr>
          <w:b/>
          <w:color w:val="0F172A"/>
          <w:sz w:val="20"/>
        </w:rPr>
        <w:t>/100</w:t>
      </w:r>
    </w:p>
    <w:p w:rsidR="00FC3617" w:rsidRDefault="0014512D">
      <w:pPr>
        <w:keepNext/>
        <w:pBdr>
          <w:left w:val="single" w:sz="24" w:space="6" w:color="52B69A"/>
        </w:pBdr>
        <w:ind w:left="170"/>
      </w:pPr>
      <w:r>
        <w:t xml:space="preserve">The rating rests on the establishment of initial channel distribution agreements with major technology providers. Based on primary research, the company's global original equipment manufacturer integrations or major global IT </w:t>
      </w:r>
      <w:r>
        <w:lastRenderedPageBreak/>
        <w:t xml:space="preserve">distributor partnerships </w:t>
      </w:r>
      <w:r>
        <w:t>can be estimated as broad across the major technology advisor and services networks, based on its master agent agreement with large tech advisory networks and channel-first strategic alliances.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entering into a Value Ad</w:t>
      </w:r>
      <w:r>
        <w:t>ded Reseller (VAR) agreement with SHI International in August 2025 to incorporate its liquid cooling technology into SHI's IT solutions portfolio.</w:t>
      </w:r>
    </w:p>
    <w:p w:rsidR="00FC3617" w:rsidRDefault="0014512D">
      <w:pPr>
        <w:pStyle w:val="ListBullet"/>
        <w:spacing w:after="60"/>
        <w:ind w:left="510"/>
      </w:pPr>
      <w:r>
        <w:t>The company reports signing a master agent agreement with tech advisory firm Bridgepointe Technologies in Mar</w:t>
      </w:r>
      <w:r>
        <w:t>ch 2026 to offer cooling systems to its client network.</w:t>
      </w:r>
    </w:p>
    <w:p w:rsidR="00FC3617" w:rsidRDefault="0014512D">
      <w:pPr>
        <w:pStyle w:val="Heading2"/>
        <w:pageBreakBefore/>
        <w:shd w:val="clear" w:color="auto" w:fill="002857"/>
        <w:spacing w:after="0"/>
      </w:pPr>
      <w:bookmarkStart w:id="22" w:name="_Toc242935692"/>
      <w:r>
        <w:lastRenderedPageBreak/>
        <w:t>Upsite Technologies, Inc. (subsidiary of Aquila, Inc.)</w:t>
      </w:r>
      <w:bookmarkEnd w:id="22"/>
    </w:p>
    <w:p w:rsidR="00FC3617" w:rsidRDefault="0014512D">
      <w:pPr>
        <w:shd w:val="clear" w:color="auto" w:fill="002857"/>
        <w:spacing w:after="200"/>
      </w:pPr>
      <w:r>
        <w:rPr>
          <w:color w:val="CBD5E1"/>
          <w:sz w:val="18"/>
        </w:rPr>
        <w:t xml:space="preserve">Upsite Technologies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74</w:t>
      </w:r>
      <w:r>
        <w:rPr>
          <w:color w:val="CBD5E1"/>
          <w:sz w:val="18"/>
        </w:rPr>
        <w:t xml:space="preserve">     Overall </w:t>
      </w:r>
      <w:r>
        <w:rPr>
          <w:b/>
          <w:color w:val="FFFFFF"/>
          <w:sz w:val="20"/>
        </w:rPr>
        <w:t>76</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68/100</w:t>
      </w:r>
    </w:p>
    <w:p w:rsidR="00FC3617" w:rsidRDefault="0014512D">
      <w:pPr>
        <w:keepNext/>
        <w:pBdr>
          <w:left w:val="single" w:sz="24" w:space="6" w:color="52B69A"/>
        </w:pBdr>
        <w:ind w:left="170"/>
      </w:pPr>
      <w:r>
        <w:t>Based on primary research, the company's processing and storage specifications can be estimated as nonexistent, as its portfolio focuses entirely on physical cooling and power distribution products, based on its focus on passive airflow sealing and rack p</w:t>
      </w:r>
      <w:r>
        <w:t>ower units.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Efficiency — scored 82/100</w:t>
      </w:r>
    </w:p>
    <w:p w:rsidR="00FC3617" w:rsidRDefault="0014512D">
      <w:pPr>
        <w:keepNext/>
        <w:pBdr>
          <w:left w:val="single" w:sz="24" w:space="6" w:color="52B69A"/>
        </w:pBdr>
        <w:ind w:left="170"/>
      </w:pPr>
      <w:r>
        <w:t xml:space="preserve">The assessment rests on the company's documented capability to reduce data center bypass airflow and optimize cooling utilization, which indirectly lowers energy </w:t>
      </w:r>
      <w:r>
        <w:t>expenditure and optimizes Power Usage Effectiveness (PUE). Based on primary research, the company's equipment efficiency and certifications can be estimated as excellent, characterized by zero power draw for passive sealing products, based on its KoldLok g</w:t>
      </w:r>
      <w:r>
        <w:t>rommets and AisleLok modular containment solutions.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Travel technology company Amadeus saved over €46,000 in electricity costs within a year and achieved a full return on investment in three months after installing KoldLok airflow manageme</w:t>
      </w:r>
      <w:r>
        <w:t>nt solutions, according to a case study summary published on the Upsite Technologies website.</w:t>
      </w:r>
    </w:p>
    <w:p w:rsidR="00FC3617" w:rsidRDefault="0014512D">
      <w:pPr>
        <w:pStyle w:val="ListBullet"/>
        <w:spacing w:after="60"/>
        <w:ind w:left="510"/>
      </w:pPr>
      <w:r>
        <w:t>A Fortune 50 US-based commercial bank operating a 270 kW data center facility in Japan trimmed an equivalent of 5.5% of its annual energy costs by implementing Ho</w:t>
      </w:r>
      <w:r>
        <w:t>tLok products to manage rack airflow, according to an Upsite Technologies case analysis.</w:t>
      </w:r>
    </w:p>
    <w:p w:rsidR="00FC3617" w:rsidRDefault="0014512D">
      <w:pPr>
        <w:keepNext/>
        <w:pBdr>
          <w:left w:val="single" w:sz="24" w:space="6" w:color="52B69A"/>
        </w:pBdr>
        <w:spacing w:before="120" w:after="60"/>
        <w:ind w:left="170"/>
      </w:pPr>
      <w:r>
        <w:rPr>
          <w:b/>
          <w:color w:val="0F172A"/>
          <w:sz w:val="20"/>
        </w:rPr>
        <w:t>Rack &amp; Enclosure Density — scored 89/100</w:t>
      </w:r>
    </w:p>
    <w:p w:rsidR="00FC3617" w:rsidRDefault="0014512D">
      <w:pPr>
        <w:keepNext/>
        <w:pBdr>
          <w:left w:val="single" w:sz="24" w:space="6" w:color="52B69A"/>
        </w:pBdr>
        <w:ind w:left="170"/>
      </w:pPr>
      <w:r>
        <w:t>The rating rests on the company's provision of complementary rack-level power distribution units and modular aisle containment</w:t>
      </w:r>
      <w:r>
        <w:t xml:space="preserve"> architectures designed to optimize high-density server environments. Based on primary research, the company's manufacturing of structural server racks or integrated enclosures can be estimated as nonexistent, as it designs attachments for standard server </w:t>
      </w:r>
      <w:r>
        <w:t>racks rather than full structures, based on its AisleLok containment and HotLok blanking panels that fit standard openings.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AisleLok Rigid Containment system includes components like a magnetically attached Ra</w:t>
      </w:r>
      <w:r>
        <w:t>ck Top Ceiling and a Rack Top Chimney that can be reconfigured as a data center evolves to help control airflow and support higher rack densities.</w:t>
      </w:r>
    </w:p>
    <w:p w:rsidR="00FC3617" w:rsidRDefault="0014512D">
      <w:pPr>
        <w:pStyle w:val="ListBullet"/>
        <w:spacing w:after="60"/>
        <w:ind w:left="510"/>
      </w:pPr>
      <w:r>
        <w:t>The company reports that its PowerLok rack Power Distribution Unit (rPDU) line includes over 1,600 build-to-o</w:t>
      </w:r>
      <w:r>
        <w:t>rder models rated from 120V to 415V and up to 125 Amps, designed with a slim 2.18" x 2" profile to maximize receptacle density within IT equipment racks.</w:t>
      </w:r>
    </w:p>
    <w:p w:rsidR="00FC3617" w:rsidRDefault="0014512D">
      <w:pPr>
        <w:keepNext/>
        <w:pBdr>
          <w:left w:val="single" w:sz="24" w:space="6" w:color="52B69A"/>
        </w:pBdr>
        <w:spacing w:before="120" w:after="60"/>
        <w:ind w:left="170"/>
      </w:pPr>
      <w:r>
        <w:rPr>
          <w:b/>
          <w:color w:val="0F172A"/>
          <w:sz w:val="20"/>
        </w:rPr>
        <w:t>DCIM &amp; Management Software — scored 79/100</w:t>
      </w:r>
    </w:p>
    <w:p w:rsidR="00FC3617" w:rsidRDefault="0014512D">
      <w:pPr>
        <w:keepNext/>
        <w:pBdr>
          <w:left w:val="single" w:sz="24" w:space="6" w:color="52B69A"/>
        </w:pBdr>
        <w:ind w:left="170"/>
      </w:pPr>
      <w:r>
        <w:t>The rating reflects the company's specialized environmental</w:t>
      </w:r>
      <w:r>
        <w:t xml:space="preserve"> monitoring point solutions and its strategic reliance on third-party partnerships for broader software features. Based on primary research, the company's proprietary standalone DCIM platform with BMS integration can be estimated as limited to basic enviro</w:t>
      </w:r>
      <w:r>
        <w:t>nmental monitoring, as full predictive software is provided via third-party partnerships, based on its EnergyLok EMS 300 system and master distribution agreement with EkkoSense.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provides the EnergyLok Environmental Monitoring </w:t>
      </w:r>
      <w:r>
        <w:t>System 300 (EMS 300), a wireless hardware and software point solution designed to track environmental conditions in real time to optimize cooling efficiency, as documented in a report by the Lawrence Berkeley National Laboratory.</w:t>
      </w:r>
    </w:p>
    <w:p w:rsidR="00FC3617" w:rsidRDefault="0014512D">
      <w:pPr>
        <w:pStyle w:val="ListBullet"/>
        <w:spacing w:after="60"/>
        <w:ind w:left="510"/>
      </w:pPr>
      <w:r>
        <w:t>The company entered into a</w:t>
      </w:r>
      <w:r>
        <w:t xml:space="preserve"> master reseller and hardware distribution agreement with EkkoSense in October 2019 to deliver EkkoSense's SaaS DCIM-class thermal visualization and monitoring software to the North American market.</w:t>
      </w:r>
    </w:p>
    <w:p w:rsidR="00FC3617" w:rsidRDefault="0014512D">
      <w:pPr>
        <w:keepNext/>
        <w:pBdr>
          <w:left w:val="single" w:sz="24" w:space="6" w:color="52B69A"/>
        </w:pBdr>
        <w:spacing w:before="120" w:after="60"/>
        <w:ind w:left="170"/>
      </w:pPr>
      <w:r>
        <w:rPr>
          <w:b/>
          <w:color w:val="0F172A"/>
          <w:sz w:val="20"/>
        </w:rPr>
        <w:t>AI &amp; Sustainability Innovation — scored 65/100</w:t>
      </w:r>
    </w:p>
    <w:p w:rsidR="00FC3617" w:rsidRDefault="0014512D">
      <w:pPr>
        <w:keepNext/>
        <w:pBdr>
          <w:left w:val="single" w:sz="24" w:space="6" w:color="52B69A"/>
        </w:pBdr>
        <w:ind w:left="170"/>
      </w:pPr>
      <w:r>
        <w:t>The evalua</w:t>
      </w:r>
      <w:r>
        <w:t>tion rests on the company's verified participation in green building networks and its patented hardware designed for physical airflow optimization. Based on primary research, the company's proprietary AI integrations and carbon tracking software can be est</w:t>
      </w:r>
      <w:r>
        <w:t xml:space="preserve">imated as nonexistent, relying instead on its strategic partnership for AI-driven </w:t>
      </w:r>
      <w:r>
        <w:lastRenderedPageBreak/>
        <w:t>thermal optimization software, based on its master distribution partnership with EkkoSense for EkkoSoft Critical software.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Upsite Technologies joined the Gr</w:t>
      </w:r>
      <w:r>
        <w:t>een Building Initiative (GBI) in December 2024 to align its data center airflow management and cooling optimization products with green building certification frameworks and net-zero carbon emission targets.</w:t>
      </w:r>
    </w:p>
    <w:p w:rsidR="00FC3617" w:rsidRDefault="0014512D">
      <w:pPr>
        <w:pStyle w:val="ListBullet"/>
        <w:spacing w:after="60"/>
        <w:ind w:left="510"/>
      </w:pPr>
      <w:r>
        <w:t>The company holds patented data center cooling i</w:t>
      </w:r>
      <w:r>
        <w:t>nfrastructure technology, specifically US Patent 9605459 for its AisleLok Modular Containment product line, which optimizes energy efficiency by preventing bypass airflow.</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68/100</w:t>
      </w:r>
    </w:p>
    <w:p w:rsidR="00FC3617" w:rsidRDefault="0014512D">
      <w:pPr>
        <w:keepNext/>
        <w:pBdr>
          <w:left w:val="single" w:sz="24" w:space="6" w:color="52B69A"/>
        </w:pBdr>
        <w:ind w:left="170"/>
      </w:pPr>
      <w:r>
        <w:t xml:space="preserve">We verified </w:t>
      </w:r>
      <w:r>
        <w:t>that Upsite Technologies, Inc. discusses general industry trends regarding hyperscale shifts and cloud service provider power demands on its official company blog, but it does not disclose any named projects or specific clients in this sector. Based on pri</w:t>
      </w:r>
      <w:r>
        <w:t>mary research, the company's identities of hyperscale cloud customers can be estimated as limited to a few markets, based on its focus on colocation facilities, traditional data centers, and general market references.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Global</w:t>
      </w:r>
      <w:r>
        <w:rPr>
          <w:b/>
          <w:color w:val="0F172A"/>
          <w:sz w:val="20"/>
        </w:rPr>
        <w:t xml:space="preserve"> Revenue &amp; Market Share — scored 83/100</w:t>
      </w:r>
    </w:p>
    <w:p w:rsidR="00FC3617" w:rsidRDefault="0014512D">
      <w:pPr>
        <w:keepNext/>
        <w:pBdr>
          <w:left w:val="single" w:sz="24" w:space="6" w:color="52B69A"/>
        </w:pBdr>
        <w:ind w:left="170"/>
      </w:pPr>
      <w:r>
        <w:t>The assessment rests on the verified history of regional revenue growth awards for the company's data center airflow products and its established global distribution channels. Based on primary research, the company's</w:t>
      </w:r>
      <w:r>
        <w:t xml:space="preserve"> annual revenue and market share can be estimated as strong, in line with leading vendors, based on its recognition as a top 40 revenue generating technology company and status as the global leader in airflow management.</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Technology Ventur</w:t>
      </w:r>
      <w:r>
        <w:t>es Corporation awarded Upsite Technologies, Inc. the New Mexico Flying 40 award based on the company's successful revenue growth for its KoldLok grommets, HotLok server rack products, and AisleLok airflow management lines.</w:t>
      </w:r>
    </w:p>
    <w:p w:rsidR="00FC3617" w:rsidRDefault="0014512D">
      <w:pPr>
        <w:pStyle w:val="ListBullet"/>
        <w:spacing w:after="60"/>
        <w:ind w:left="510"/>
      </w:pPr>
      <w:r>
        <w:t xml:space="preserve">Upsite Technologies, Inc. </w:t>
      </w:r>
      <w:r>
        <w:t>expanded its regional product availability to the Asian market by securing a distribution partnership with Data Clean Asia to deploy its physical infrastructure and cooling optimization systems.</w:t>
      </w:r>
    </w:p>
    <w:p w:rsidR="00FC3617" w:rsidRDefault="0014512D">
      <w:pPr>
        <w:keepNext/>
        <w:pBdr>
          <w:left w:val="single" w:sz="24" w:space="6" w:color="52B69A"/>
        </w:pBdr>
        <w:spacing w:before="120" w:after="60"/>
        <w:ind w:left="170"/>
      </w:pPr>
      <w:r>
        <w:rPr>
          <w:b/>
          <w:color w:val="0F172A"/>
          <w:sz w:val="20"/>
        </w:rPr>
        <w:t>Installed Base &amp; Deployments — scored 70/100</w:t>
      </w:r>
    </w:p>
    <w:p w:rsidR="00FC3617" w:rsidRDefault="0014512D">
      <w:pPr>
        <w:keepNext/>
        <w:pBdr>
          <w:left w:val="single" w:sz="24" w:space="6" w:color="52B69A"/>
        </w:pBdr>
        <w:ind w:left="170"/>
      </w:pPr>
      <w:r>
        <w:t>The evaluation i</w:t>
      </w:r>
      <w:r>
        <w:t xml:space="preserve">s based on confirmed individual project deployments across federal and commercial data centers demonstrating the real-world application of the company's airflow management solutions. Based on primary research, the company's total global cumulative product </w:t>
      </w:r>
      <w:r>
        <w:t>sales can be estimated as high, based on its 25 years of airflow management innovation and pioneering KoldLok raised floor grommet product lines.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Sandia National Labs deployed Upsite Technologies' AisleLok Modular Containment bi-direction</w:t>
      </w:r>
      <w:r>
        <w:t>al doors to resolve hot-spot areas across its data center facility, as reported by Upsite Technologies.</w:t>
      </w:r>
    </w:p>
    <w:p w:rsidR="00FC3617" w:rsidRDefault="0014512D">
      <w:pPr>
        <w:pStyle w:val="ListBullet"/>
        <w:spacing w:after="60"/>
        <w:ind w:left="510"/>
      </w:pPr>
      <w:r>
        <w:t>The Amadeus data center facility deployed 130 KoldLok Grommets from Upsite Technologies to seal cable openings and eliminate bypass airflow, according t</w:t>
      </w:r>
      <w:r>
        <w:t>o an Upsite Technologies case study.</w:t>
      </w:r>
    </w:p>
    <w:p w:rsidR="00FC3617" w:rsidRDefault="0014512D">
      <w:pPr>
        <w:keepNext/>
        <w:pBdr>
          <w:left w:val="single" w:sz="24" w:space="6" w:color="52B69A"/>
        </w:pBdr>
        <w:spacing w:before="120" w:after="60"/>
        <w:ind w:left="170"/>
      </w:pPr>
      <w:r>
        <w:rPr>
          <w:b/>
          <w:color w:val="0F172A"/>
          <w:sz w:val="20"/>
        </w:rPr>
        <w:t>Strategic Partnerships &amp; Channels — scored 83/100</w:t>
      </w:r>
    </w:p>
    <w:p w:rsidR="00FC3617" w:rsidRDefault="0014512D">
      <w:pPr>
        <w:keepNext/>
        <w:pBdr>
          <w:left w:val="single" w:sz="24" w:space="6" w:color="52B69A"/>
        </w:pBdr>
        <w:ind w:left="170"/>
      </w:pPr>
      <w:r>
        <w:t>We verified that the company maintains an active global channel footprint with major IT infrastructure distributors such as Anixter and regional partners across North Am</w:t>
      </w:r>
      <w:r>
        <w:t>erica, Europe, APAC, and LATAM. Based on primary research, the company's channel partner program revenue metrics can be estimated as broad across the major global regions, based on its select network of partners across the United States, Latin America, EME</w:t>
      </w:r>
      <w:r>
        <w:t>A, and APAC markets.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Upsite Technologies entered into a hardware distribution and master reseller agreement with data center software vendor EkkoSense in October 2019 to deliver joint visualization and thermal optimization solutions to th</w:t>
      </w:r>
      <w:r>
        <w:t>e North American market, according to an announcement by EkkoSense.</w:t>
      </w:r>
    </w:p>
    <w:p w:rsidR="00FC3617" w:rsidRDefault="0014512D">
      <w:pPr>
        <w:pStyle w:val="ListBullet"/>
        <w:spacing w:after="60"/>
        <w:ind w:left="510"/>
      </w:pPr>
      <w:r>
        <w:t>Upsite Technologies established a strategic partnership with K&amp;N Global Filtration in July 2026 to expand its data center cooling portfolio with high-performance reusable air filtration so</w:t>
      </w:r>
      <w:r>
        <w:t>lutions, according to a press release by Upsite Technologies.</w:t>
      </w:r>
    </w:p>
    <w:p w:rsidR="00FC3617" w:rsidRDefault="0014512D">
      <w:pPr>
        <w:keepNext/>
        <w:pBdr>
          <w:left w:val="single" w:sz="24" w:space="6" w:color="52B69A"/>
        </w:pBdr>
        <w:spacing w:before="120" w:after="60"/>
        <w:ind w:left="170"/>
      </w:pPr>
      <w:r>
        <w:rPr>
          <w:b/>
          <w:color w:val="0F172A"/>
          <w:sz w:val="20"/>
        </w:rPr>
        <w:t>R&amp;D Investment &amp; Financial Strength — scored 65/100</w:t>
      </w:r>
    </w:p>
    <w:p w:rsidR="00FC3617" w:rsidRDefault="0014512D">
      <w:pPr>
        <w:keepNext/>
        <w:pBdr>
          <w:left w:val="single" w:sz="24" w:space="6" w:color="52B69A"/>
        </w:pBdr>
        <w:ind w:left="170"/>
      </w:pPr>
      <w:r>
        <w:t xml:space="preserve">We verified that the company's financial health and operational stability are supported by its corporate integration as a division of Aquila, </w:t>
      </w:r>
      <w:r>
        <w:t xml:space="preserve">Inc. Based on primary research, the company's annual research and development spending can be </w:t>
      </w:r>
      <w:r>
        <w:lastRenderedPageBreak/>
        <w:t>estimated as growing steadily, based on its 25 years of advancing data center cooling efficiency, applied thermal science, and patented sealing innovations.</w:t>
      </w:r>
    </w:p>
    <w:p w:rsidR="00FC3617" w:rsidRDefault="0014512D">
      <w:pPr>
        <w:keepNext/>
        <w:spacing w:after="40"/>
        <w:ind w:left="170"/>
      </w:pPr>
      <w:r>
        <w:rPr>
          <w:b/>
          <w:caps/>
          <w:color w:val="64748B"/>
          <w:sz w:val="15"/>
        </w:rPr>
        <w:t>Suppo</w:t>
      </w:r>
      <w:r>
        <w:rPr>
          <w:b/>
          <w:caps/>
          <w:color w:val="64748B"/>
          <w:sz w:val="15"/>
        </w:rPr>
        <w:t>rting points</w:t>
      </w:r>
    </w:p>
    <w:p w:rsidR="00FC3617" w:rsidRDefault="0014512D">
      <w:pPr>
        <w:pStyle w:val="ListBullet"/>
        <w:spacing w:after="60"/>
        <w:ind w:left="510"/>
      </w:pPr>
      <w:r>
        <w:t>Upsite Technologies was acquired in 2018 by Aquila, Inc., an employee-owned technology services firm, establishing financial backing from a parent entity with over three decades of experience in IT services.</w:t>
      </w:r>
    </w:p>
    <w:p w:rsidR="00FC3617" w:rsidRDefault="0014512D">
      <w:pPr>
        <w:pStyle w:val="Heading2"/>
        <w:pageBreakBefore/>
        <w:shd w:val="clear" w:color="auto" w:fill="002857"/>
        <w:spacing w:after="0"/>
      </w:pPr>
      <w:bookmarkStart w:id="23" w:name="_Toc242935693"/>
      <w:r>
        <w:lastRenderedPageBreak/>
        <w:t>Salicru, S.A.</w:t>
      </w:r>
      <w:bookmarkEnd w:id="23"/>
    </w:p>
    <w:p w:rsidR="00FC3617" w:rsidRDefault="0014512D">
      <w:pPr>
        <w:shd w:val="clear" w:color="auto" w:fill="002857"/>
        <w:spacing w:after="200"/>
      </w:pPr>
      <w:r>
        <w:rPr>
          <w:color w:val="CBD5E1"/>
          <w:sz w:val="18"/>
        </w:rPr>
        <w:t xml:space="preserve">Salicru   </w:t>
      </w:r>
      <w:r>
        <w:rPr>
          <w:color w:val="A7F3D0"/>
          <w:sz w:val="18"/>
        </w:rPr>
        <w:t xml:space="preserve">● </w:t>
      </w:r>
      <w:r>
        <w:rPr>
          <w:b/>
          <w:color w:val="FFFFFF"/>
          <w:sz w:val="18"/>
        </w:rPr>
        <w:t xml:space="preserve">Evolving </w:t>
      </w:r>
      <w:r>
        <w:rPr>
          <w:b/>
          <w:color w:val="FFFFFF"/>
          <w:sz w:val="18"/>
        </w:rPr>
        <w:t>Players</w:t>
      </w:r>
      <w:r>
        <w:rPr>
          <w:color w:val="CBD5E1"/>
          <w:sz w:val="18"/>
        </w:rPr>
        <w:t xml:space="preserve">     X </w:t>
      </w:r>
      <w:r>
        <w:rPr>
          <w:b/>
          <w:color w:val="FFFFFF"/>
          <w:sz w:val="20"/>
        </w:rPr>
        <w:t>79</w:t>
      </w:r>
      <w:r>
        <w:rPr>
          <w:color w:val="CBD5E1"/>
          <w:sz w:val="18"/>
        </w:rPr>
        <w:t xml:space="preserve">     Y </w:t>
      </w:r>
      <w:r>
        <w:rPr>
          <w:b/>
          <w:color w:val="FFFFFF"/>
          <w:sz w:val="20"/>
        </w:rPr>
        <w:t>73</w:t>
      </w:r>
      <w:r>
        <w:rPr>
          <w:color w:val="CBD5E1"/>
          <w:sz w:val="18"/>
        </w:rPr>
        <w:t xml:space="preserve">     Overall </w:t>
      </w:r>
      <w:r>
        <w:rPr>
          <w:b/>
          <w:color w:val="FFFFFF"/>
          <w:sz w:val="20"/>
        </w:rPr>
        <w:t>76</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65/100</w:t>
      </w:r>
    </w:p>
    <w:p w:rsidR="00FC3617" w:rsidRDefault="0014512D">
      <w:pPr>
        <w:keepNext/>
        <w:pBdr>
          <w:left w:val="single" w:sz="24" w:space="6" w:color="52B69A"/>
        </w:pBdr>
        <w:ind w:left="170"/>
      </w:pPr>
      <w:r>
        <w:t>Based on primary research, the company's server processing benchmarks or storage throughput performance metrics can be estimated as non-applica</w:t>
      </w:r>
      <w:r>
        <w:t>ble to power infrastructure, based on its complete omission from its global product catalogues and case studies focusing entirely on critical energy protection systems.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Efficiency — scored 82/100</w:t>
      </w:r>
    </w:p>
    <w:p w:rsidR="00FC3617" w:rsidRDefault="0014512D">
      <w:pPr>
        <w:keepNext/>
        <w:pBdr>
          <w:left w:val="single" w:sz="24" w:space="6" w:color="52B69A"/>
        </w:pBdr>
        <w:ind w:left="170"/>
      </w:pPr>
      <w:r>
        <w:t>Our rating r</w:t>
      </w:r>
      <w:r>
        <w:t>ests on the company's documented implementation of modular power backup architectures at the Oxigen data center and its self-reported product efficiencies. Based on primary research, the company's power usage effectiveness (PUE) impact figures or certifica</w:t>
      </w:r>
      <w:r>
        <w:t>tions such as ENERGY STAR for its enterprise UPS can be estimated as strong, in line with leading vendors, based on its compliance with the European Commission Code of Conduct for UPS systems placing its latest generation systems in the Elite category.</w:t>
      </w:r>
    </w:p>
    <w:p w:rsidR="00FC3617" w:rsidRDefault="0014512D">
      <w:pPr>
        <w:keepNext/>
        <w:spacing w:after="40"/>
        <w:ind w:left="170"/>
      </w:pPr>
      <w:r>
        <w:rPr>
          <w:b/>
          <w:caps/>
          <w:color w:val="64748B"/>
          <w:sz w:val="15"/>
        </w:rPr>
        <w:t>Sup</w:t>
      </w:r>
      <w:r>
        <w:rPr>
          <w:b/>
          <w:caps/>
          <w:color w:val="64748B"/>
          <w:sz w:val="15"/>
        </w:rPr>
        <w:t>porting points</w:t>
      </w:r>
    </w:p>
    <w:p w:rsidR="00FC3617" w:rsidRDefault="0014512D">
      <w:pPr>
        <w:pStyle w:val="ListBullet"/>
        <w:spacing w:after="60"/>
        <w:ind w:left="510"/>
      </w:pPr>
      <w:r>
        <w:t>Salicru deployed six of its modular SLC ADAPT2 online double-conversion UPS units equipped with lithium-ion batteries to provide power backup for the 4 MW Oxigen data centre facility in Sant Cugat del Vallès, Barcelona, according to a corpor</w:t>
      </w:r>
      <w:r>
        <w:t>ate announcement.</w:t>
      </w:r>
    </w:p>
    <w:p w:rsidR="00FC3617" w:rsidRDefault="0014512D">
      <w:pPr>
        <w:pStyle w:val="ListBullet"/>
        <w:spacing w:after="60"/>
        <w:ind w:left="510"/>
      </w:pPr>
      <w:r>
        <w:t>The company reports that its latest generation UPS models comply with the European Commission's energy efficiency Code of Conduct guidelines, delivering operational efficiencies ranging between 96% and 99% depending on the active configur</w:t>
      </w:r>
      <w:r>
        <w:t>ation.</w:t>
      </w:r>
    </w:p>
    <w:p w:rsidR="00FC3617" w:rsidRDefault="0014512D">
      <w:pPr>
        <w:keepNext/>
        <w:pBdr>
          <w:left w:val="single" w:sz="24" w:space="6" w:color="52B69A"/>
        </w:pBdr>
        <w:spacing w:before="120" w:after="60"/>
        <w:ind w:left="170"/>
      </w:pPr>
      <w:r>
        <w:rPr>
          <w:b/>
          <w:color w:val="0F172A"/>
          <w:sz w:val="20"/>
        </w:rPr>
        <w:t>Rack &amp; Enclosure Density — scored 89/100</w:t>
      </w:r>
    </w:p>
    <w:p w:rsidR="00FC3617" w:rsidRDefault="0014512D">
      <w:pPr>
        <w:keepNext/>
        <w:pBdr>
          <w:left w:val="single" w:sz="24" w:space="6" w:color="52B69A"/>
        </w:pBdr>
        <w:ind w:left="170"/>
      </w:pPr>
      <w:r>
        <w:t>The evaluation rests on the company's verified capability to manufacture space-optimized, high-density modular UPS hardware that integrates natively inside data center racks up to 500 kW per cabinet. Based on</w:t>
      </w:r>
      <w:r>
        <w:t xml:space="preserve"> primary research, the company's manufacturing or provision of standalone structural server racks, physical security accessories, or can be estimated as non-existent beyond convertible power enclosures, based on its structural design descriptions confined </w:t>
      </w:r>
      <w:r>
        <w:t>strictly to standard rackmount or tower configurations for its own electronic modules.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that its SLC ADAPT2 modular power protection systems support high-density configurations of up to 500 kW per cabinet, with the </w:t>
      </w:r>
      <w:r>
        <w:t>capability to scale vertically up to 12 modules per cabinet.</w:t>
      </w:r>
    </w:p>
    <w:p w:rsidR="00FC3617" w:rsidRDefault="0014512D">
      <w:pPr>
        <w:pStyle w:val="ListBullet"/>
        <w:spacing w:after="60"/>
        <w:ind w:left="510"/>
      </w:pPr>
      <w:r>
        <w:t>The company launched the SLC CUBE 4 R, an online double-conversion three-phase UPS system in a 19-inch rackmount format with power ratings ranging from 7.5 to 20 kVA, designed to require zero add</w:t>
      </w:r>
      <w:r>
        <w:t>itional footprint within standard data center rack cabinet configurations.</w:t>
      </w:r>
    </w:p>
    <w:p w:rsidR="00FC3617" w:rsidRDefault="0014512D">
      <w:pPr>
        <w:keepNext/>
        <w:pBdr>
          <w:left w:val="single" w:sz="24" w:space="6" w:color="52B69A"/>
        </w:pBdr>
        <w:spacing w:before="120" w:after="60"/>
        <w:ind w:left="170"/>
      </w:pPr>
      <w:r>
        <w:rPr>
          <w:b/>
          <w:color w:val="0F172A"/>
          <w:sz w:val="20"/>
        </w:rPr>
        <w:t>DCIM &amp; Management Software — scored 86/100</w:t>
      </w:r>
    </w:p>
    <w:p w:rsidR="00FC3617" w:rsidRDefault="0014512D">
      <w:pPr>
        <w:keepNext/>
        <w:pBdr>
          <w:left w:val="single" w:sz="24" w:space="6" w:color="52B69A"/>
        </w:pBdr>
        <w:ind w:left="170"/>
      </w:pPr>
      <w:r>
        <w:t>We verified that Salicru's management software capabilities rest on dedicated hardware-monitoring platforms designed to track, log, and re</w:t>
      </w:r>
      <w:r>
        <w:t>motely control its own power infrastructure systems. Based on primary research, the company's a comprehensive data center infrastructure management (DCIM) suite that integrates digital twin features, can be estimated as limited to cloud monitoring and inte</w:t>
      </w:r>
      <w:r>
        <w:t>gration interfaces, based on its Nimbus cloud monitoring platform and compatibility protocols designed for integration into external facility management platforms.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Salicru offers the NIMBUS remote monitoring platform, consisting of embedd</w:t>
      </w:r>
      <w:r>
        <w:t>ed Linux network cards and the NIMBUS Cloud application, which utilizes MQTT protocols and InfluxDB to deliver real-time visibility, remote battery testing, and push notification alert logging for connected UPS hardware, as outlined on the Salicru NIMBUS O</w:t>
      </w:r>
      <w:r>
        <w:t>verview Page.</w:t>
      </w:r>
    </w:p>
    <w:p w:rsidR="00FC3617" w:rsidRDefault="0014512D">
      <w:pPr>
        <w:pStyle w:val="ListBullet"/>
        <w:spacing w:after="60"/>
        <w:ind w:left="510"/>
      </w:pPr>
      <w:r>
        <w:t xml:space="preserve">The company provides its proprietary UNMS II (UPS Network Management System) software tool, which serves as a centralized supervision and management layer capable of monitoring multiple UPS units across a local area network, as documented on </w:t>
      </w:r>
      <w:r>
        <w:t>the Salicru UNMS II Platform Page.</w:t>
      </w:r>
    </w:p>
    <w:p w:rsidR="00FC3617" w:rsidRDefault="0014512D">
      <w:pPr>
        <w:keepNext/>
        <w:pBdr>
          <w:left w:val="single" w:sz="24" w:space="6" w:color="52B69A"/>
        </w:pBdr>
        <w:spacing w:before="120" w:after="60"/>
        <w:ind w:left="170"/>
      </w:pPr>
      <w:r>
        <w:rPr>
          <w:b/>
          <w:color w:val="0F172A"/>
          <w:sz w:val="20"/>
        </w:rPr>
        <w:t>AI &amp; Sustainability Innovation — scored 75/100</w:t>
      </w:r>
    </w:p>
    <w:p w:rsidR="00FC3617" w:rsidRDefault="0014512D">
      <w:pPr>
        <w:keepNext/>
        <w:pBdr>
          <w:left w:val="single" w:sz="24" w:space="6" w:color="52B69A"/>
        </w:pBdr>
        <w:ind w:left="170"/>
      </w:pPr>
      <w:r>
        <w:t>The evaluation rests on verified data center deployments of the company's energy-efficient modular UPS lines paired with lithium-ion batteries for advanced condition monitori</w:t>
      </w:r>
      <w:r>
        <w:t xml:space="preserve">ng. Based on primary research, the company's ai-driven algorithmic optimizations, predictive maintenance software platforms, or green industry can be estimated as evolving </w:t>
      </w:r>
      <w:r>
        <w:lastRenderedPageBreak/>
        <w:t>steadily around smart efficiency modes, based on its advanced Smart-ECO mode operati</w:t>
      </w:r>
      <w:r>
        <w:t>on and remote technical maintenance services designed to optimize system workflows.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Salicru deployed its SLC ADAPT2 modular UPS systems to protect the IT infrastructure and auxiliary services at the Oxigen data centre in Sant Cugat del Va</w:t>
      </w:r>
      <w:r>
        <w:t>llès, Spain, incorporating high-efficiency systems and lithium-ion batteries that provide real-time status monitoring for responsive incident management.</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68/100</w:t>
      </w:r>
    </w:p>
    <w:p w:rsidR="00FC3617" w:rsidRDefault="0014512D">
      <w:pPr>
        <w:keepNext/>
        <w:pBdr>
          <w:left w:val="single" w:sz="24" w:space="6" w:color="52B69A"/>
        </w:pBdr>
        <w:ind w:left="170"/>
      </w:pPr>
      <w:r>
        <w:t>Based on primary research, the co</w:t>
      </w:r>
      <w:r>
        <w:t>mpany's named provider contracts can be estimated as limited to regional telecom operators and localized installations, based on its participation in Spain DC and focus on regional data center solutions.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supplying six </w:t>
      </w:r>
      <w:r>
        <w:t>SLC ADAPT2 modular uninterruptible power supply (UPS) systems that allow configurations of up to 500 kW per cabinet to safeguard the Oxigen Data Center facility in Barcelona, Spain, which provides colocation and hybrid cloud services.</w:t>
      </w:r>
    </w:p>
    <w:p w:rsidR="00FC3617" w:rsidRDefault="0014512D">
      <w:pPr>
        <w:keepNext/>
        <w:pBdr>
          <w:left w:val="single" w:sz="24" w:space="6" w:color="52B69A"/>
        </w:pBdr>
        <w:spacing w:before="120" w:after="60"/>
        <w:ind w:left="170"/>
      </w:pPr>
      <w:r>
        <w:rPr>
          <w:b/>
          <w:color w:val="0F172A"/>
          <w:sz w:val="20"/>
        </w:rPr>
        <w:t>Global Revenue &amp; Mark</w:t>
      </w:r>
      <w:r>
        <w:rPr>
          <w:b/>
          <w:color w:val="0F172A"/>
          <w:sz w:val="20"/>
        </w:rPr>
        <w:t>et Share — scored 82/100</w:t>
      </w:r>
    </w:p>
    <w:p w:rsidR="00FC3617" w:rsidRDefault="0014512D">
      <w:pPr>
        <w:keepNext/>
        <w:pBdr>
          <w:left w:val="single" w:sz="24" w:space="6" w:color="52B69A"/>
        </w:pBdr>
        <w:ind w:left="170"/>
      </w:pPr>
      <w:r>
        <w:t>Our evaluation rests on the company's overall reported financial turnover and its documented regional market share strength in Spain. Based on primary research, the company's data center segment market share can be estimated as foc</w:t>
      </w:r>
      <w:r>
        <w:t>used primarily on European and edge computing niches, based on its status as a regional player compared to leading global vendors.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Salicru reported a total corporate turnover of 101 million euros for the fiscal year 2024, reflecting an in</w:t>
      </w:r>
      <w:r>
        <w:t>crease of approximately 9% over the prior year.</w:t>
      </w:r>
    </w:p>
    <w:p w:rsidR="00FC3617" w:rsidRDefault="0014512D">
      <w:pPr>
        <w:pStyle w:val="ListBullet"/>
        <w:spacing w:after="60"/>
        <w:ind w:left="510"/>
      </w:pPr>
      <w:r>
        <w:t>Salicru has achieved a domestic market share of over 25% for uninterruptible power supply (UPS) systems in Spain.</w:t>
      </w:r>
    </w:p>
    <w:p w:rsidR="00FC3617" w:rsidRDefault="0014512D">
      <w:pPr>
        <w:keepNext/>
        <w:pBdr>
          <w:left w:val="single" w:sz="24" w:space="6" w:color="52B69A"/>
        </w:pBdr>
        <w:spacing w:before="120" w:after="60"/>
        <w:ind w:left="170"/>
      </w:pPr>
      <w:r>
        <w:rPr>
          <w:b/>
          <w:color w:val="0F172A"/>
          <w:sz w:val="20"/>
        </w:rPr>
        <w:t>Installed Base &amp; Deployments — scored 65/100</w:t>
      </w:r>
    </w:p>
    <w:p w:rsidR="00FC3617" w:rsidRDefault="0014512D">
      <w:pPr>
        <w:keepNext/>
        <w:pBdr>
          <w:left w:val="single" w:sz="24" w:space="6" w:color="52B69A"/>
        </w:pBdr>
        <w:ind w:left="170"/>
      </w:pPr>
      <w:r>
        <w:t xml:space="preserve">The evaluation rests on documented modular and </w:t>
      </w:r>
      <w:r>
        <w:t>standalone double-conversion UPS deployments across specific regional data centers like the Oxigen facility in Spain and the Echelon project in Ireland. Based on primary research, the company's product shipments and retention can be estimated as growing st</w:t>
      </w:r>
      <w:r>
        <w:t>eadily across medium-power facilities, based on its introduction of IoT-integrated modular UPS lines and expansion into transportation grids.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Salicru reported the completed delivery of 10 SLC X-PERT 160 kVA UPS systems for the new Echelon</w:t>
      </w:r>
      <w:r>
        <w:t>-DUB10 data centre facility in Ireland via its design and installation partner Ardilaun Electrical Services (AES LTD).</w:t>
      </w:r>
    </w:p>
    <w:p w:rsidR="00FC3617" w:rsidRDefault="0014512D">
      <w:pPr>
        <w:pStyle w:val="ListBullet"/>
        <w:spacing w:after="60"/>
        <w:ind w:left="510"/>
      </w:pPr>
      <w:r>
        <w:t xml:space="preserve">Salicru reported that six of its SLC ADAPT2 modular UPS units with lithium-ion batteries are deployed to provide power backup for the IT </w:t>
      </w:r>
      <w:r>
        <w:t>infrastructure and ancillary services at the 4 MW Oxigen data centre in Sant Cugat del Vallès, Barcelona.</w:t>
      </w:r>
    </w:p>
    <w:p w:rsidR="00FC3617" w:rsidRDefault="0014512D">
      <w:pPr>
        <w:keepNext/>
        <w:pBdr>
          <w:left w:val="single" w:sz="24" w:space="6" w:color="52B69A"/>
        </w:pBdr>
        <w:spacing w:before="120" w:after="60"/>
        <w:ind w:left="170"/>
      </w:pPr>
      <w:r>
        <w:rPr>
          <w:b/>
          <w:color w:val="0F172A"/>
          <w:sz w:val="20"/>
        </w:rPr>
        <w:t>Strategic Partnerships &amp; Channels — scored 74/100</w:t>
      </w:r>
    </w:p>
    <w:p w:rsidR="00FC3617" w:rsidRDefault="0014512D">
      <w:pPr>
        <w:keepNext/>
        <w:pBdr>
          <w:left w:val="single" w:sz="24" w:space="6" w:color="52B69A"/>
        </w:pBdr>
        <w:ind w:left="170"/>
      </w:pPr>
      <w:r>
        <w:t>The company's ranking rests on its established regional distribution partnerships with global IT and</w:t>
      </w:r>
      <w:r>
        <w:t xml:space="preserve"> specialized cooling infrastructure providers like Ingram Micro and Stulz México to capture data center opportunities. Based on primary research, the company's integrations and OEM agreements can be estimated as broad across primary electrical components a</w:t>
      </w:r>
      <w:r>
        <w:t>nd standard network management licenses, based on its licensing partnerships with critical software suppliers like Generex.</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Salicru announced a strategic partnership with Stulz México in March 2025 to distribute its three-phase, modular, </w:t>
      </w:r>
      <w:r>
        <w:t>and scalable uninterruptible power supply (UPS) systems through Stulz México's network of over 100 business partners.</w:t>
      </w:r>
    </w:p>
    <w:p w:rsidR="00FC3617" w:rsidRDefault="0014512D">
      <w:pPr>
        <w:pStyle w:val="ListBullet"/>
        <w:spacing w:after="60"/>
        <w:ind w:left="510"/>
      </w:pPr>
      <w:r>
        <w:t xml:space="preserve">Salicru expanded its distribution agreement with Ingram Micro to cover the Spanish IT channel, focusing on its medium- and high-power UPS </w:t>
      </w:r>
      <w:r>
        <w:t>series.</w:t>
      </w:r>
    </w:p>
    <w:p w:rsidR="00FC3617" w:rsidRDefault="0014512D">
      <w:pPr>
        <w:keepNext/>
        <w:pBdr>
          <w:left w:val="single" w:sz="24" w:space="6" w:color="52B69A"/>
        </w:pBdr>
        <w:spacing w:before="120" w:after="60"/>
        <w:ind w:left="170"/>
      </w:pPr>
      <w:r>
        <w:rPr>
          <w:b/>
          <w:color w:val="0F172A"/>
          <w:sz w:val="20"/>
        </w:rPr>
        <w:lastRenderedPageBreak/>
        <w:t>R&amp;D Investment &amp; Financial Strength — scored 76/100</w:t>
      </w:r>
    </w:p>
    <w:p w:rsidR="00FC3617" w:rsidRDefault="0014512D">
      <w:pPr>
        <w:keepNext/>
        <w:pBdr>
          <w:left w:val="single" w:sz="24" w:space="6" w:color="52B69A"/>
        </w:pBdr>
        <w:ind w:left="170"/>
      </w:pPr>
      <w:r>
        <w:t>The rating rests on the company's self-reported baseline R&amp;D allocation rate and its active technical co-development partnership. Based on primary research, the company's R&amp;D spending and financia</w:t>
      </w:r>
      <w:r>
        <w:t>l credit can be estimated as balanced to maintain regional competitiveness and product line certification, based on its development of specialized low-voltage and high-density UPS systems.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allocating an average of 5% o</w:t>
      </w:r>
      <w:r>
        <w:t>f its annual revenue to research and development investments to support advanced power quality management and modular UPS technologies, according to Salicru international.</w:t>
      </w:r>
    </w:p>
    <w:p w:rsidR="00FC3617" w:rsidRDefault="0014512D">
      <w:pPr>
        <w:pStyle w:val="ListBullet"/>
        <w:spacing w:after="60"/>
        <w:ind w:left="510"/>
      </w:pPr>
      <w:r>
        <w:t>The company reports executing a strategic industrial partnership agreement with cont</w:t>
      </w:r>
      <w:r>
        <w:t>rol engineering firm Cinergia Power Solutions to collaborate closely at both the production and R&amp;D levels, according to Cinergia Power Solutions.</w:t>
      </w:r>
    </w:p>
    <w:p w:rsidR="00FC3617" w:rsidRDefault="0014512D">
      <w:pPr>
        <w:pStyle w:val="Heading2"/>
        <w:pageBreakBefore/>
        <w:shd w:val="clear" w:color="auto" w:fill="002857"/>
        <w:spacing w:after="0"/>
      </w:pPr>
      <w:bookmarkStart w:id="24" w:name="_Toc242935694"/>
      <w:r>
        <w:lastRenderedPageBreak/>
        <w:t>Subzero Engineering (subsidiary of Senneca Holdings)</w:t>
      </w:r>
      <w:bookmarkEnd w:id="24"/>
    </w:p>
    <w:p w:rsidR="00FC3617" w:rsidRDefault="0014512D">
      <w:pPr>
        <w:shd w:val="clear" w:color="auto" w:fill="002857"/>
        <w:spacing w:after="200"/>
      </w:pPr>
      <w:r>
        <w:rPr>
          <w:color w:val="CBD5E1"/>
          <w:sz w:val="18"/>
        </w:rPr>
        <w:t xml:space="preserve">Subzero Engineering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75</w:t>
      </w:r>
      <w:r>
        <w:rPr>
          <w:color w:val="CBD5E1"/>
          <w:sz w:val="18"/>
        </w:rPr>
        <w:t xml:space="preserve">     Overall </w:t>
      </w:r>
      <w:r>
        <w:rPr>
          <w:b/>
          <w:color w:val="FFFFFF"/>
          <w:sz w:val="20"/>
        </w:rPr>
        <w:t>76</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65/100</w:t>
      </w:r>
    </w:p>
    <w:p w:rsidR="00FC3617" w:rsidRDefault="0014512D">
      <w:pPr>
        <w:keepNext/>
        <w:pBdr>
          <w:left w:val="single" w:sz="24" w:space="6" w:color="52B69A"/>
        </w:pBdr>
        <w:ind w:left="170"/>
      </w:pPr>
      <w:r>
        <w:t xml:space="preserve">We verified that the company specializing in airflow containment and structural ceilings does not manufacture or supply servers or storage systems. Based on primary </w:t>
      </w:r>
      <w:r>
        <w:t>research, the company's benchmark metrics can be estimated as high for infrastructure setups, based on its vendor-neutral containment systems accommodating any rack or storage requirement.</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Efficiency — scored</w:t>
      </w:r>
      <w:r>
        <w:rPr>
          <w:b/>
          <w:color w:val="0F172A"/>
          <w:sz w:val="20"/>
        </w:rPr>
        <w:t xml:space="preserve"> 82/100</w:t>
      </w:r>
    </w:p>
    <w:p w:rsidR="00FC3617" w:rsidRDefault="0014512D">
      <w:pPr>
        <w:keepNext/>
        <w:pBdr>
          <w:left w:val="single" w:sz="24" w:space="6" w:color="52B69A"/>
        </w:pBdr>
        <w:ind w:left="170"/>
      </w:pPr>
      <w:r>
        <w:t>We verified that the company's containment architecture delivers demonstrable cooling efficiency and PUE reductions across colocation and enterprise facilities. Based on primary research, the company's efficiency ratings or certifications can be es</w:t>
      </w:r>
      <w:r>
        <w:t>timated as strong, in line with leading vendors, based on its $300 million saved in energy costs and 3 million tonnes carbon dioxide reduction.</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A multi-year infrastructure optimization deployment with client CenturyLink, where Subzero Eng</w:t>
      </w:r>
      <w:r>
        <w:t>ineering implemented hot and cold aisle containment systems to prevent air mixing and significantly reduce cooling energy costs, as reported in a company project case study.</w:t>
      </w:r>
    </w:p>
    <w:p w:rsidR="00FC3617" w:rsidRDefault="0014512D">
      <w:pPr>
        <w:pStyle w:val="ListBullet"/>
        <w:spacing w:after="60"/>
        <w:ind w:left="510"/>
      </w:pPr>
      <w:r>
        <w:t>A standardized colocation deployment with client atNorth, where the provider deplo</w:t>
      </w:r>
      <w:r>
        <w:t>yed Subzero Engineering's Essential Plus+ cold aisle containment architecture to drive cooling predictability and achieve low Power Usage Effectiveness (PUE) targets, as reported in a company-published case study.</w:t>
      </w:r>
    </w:p>
    <w:p w:rsidR="00FC3617" w:rsidRDefault="0014512D">
      <w:pPr>
        <w:keepNext/>
        <w:pBdr>
          <w:left w:val="single" w:sz="24" w:space="6" w:color="52B69A"/>
        </w:pBdr>
        <w:spacing w:before="120" w:after="60"/>
        <w:ind w:left="170"/>
      </w:pPr>
      <w:r>
        <w:rPr>
          <w:b/>
          <w:color w:val="0F172A"/>
          <w:sz w:val="20"/>
        </w:rPr>
        <w:t>Rack &amp; Enclosure Density — scored 91/100</w:t>
      </w:r>
    </w:p>
    <w:p w:rsidR="00FC3617" w:rsidRDefault="0014512D">
      <w:pPr>
        <w:keepNext/>
        <w:pBdr>
          <w:left w:val="single" w:sz="24" w:space="6" w:color="52B69A"/>
        </w:pBdr>
        <w:ind w:left="170"/>
      </w:pPr>
      <w:r>
        <w:t>W</w:t>
      </w:r>
      <w:r>
        <w:t>e verified that the company provides freestanding infrastructure frames and enclosure systems designed to optimize airflow and accommodate the transition to high-density liquid cooling configurations. Based on primary research, the company's physical secur</w:t>
      </w:r>
      <w:r>
        <w:t>ity features can be estimated as robust for space subdivision, based on its modular security caging designed with rugged steel construction and bolt-together panels.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that its Subzero Arctic Enclosure is engineered for </w:t>
      </w:r>
      <w:r>
        <w:t>high-density deployments, featuring an 81%+ open perforation pattern, a static weight capacity of 3,000 lbs, a dynamic weight capacity of 2,400 lbs, and optional chimney configurations to support advanced airflow management, according to the Subzero Engine</w:t>
      </w:r>
      <w:r>
        <w:t>ering Product Brief.</w:t>
      </w:r>
    </w:p>
    <w:p w:rsidR="00FC3617" w:rsidRDefault="0014512D">
      <w:pPr>
        <w:pStyle w:val="ListBullet"/>
        <w:spacing w:after="60"/>
        <w:ind w:left="510"/>
      </w:pPr>
      <w:r>
        <w:t>The company reports that its AisleFrame containment infrastructure is a modular, ground-supported system featuring integrated structural pathways for direct-to-chip liquid cooling piping and manifolds to sustain hybrid cooling environm</w:t>
      </w:r>
      <w:r>
        <w:t>ents as workloads scale beyond 100 kW per rack, as outlined in the Subzero Engineering White Paper.</w:t>
      </w:r>
    </w:p>
    <w:p w:rsidR="00FC3617" w:rsidRDefault="0014512D">
      <w:pPr>
        <w:keepNext/>
        <w:pBdr>
          <w:left w:val="single" w:sz="24" w:space="6" w:color="52B69A"/>
        </w:pBdr>
        <w:spacing w:before="120" w:after="60"/>
        <w:ind w:left="170"/>
      </w:pPr>
      <w:r>
        <w:rPr>
          <w:b/>
          <w:color w:val="0F172A"/>
          <w:sz w:val="20"/>
        </w:rPr>
        <w:t>DCIM &amp; Management Software — scored 67/100</w:t>
      </w:r>
    </w:p>
    <w:p w:rsidR="00FC3617" w:rsidRDefault="0014512D">
      <w:pPr>
        <w:keepNext/>
        <w:pBdr>
          <w:left w:val="single" w:sz="24" w:space="6" w:color="52B69A"/>
        </w:pBdr>
        <w:ind w:left="170"/>
      </w:pPr>
      <w:r>
        <w:t>Based on primary research, the company's standalone facility management software can be estimated as limited to i</w:t>
      </w:r>
      <w:r>
        <w:t>ntegration services, based on its data center infrastructure management services that integrate containment with environmental monitoring and control systems.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AI &amp; Sustainability Innovation — scored 77/100</w:t>
      </w:r>
    </w:p>
    <w:p w:rsidR="00FC3617" w:rsidRDefault="0014512D">
      <w:pPr>
        <w:keepNext/>
        <w:pBdr>
          <w:left w:val="single" w:sz="24" w:space="6" w:color="52B69A"/>
        </w:pBdr>
        <w:ind w:left="170"/>
      </w:pPr>
      <w:r>
        <w:t>Our evaluation res</w:t>
      </w:r>
      <w:r>
        <w:t>ts on the company's verified physical material and structural design advancements that optimize data center cooling architecture and lower the embodied carbon footprint of containment frames. Based on primary research, the company's proprietary ai-driven s</w:t>
      </w:r>
      <w:r>
        <w:t>oftware can be estimated as specialized for infrastructure simulation, based on its usage of computational fluid dynamics to show measurable energy savings and analyze thermal performance.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Subzero Engineering introduced its Composite Aisl</w:t>
      </w:r>
      <w:r>
        <w:t xml:space="preserve">eframe (CAF) system at Data Center World London 2025, which utilizes 100% recyclable composite materials composed of 80–85% glass and recycled resin components to </w:t>
      </w:r>
      <w:r>
        <w:lastRenderedPageBreak/>
        <w:t>deliver up to 4,299 kg of CO₂ savings per frame and a 50%+ weight reduction compared to stand</w:t>
      </w:r>
      <w:r>
        <w:t>ard steel structures.</w:t>
      </w:r>
    </w:p>
    <w:p w:rsidR="00FC3617" w:rsidRDefault="0014512D">
      <w:pPr>
        <w:pStyle w:val="ListBullet"/>
        <w:spacing w:after="60"/>
        <w:ind w:left="510"/>
      </w:pPr>
      <w:r>
        <w:t>Nordic data center services provider atNorth standardized its high-performance computing colocation architecture by deploying Subzero Engineering’s Essential Plus+ cold aisle containment system at its climate-positive data center faci</w:t>
      </w:r>
      <w:r>
        <w:t>lity in Stockholm to enhance cooling efficiency and reduce structural energy waste.</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77/100</w:t>
      </w:r>
    </w:p>
    <w:p w:rsidR="00FC3617" w:rsidRDefault="0014512D">
      <w:pPr>
        <w:keepNext/>
        <w:pBdr>
          <w:left w:val="single" w:sz="24" w:space="6" w:color="52B69A"/>
        </w:pBdr>
        <w:ind w:left="170"/>
      </w:pPr>
      <w:r>
        <w:t xml:space="preserve">We verified that Subzero Engineering actively markets its standardized airflow containment systems and </w:t>
      </w:r>
      <w:r>
        <w:t>modular structures for use in hyperscale data center operations. Based on primary research, the company's hyperscale contract volume can be estimated as growing steadily, based on its work with the hyperscaler and colocation communities to provide tailored</w:t>
      </w:r>
      <w:r>
        <w:t xml:space="preserve"> airflow containment solutions.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Subzero Engineering reports that its product lines, such as its AisleFrame Essential Structure and Essential Series containment solutions, are built to supply hyperscale and cloud data center environments g</w:t>
      </w:r>
      <w:r>
        <w:t>lobally.</w:t>
      </w:r>
    </w:p>
    <w:p w:rsidR="00FC3617" w:rsidRDefault="0014512D">
      <w:pPr>
        <w:keepNext/>
        <w:pBdr>
          <w:left w:val="single" w:sz="24" w:space="6" w:color="52B69A"/>
        </w:pBdr>
        <w:spacing w:before="120" w:after="60"/>
        <w:ind w:left="170"/>
      </w:pPr>
      <w:r>
        <w:rPr>
          <w:b/>
          <w:color w:val="0F172A"/>
          <w:sz w:val="20"/>
        </w:rPr>
        <w:t>Global Revenue &amp; Market Share — scored 79/100</w:t>
      </w:r>
    </w:p>
    <w:p w:rsidR="00FC3617" w:rsidRDefault="0014512D">
      <w:pPr>
        <w:keepNext/>
        <w:pBdr>
          <w:left w:val="single" w:sz="24" w:space="6" w:color="52B69A"/>
        </w:pBdr>
        <w:ind w:left="170"/>
      </w:pPr>
      <w:r>
        <w:t>We verified that the company has established high-profile deployments, such as its multi-million dollar airflow containment partnership with CenturyLink. Based on primary research, the company's data c</w:t>
      </w:r>
      <w:r>
        <w:t>enter infrastructure market share can be estimated as limited to a few markets, based on its focus on specialized turnkey containment and airflow consulting niches within global critical environments.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Subzero Engineering entered into a mu</w:t>
      </w:r>
      <w:r>
        <w:t>lti-year, multi-million dollar data center hot and cold aisle containment project with CenturyLink to control airflow and prevent hot air mixing with cold chiller air.</w:t>
      </w:r>
    </w:p>
    <w:p w:rsidR="00FC3617" w:rsidRDefault="0014512D">
      <w:pPr>
        <w:keepNext/>
        <w:pBdr>
          <w:left w:val="single" w:sz="24" w:space="6" w:color="52B69A"/>
        </w:pBdr>
        <w:spacing w:before="120" w:after="60"/>
        <w:ind w:left="170"/>
      </w:pPr>
      <w:r>
        <w:rPr>
          <w:b/>
          <w:color w:val="0F172A"/>
          <w:sz w:val="20"/>
        </w:rPr>
        <w:t>Installed Base &amp; Deployments — scored 70/100</w:t>
      </w:r>
    </w:p>
    <w:p w:rsidR="00FC3617" w:rsidRDefault="0014512D">
      <w:pPr>
        <w:keepNext/>
        <w:pBdr>
          <w:left w:val="single" w:sz="24" w:space="6" w:color="52B69A"/>
        </w:pBdr>
        <w:ind w:left="170"/>
      </w:pPr>
      <w:r>
        <w:t xml:space="preserve">We verified that Subzero Engineering has a </w:t>
      </w:r>
      <w:r>
        <w:t>multi-year active deployment with atNorth in the European market. Based on primary research, the company's global product unit shipments can be estimated as strong, in line with leading vendors, based on its millions of dollars in customer energy savings a</w:t>
      </w:r>
      <w:r>
        <w:t>nd multiple international production hubs.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Subzero Engineering has a multi-year deployment partnership with atNorth, a Nordic data centre services provider, to deploy its hot and cold aisle containment systems across atNorth's high-perfor</w:t>
      </w:r>
      <w:r>
        <w:t>mance computing colocation facilities.</w:t>
      </w:r>
    </w:p>
    <w:p w:rsidR="00FC3617" w:rsidRDefault="0014512D">
      <w:pPr>
        <w:keepNext/>
        <w:pBdr>
          <w:left w:val="single" w:sz="24" w:space="6" w:color="52B69A"/>
        </w:pBdr>
        <w:spacing w:before="120" w:after="60"/>
        <w:ind w:left="170"/>
      </w:pPr>
      <w:r>
        <w:rPr>
          <w:b/>
          <w:color w:val="0F172A"/>
          <w:sz w:val="20"/>
        </w:rPr>
        <w:t>Strategic Partnerships &amp; Channels — scored 71/100</w:t>
      </w:r>
    </w:p>
    <w:p w:rsidR="00FC3617" w:rsidRDefault="0014512D">
      <w:pPr>
        <w:keepNext/>
        <w:pBdr>
          <w:left w:val="single" w:sz="24" w:space="6" w:color="52B69A"/>
        </w:pBdr>
        <w:ind w:left="170"/>
      </w:pPr>
      <w:r>
        <w:t xml:space="preserve">The rating rests on confirmed strategic product-integration partnerships with established industrial infrastructure manufacturers alongside dedicated regional channel </w:t>
      </w:r>
      <w:r>
        <w:t>management appointments. Based on primary research, the company's distribution channel breadth can be estimated as broad across the major ERP platforms, based on its globally deployed network of sales representatives, distributors, and authorized resellers</w:t>
      </w:r>
      <w:r>
        <w:t>.</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Subzero Engineering announced a strategic relationship with Armstrong World Industries to provide a combined turnkey data center solution that integrates the Armstrong DynaMax structural ceiling with Subzero's high-performance containme</w:t>
      </w:r>
      <w:r>
        <w:t>nt systems.</w:t>
      </w:r>
    </w:p>
    <w:p w:rsidR="00FC3617" w:rsidRDefault="0014512D">
      <w:pPr>
        <w:pStyle w:val="ListBullet"/>
        <w:spacing w:after="60"/>
        <w:ind w:left="510"/>
      </w:pPr>
      <w:r>
        <w:t>Subzero Engineering launched a strategic alliance with USG Mission Critical Solutions to deliver integrated, scalable, and sustainable containment infrastructure solutions tailored for high-density data center environments.</w:t>
      </w:r>
    </w:p>
    <w:p w:rsidR="00FC3617" w:rsidRDefault="0014512D">
      <w:pPr>
        <w:keepNext/>
        <w:pBdr>
          <w:left w:val="single" w:sz="24" w:space="6" w:color="52B69A"/>
        </w:pBdr>
        <w:spacing w:before="120" w:after="60"/>
        <w:ind w:left="170"/>
      </w:pPr>
      <w:r>
        <w:rPr>
          <w:b/>
          <w:color w:val="0F172A"/>
          <w:sz w:val="20"/>
        </w:rPr>
        <w:t>R&amp;D Investment &amp; Fin</w:t>
      </w:r>
      <w:r>
        <w:rPr>
          <w:b/>
          <w:color w:val="0F172A"/>
          <w:sz w:val="20"/>
        </w:rPr>
        <w:t>ancial Strength — scored 76/100</w:t>
      </w:r>
    </w:p>
    <w:p w:rsidR="00FC3617" w:rsidRDefault="0014512D">
      <w:pPr>
        <w:keepNext/>
        <w:pBdr>
          <w:left w:val="single" w:sz="24" w:space="6" w:color="52B69A"/>
        </w:pBdr>
        <w:ind w:left="170"/>
      </w:pPr>
      <w:r>
        <w:t>We verified that Subzero Engineering maintains dedicated operational infrastructure for product development, anchored by its custom manufacturing facilities and a newly deployed R&amp;D facility in Vietnam. Based on primary rese</w:t>
      </w:r>
      <w:r>
        <w:t>arch, the company's credit risk profile can be estimated as strong, in line with leading vendors, based on its backing as a critical environments division of its well-capitalized parent corporation.</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Subzero Engineering expanded its </w:t>
      </w:r>
      <w:r>
        <w:t>physical capacity and footprint by establishing a new data center manufacturing and research and development (R&amp;D) facility in Vietnam, which became fully operational in February 2026.</w:t>
      </w:r>
    </w:p>
    <w:p w:rsidR="00FC3617" w:rsidRDefault="0014512D">
      <w:pPr>
        <w:pStyle w:val="ListBullet"/>
        <w:spacing w:after="60"/>
        <w:ind w:left="510"/>
      </w:pPr>
      <w:r>
        <w:t>The company announced the construction of a 155,000-square-foot equipme</w:t>
      </w:r>
      <w:r>
        <w:t>nt manufacturing facility in December 2023 to scale its production capacity.</w:t>
      </w:r>
    </w:p>
    <w:p w:rsidR="00FC3617" w:rsidRDefault="0014512D">
      <w:pPr>
        <w:pStyle w:val="Heading2"/>
        <w:pageBreakBefore/>
        <w:shd w:val="clear" w:color="auto" w:fill="002857"/>
        <w:spacing w:after="0"/>
      </w:pPr>
      <w:bookmarkStart w:id="25" w:name="_Toc242935695"/>
      <w:r>
        <w:lastRenderedPageBreak/>
        <w:t>WEG S.A.</w:t>
      </w:r>
      <w:bookmarkEnd w:id="25"/>
    </w:p>
    <w:p w:rsidR="00FC3617" w:rsidRDefault="0014512D">
      <w:pPr>
        <w:shd w:val="clear" w:color="auto" w:fill="002857"/>
        <w:spacing w:after="200"/>
      </w:pPr>
      <w:r>
        <w:rPr>
          <w:color w:val="CBD5E1"/>
          <w:sz w:val="18"/>
        </w:rPr>
        <w:t xml:space="preserve">WEG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75</w:t>
      </w:r>
      <w:r>
        <w:rPr>
          <w:color w:val="CBD5E1"/>
          <w:sz w:val="18"/>
        </w:rPr>
        <w:t xml:space="preserve">     Overall </w:t>
      </w:r>
      <w:r>
        <w:rPr>
          <w:b/>
          <w:color w:val="FFFFFF"/>
          <w:sz w:val="20"/>
        </w:rPr>
        <w:t>76</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65/100</w:t>
      </w:r>
    </w:p>
    <w:p w:rsidR="00FC3617" w:rsidRDefault="0014512D">
      <w:pPr>
        <w:keepNext/>
        <w:pBdr>
          <w:left w:val="single" w:sz="24" w:space="6" w:color="52B69A"/>
        </w:pBdr>
        <w:ind w:left="170"/>
      </w:pPr>
      <w:r>
        <w:t>Based on primary research, the company's</w:t>
      </w:r>
      <w:r>
        <w:t xml:space="preserve"> compute and storage hardware availability can be estimated as non-existent within its product offerings, based on its focus on electric power infrastructure across 49,000 employees.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Rack &amp; Enclosure Density — scored 69/100</w:t>
      </w:r>
    </w:p>
    <w:p w:rsidR="00FC3617" w:rsidRDefault="0014512D">
      <w:pPr>
        <w:keepNext/>
        <w:pBdr>
          <w:left w:val="single" w:sz="24" w:space="6" w:color="52B69A"/>
        </w:pBdr>
        <w:ind w:left="170"/>
      </w:pPr>
      <w:r>
        <w:t>Based on primary research, the company's rack-level infrastructure performance specifications can be estimated as unstated at the individual rack level, based on its over 600 delivered substations and building-level solutions.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Not availab</w:t>
      </w:r>
      <w:r>
        <w:t>le</w:t>
      </w:r>
    </w:p>
    <w:p w:rsidR="00FC3617" w:rsidRDefault="0014512D">
      <w:pPr>
        <w:keepNext/>
        <w:pBdr>
          <w:left w:val="single" w:sz="24" w:space="6" w:color="52B69A"/>
        </w:pBdr>
        <w:spacing w:before="120" w:after="60"/>
        <w:ind w:left="170"/>
      </w:pPr>
      <w:r>
        <w:rPr>
          <w:b/>
          <w:color w:val="0F172A"/>
          <w:sz w:val="20"/>
        </w:rPr>
        <w:t>Power &amp; Cooling Efficiency — scored 84/100</w:t>
      </w:r>
    </w:p>
    <w:p w:rsidR="00FC3617" w:rsidRDefault="0014512D">
      <w:pPr>
        <w:keepNext/>
        <w:pBdr>
          <w:left w:val="single" w:sz="24" w:space="6" w:color="52B69A"/>
        </w:pBdr>
        <w:ind w:left="170"/>
      </w:pPr>
      <w:r>
        <w:t>The evaluation rests on the company's self-reported efficiency specifications for its modular power supplies and cooling infrastructure motor drives. Based on primary research, the company's power infrastructur</w:t>
      </w:r>
      <w:r>
        <w:t>e energy efficiency capability can be estimated as optimized to minimize operational energy consumption, based on its 50 megawatt high-voltage site partnership with Elea Data Centers.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UMDW Modular UPS designed for data center applicat</w:t>
      </w:r>
      <w:r>
        <w:t>ions achieves an energy efficiency rating of up to 99% when operating in Eco Mode, according to the WEG S.A. product catalog.</w:t>
      </w:r>
    </w:p>
    <w:p w:rsidR="00FC3617" w:rsidRDefault="0014512D">
      <w:pPr>
        <w:pStyle w:val="ListBullet"/>
        <w:spacing w:after="60"/>
        <w:ind w:left="510"/>
      </w:pPr>
      <w:r>
        <w:t>An integration of the W22 Premium Motor with the CFW701 HVAC variable speed drive in cooling tower infrastructure reduced electric</w:t>
      </w:r>
      <w:r>
        <w:t>al energy consumption by up to 80%, according to a WEG S.A. technical report.</w:t>
      </w:r>
    </w:p>
    <w:p w:rsidR="00FC3617" w:rsidRDefault="0014512D">
      <w:pPr>
        <w:keepNext/>
        <w:pBdr>
          <w:left w:val="single" w:sz="24" w:space="6" w:color="52B69A"/>
        </w:pBdr>
        <w:spacing w:before="120" w:after="60"/>
        <w:ind w:left="170"/>
      </w:pPr>
      <w:r>
        <w:rPr>
          <w:b/>
          <w:color w:val="0F172A"/>
          <w:sz w:val="20"/>
        </w:rPr>
        <w:t>DCIM &amp; Management Software — scored 86/100</w:t>
      </w:r>
    </w:p>
    <w:p w:rsidR="00FC3617" w:rsidRDefault="0014512D">
      <w:pPr>
        <w:keepNext/>
        <w:pBdr>
          <w:left w:val="single" w:sz="24" w:space="6" w:color="52B69A"/>
        </w:pBdr>
        <w:ind w:left="170"/>
      </w:pPr>
      <w:r>
        <w:t xml:space="preserve">The rating rests on the company's proprietary asset-monitoring software (WEG Motion Fleet Management) and resource-tracking platforms </w:t>
      </w:r>
      <w:r>
        <w:t>(WEM cloud) that provide partial infrastructure coverage focused primarily on electrical and mechanical drive fleets. Based on primary research, the company's digital data center infrastructure management suite can be estimated as limited to equipment-leve</w:t>
      </w:r>
      <w:r>
        <w:t>l predictive analytics and smart automation, based on its IoT WEGnology platform and Transformer Management software.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WEG S.A. markets its WEG Motion Fleet Management (MFM) platform, a modular cloud-based IoT solution featuring the WEG Mo</w:t>
      </w:r>
      <w:r>
        <w:t>tor Specialist module that leverages machine learning algorithms to autonomously diagnose, monitor, and provide predictive maintenance alerts for electric motor and drive fleets used within data center cooling systems.</w:t>
      </w:r>
    </w:p>
    <w:p w:rsidR="00FC3617" w:rsidRDefault="0014512D">
      <w:pPr>
        <w:pStyle w:val="ListBullet"/>
        <w:spacing w:after="60"/>
        <w:ind w:left="510"/>
      </w:pPr>
      <w:r>
        <w:t>The company provides the WEG Energy M</w:t>
      </w:r>
      <w:r>
        <w:t>anagement cloud (WEM cloud) platform, which offers real-time visualization and historical storage tracking of utility consumption data—including electrical power, water, and gas—collected via agnostic measurement, automation, and control devices.</w:t>
      </w:r>
    </w:p>
    <w:p w:rsidR="00FC3617" w:rsidRDefault="0014512D">
      <w:pPr>
        <w:keepNext/>
        <w:pBdr>
          <w:left w:val="single" w:sz="24" w:space="6" w:color="52B69A"/>
        </w:pBdr>
        <w:spacing w:before="120" w:after="60"/>
        <w:ind w:left="170"/>
      </w:pPr>
      <w:r>
        <w:rPr>
          <w:b/>
          <w:color w:val="0F172A"/>
          <w:sz w:val="20"/>
        </w:rPr>
        <w:t>AI &amp; Sust</w:t>
      </w:r>
      <w:r>
        <w:rPr>
          <w:b/>
          <w:color w:val="0F172A"/>
          <w:sz w:val="20"/>
        </w:rPr>
        <w:t>ainability Innovation — scored 81/100</w:t>
      </w:r>
    </w:p>
    <w:p w:rsidR="00FC3617" w:rsidRDefault="0014512D">
      <w:pPr>
        <w:keepNext/>
        <w:pBdr>
          <w:left w:val="single" w:sz="24" w:space="6" w:color="52B69A"/>
        </w:pBdr>
        <w:ind w:left="170"/>
      </w:pPr>
      <w:r>
        <w:t>We verified that the company possesses documented capabilities in machine learning-based asset monitoring for cooling equipment and has secured contracts with green data center operators. Based on primary research, the</w:t>
      </w:r>
      <w:r>
        <w:t xml:space="preserve"> company's facility energy optimization and carbon tracking software can be estimated as managed through broader localized energy management cloud platforms, based on its WEG Energy Management cloud application and asset management tools.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In January 2025, the company announced a strategic partnership to supply power transformers to Elea Data Centers, a sustainable data center platform, to support its 50 MW high-voltage site dedicated to artificial intelligence workloads in São Paulo, Brazi</w:t>
      </w:r>
      <w:r>
        <w:t>l.</w:t>
      </w:r>
    </w:p>
    <w:p w:rsidR="00FC3617" w:rsidRDefault="0014512D">
      <w:pPr>
        <w:pStyle w:val="ListBullet"/>
        <w:spacing w:after="60"/>
        <w:ind w:left="510"/>
      </w:pPr>
      <w:r>
        <w:t>The company reports that its WEG Motion Fleet Management platform integrates the WEG Motor Specialist module, which uses machine learning and artificial intelligence algorithms to autonomously diagnose anomalies and run predictive maintenance for electr</w:t>
      </w:r>
      <w:r>
        <w:t>ic motors.</w:t>
      </w:r>
    </w:p>
    <w:p w:rsidR="00FC3617" w:rsidRDefault="0014512D">
      <w:pPr>
        <w:keepNext/>
        <w:pBdr>
          <w:bottom w:val="single" w:sz="6" w:space="3" w:color="E2E8F0"/>
        </w:pBdr>
        <w:spacing w:before="120" w:after="120"/>
      </w:pPr>
      <w:r>
        <w:rPr>
          <w:b/>
          <w:caps/>
          <w:color w:val="1A759F"/>
        </w:rPr>
        <w:lastRenderedPageBreak/>
        <w:t>Y — Business Capability</w:t>
      </w:r>
    </w:p>
    <w:p w:rsidR="00FC3617" w:rsidRDefault="0014512D">
      <w:pPr>
        <w:keepNext/>
        <w:pBdr>
          <w:left w:val="single" w:sz="24" w:space="6" w:color="52B69A"/>
        </w:pBdr>
        <w:spacing w:before="120" w:after="60"/>
        <w:ind w:left="170"/>
      </w:pPr>
      <w:r>
        <w:rPr>
          <w:b/>
          <w:color w:val="0F172A"/>
          <w:sz w:val="20"/>
        </w:rPr>
        <w:t>Hyperscale &amp; Cloud Customers — scored 82/100</w:t>
      </w:r>
    </w:p>
    <w:p w:rsidR="00FC3617" w:rsidRDefault="0014512D">
      <w:pPr>
        <w:keepNext/>
        <w:pBdr>
          <w:left w:val="single" w:sz="24" w:space="6" w:color="52B69A"/>
        </w:pBdr>
        <w:ind w:left="170"/>
      </w:pPr>
      <w:r>
        <w:t>The rating rests on the company's confirmed role as an indirect component supplier to hyperscale facilities through global original equipment manufacturers. Based on primary re</w:t>
      </w:r>
      <w:r>
        <w:t>search, the company's direct hyperscale contracts can be estimated as regional and highly focused, based on its partnership with Elea Data Centers to supply transformers for a 50 megawatt high-voltage site in São Paulo.</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WEG reports that i</w:t>
      </w:r>
      <w:r>
        <w:t xml:space="preserve">t manufactures the industrial alternators utilized by global equipment manufacturers to build generator sets for data centers operated by major technology companies and hyperscalers including Google, Amazon, Microsoft, and Meta, as detailed in a September </w:t>
      </w:r>
      <w:r>
        <w:t>2026 announcement published by Valor International.</w:t>
      </w:r>
    </w:p>
    <w:p w:rsidR="00FC3617" w:rsidRDefault="0014512D">
      <w:pPr>
        <w:keepNext/>
        <w:pBdr>
          <w:left w:val="single" w:sz="24" w:space="6" w:color="52B69A"/>
        </w:pBdr>
        <w:spacing w:before="120" w:after="60"/>
        <w:ind w:left="170"/>
      </w:pPr>
      <w:r>
        <w:rPr>
          <w:b/>
          <w:color w:val="0F172A"/>
          <w:sz w:val="20"/>
        </w:rPr>
        <w:t>Global Revenue &amp; Market Share — scored 72/100</w:t>
      </w:r>
    </w:p>
    <w:p w:rsidR="00FC3617" w:rsidRDefault="0014512D">
      <w:pPr>
        <w:keepNext/>
        <w:pBdr>
          <w:left w:val="single" w:sz="24" w:space="6" w:color="52B69A"/>
        </w:pBdr>
        <w:ind w:left="170"/>
      </w:pPr>
      <w:r>
        <w:t>The rating rests on the company providing only total corporate financial numbers and a regional percentage for transformer order intakes instead of distinct d</w:t>
      </w:r>
      <w:r>
        <w:t>ata center global sales figures. Based on primary research, the company's data center market revenue can be estimated as growing steadily, based on its net revenue of 40.8 billion Brazilian reais in 45 and its 165 million dollar investment plan to expand g</w:t>
      </w:r>
      <w:r>
        <w:t>enerator production capacity for data centers in North America.</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WEG S.A. reported a total corporate net revenue of R$ 40.8 billion for the fiscal year 2025, with data center infrastructure accounting for 19% of its transformer order intak</w:t>
      </w:r>
      <w:r>
        <w:t>e in North America over the 12-month period leading into October 2026.</w:t>
      </w:r>
    </w:p>
    <w:p w:rsidR="00FC3617" w:rsidRDefault="0014512D">
      <w:pPr>
        <w:keepNext/>
        <w:pBdr>
          <w:left w:val="single" w:sz="24" w:space="6" w:color="52B69A"/>
        </w:pBdr>
        <w:spacing w:before="120" w:after="60"/>
        <w:ind w:left="170"/>
      </w:pPr>
      <w:r>
        <w:rPr>
          <w:b/>
          <w:color w:val="0F172A"/>
          <w:sz w:val="20"/>
        </w:rPr>
        <w:t>Installed Base &amp; Deployments — scored 71/100</w:t>
      </w:r>
    </w:p>
    <w:p w:rsidR="00FC3617" w:rsidRDefault="0014512D">
      <w:pPr>
        <w:keepNext/>
        <w:pBdr>
          <w:left w:val="single" w:sz="24" w:space="6" w:color="52B69A"/>
        </w:pBdr>
        <w:ind w:left="170"/>
      </w:pPr>
      <w:r>
        <w:t>The rating rests on documented specific equipment contracts and deliveries for critical power infrastructure supplied to data center operato</w:t>
      </w:r>
      <w:r>
        <w:t>rs and partners in Latin America. Based on primary research, the company's modular UPS installed base can be estimated as expanding globally, based on its presence in over 135 countries along with its historical delivery of over 600 turnkey substations.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it announced a strategic partnership with Elea Data Centers in January 2025 to supply power transformers for a 50 MW high-voltage AI-driven data center site in São Paulo, Brazil, with equipment deliveries scheduled for</w:t>
      </w:r>
      <w:r>
        <w:t xml:space="preserve"> mid-2025.</w:t>
      </w:r>
    </w:p>
    <w:p w:rsidR="00FC3617" w:rsidRDefault="0014512D">
      <w:pPr>
        <w:pStyle w:val="ListBullet"/>
        <w:spacing w:after="60"/>
        <w:ind w:left="510"/>
      </w:pPr>
      <w:r>
        <w:t>The company reports it supplied a 2.5 MVA encapsulated dry-type transformer in October 2022 to replace obsolete equipment at a Vertiv data center infrastructure plant located in Chile.</w:t>
      </w:r>
    </w:p>
    <w:p w:rsidR="00FC3617" w:rsidRDefault="0014512D">
      <w:pPr>
        <w:keepNext/>
        <w:pBdr>
          <w:left w:val="single" w:sz="24" w:space="6" w:color="52B69A"/>
        </w:pBdr>
        <w:spacing w:before="120" w:after="60"/>
        <w:ind w:left="170"/>
      </w:pPr>
      <w:r>
        <w:rPr>
          <w:b/>
          <w:color w:val="0F172A"/>
          <w:sz w:val="20"/>
        </w:rPr>
        <w:t>Strategic Partnerships &amp; Channels — scored 65/100</w:t>
      </w:r>
    </w:p>
    <w:p w:rsidR="00FC3617" w:rsidRDefault="0014512D">
      <w:pPr>
        <w:keepNext/>
        <w:pBdr>
          <w:left w:val="single" w:sz="24" w:space="6" w:color="52B69A"/>
        </w:pBdr>
        <w:ind w:left="170"/>
      </w:pPr>
      <w:r>
        <w:t>The rating</w:t>
      </w:r>
      <w:r>
        <w:t xml:space="preserve"> rests on verified regional supply partnerships for specialized AI data center infrastructure deployments in Latin America. Based on primary research, the company's data center distribution partnerships can be estimated as limited compared to core electric</w:t>
      </w:r>
      <w:r>
        <w:t>al channels, based on its branches across 44 countries and direct enterprise infrastructure collaborations.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WEG S.A. announced a strategic partnership with Elea Data Centers on January 17, 2025, to supply high-voltage transformers for a 5</w:t>
      </w:r>
      <w:r>
        <w:t>0 MW site in São Paulo dedicated to high-performance Artificial Intelligence infrastructure.</w:t>
      </w:r>
    </w:p>
    <w:p w:rsidR="00FC3617" w:rsidRDefault="0014512D">
      <w:pPr>
        <w:pStyle w:val="ListBullet"/>
        <w:spacing w:after="60"/>
        <w:ind w:left="510"/>
      </w:pPr>
      <w:r>
        <w:t>WEG S.A. established a partnership with RT-one announced on September 22, 2025, to collaborate on the engineering and construction of Brazil’s first Artificial Int</w:t>
      </w:r>
      <w:r>
        <w:t>elligence Data Center.</w:t>
      </w:r>
    </w:p>
    <w:p w:rsidR="00FC3617" w:rsidRDefault="0014512D">
      <w:pPr>
        <w:keepNext/>
        <w:pBdr>
          <w:left w:val="single" w:sz="24" w:space="6" w:color="52B69A"/>
        </w:pBdr>
        <w:spacing w:before="120" w:after="60"/>
        <w:ind w:left="170"/>
      </w:pPr>
      <w:r>
        <w:rPr>
          <w:b/>
          <w:color w:val="0F172A"/>
          <w:sz w:val="20"/>
        </w:rPr>
        <w:t>R&amp;D Investment &amp; Financial Strength — scored 84/100</w:t>
      </w:r>
    </w:p>
    <w:p w:rsidR="00FC3617" w:rsidRDefault="0014512D">
      <w:pPr>
        <w:keepNext/>
        <w:pBdr>
          <w:left w:val="single" w:sz="24" w:space="6" w:color="52B69A"/>
        </w:pBdr>
        <w:ind w:left="170"/>
      </w:pPr>
      <w:r>
        <w:t xml:space="preserve">The rating rests on the company's consistent profitability, high overall R&amp;D budget, and a dedicated multi-billion real investment framework prioritizing data center infrastructure </w:t>
      </w:r>
      <w:r>
        <w:t xml:space="preserve">expansion. Based on primary research, the company's data center research and development allocation can be estimated as substantial and integrated into global engineering, based on its workforce of over 5,500 engineers and its newly inaugurated 900 square </w:t>
      </w:r>
      <w:r>
        <w:t>meter research and development center in China.</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In its 2025 Integrated Annual Report, WEG S.A. reported investing BRL 1.4 billion in research, development, and innovation (R&amp;D) alongside a total net operating revenue of BRL 40.8 billion, </w:t>
      </w:r>
      <w:r>
        <w:t>representing approximately 3.4% of its annual revenue.</w:t>
      </w:r>
    </w:p>
    <w:p w:rsidR="00FC3617" w:rsidRDefault="0014512D">
      <w:pPr>
        <w:pStyle w:val="ListBullet"/>
        <w:spacing w:after="60"/>
        <w:ind w:left="510"/>
      </w:pPr>
      <w:r>
        <w:t>According to a company financial release from October 2026, WEG S.A. allocated a BRL 3.6 billion investment budget for the year 2026 to scale up manufacturing capacity and international expansion, iden</w:t>
      </w:r>
      <w:r>
        <w:t>tifying the data center market as a core strategic priority.</w:t>
      </w:r>
    </w:p>
    <w:p w:rsidR="00FC3617" w:rsidRDefault="0014512D">
      <w:pPr>
        <w:pStyle w:val="Heading2"/>
        <w:pageBreakBefore/>
        <w:shd w:val="clear" w:color="auto" w:fill="002857"/>
        <w:spacing w:after="0"/>
      </w:pPr>
      <w:bookmarkStart w:id="26" w:name="_Toc242935696"/>
      <w:r>
        <w:lastRenderedPageBreak/>
        <w:t>EAE Elektrik A.</w:t>
      </w:r>
      <w:r>
        <w:t>Ş</w:t>
      </w:r>
      <w:r>
        <w:t>.</w:t>
      </w:r>
      <w:bookmarkEnd w:id="26"/>
    </w:p>
    <w:p w:rsidR="00FC3617" w:rsidRDefault="0014512D">
      <w:pPr>
        <w:shd w:val="clear" w:color="auto" w:fill="002857"/>
        <w:spacing w:after="200"/>
      </w:pPr>
      <w:r>
        <w:rPr>
          <w:color w:val="CBD5E1"/>
          <w:sz w:val="18"/>
        </w:rPr>
        <w:t xml:space="preserve">EAE Electric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73</w:t>
      </w:r>
      <w:r>
        <w:rPr>
          <w:color w:val="CBD5E1"/>
          <w:sz w:val="18"/>
        </w:rPr>
        <w:t xml:space="preserve">     Overall </w:t>
      </w:r>
      <w:r>
        <w:rPr>
          <w:b/>
          <w:color w:val="FFFFFF"/>
          <w:sz w:val="20"/>
        </w:rPr>
        <w:t>75</w:t>
      </w:r>
    </w:p>
    <w:p w:rsidR="00FC3617" w:rsidRDefault="0014512D">
      <w:pPr>
        <w:keepNext/>
        <w:pBdr>
          <w:bottom w:val="single" w:sz="6" w:space="3" w:color="E2E8F0"/>
        </w:pBdr>
        <w:spacing w:before="120" w:after="120"/>
      </w:pPr>
      <w:r>
        <w:rPr>
          <w:b/>
          <w:caps/>
          <w:color w:val="1A759F"/>
        </w:rPr>
        <w:t>X — Technology Capability</w:t>
      </w:r>
    </w:p>
    <w:p w:rsidR="00FC3617" w:rsidRDefault="0014512D">
      <w:pPr>
        <w:keepNext/>
        <w:pBdr>
          <w:left w:val="single" w:sz="24" w:space="6" w:color="52B69A"/>
        </w:pBdr>
        <w:spacing w:before="120" w:after="60"/>
        <w:ind w:left="170"/>
      </w:pPr>
      <w:r>
        <w:rPr>
          <w:b/>
          <w:color w:val="0F172A"/>
          <w:sz w:val="20"/>
        </w:rPr>
        <w:t>Compute &amp; Storage Performance — scored 65/100</w:t>
      </w:r>
    </w:p>
    <w:p w:rsidR="00FC3617" w:rsidRDefault="0014512D">
      <w:pPr>
        <w:keepNext/>
        <w:pBdr>
          <w:left w:val="single" w:sz="24" w:space="6" w:color="52B69A"/>
        </w:pBdr>
        <w:ind w:left="170"/>
      </w:pPr>
      <w:r>
        <w:t>Based on primary research, the company</w:t>
      </w:r>
      <w:r>
        <w:t>'s compute or storage performance metrics can be estimated as high, in line with leading enterprise infrastructure hardware vendors, based on its focus on high short circuit and fire resistance alongside data communication network support.</w:t>
      </w:r>
    </w:p>
    <w:p w:rsidR="00FC3617" w:rsidRDefault="0014512D">
      <w:pPr>
        <w:keepNext/>
        <w:spacing w:after="40"/>
        <w:ind w:left="170"/>
      </w:pPr>
      <w:r>
        <w:rPr>
          <w:b/>
          <w:caps/>
          <w:color w:val="64748B"/>
          <w:sz w:val="15"/>
        </w:rPr>
        <w:t xml:space="preserve">Supporting </w:t>
      </w:r>
      <w:r>
        <w:rPr>
          <w:b/>
          <w:caps/>
          <w:color w:val="64748B"/>
          <w:sz w:val="15"/>
        </w:rPr>
        <w:t>points</w:t>
      </w:r>
    </w:p>
    <w:p w:rsidR="00FC3617" w:rsidRDefault="0014512D">
      <w:pPr>
        <w:pStyle w:val="ListBullet"/>
        <w:spacing w:after="60"/>
        <w:ind w:left="510"/>
      </w:pPr>
      <w:r>
        <w:t>Not available</w:t>
      </w:r>
    </w:p>
    <w:p w:rsidR="00FC3617" w:rsidRDefault="0014512D">
      <w:pPr>
        <w:keepNext/>
        <w:pBdr>
          <w:left w:val="single" w:sz="24" w:space="6" w:color="52B69A"/>
        </w:pBdr>
        <w:spacing w:before="120" w:after="60"/>
        <w:ind w:left="170"/>
      </w:pPr>
      <w:r>
        <w:rPr>
          <w:b/>
          <w:color w:val="0F172A"/>
          <w:sz w:val="20"/>
        </w:rPr>
        <w:t>Power &amp; Cooling Efficiency — scored 80/100</w:t>
      </w:r>
    </w:p>
    <w:p w:rsidR="00FC3617" w:rsidRDefault="0014512D">
      <w:pPr>
        <w:keepNext/>
        <w:pBdr>
          <w:left w:val="single" w:sz="24" w:space="6" w:color="52B69A"/>
        </w:pBdr>
        <w:ind w:left="170"/>
      </w:pPr>
      <w:r>
        <w:t xml:space="preserve">The rating rests on the company's self-reported energy savings for airflow containment topologies and documented voltage drop efficiencies within its commercial busbar product lines. Based on </w:t>
      </w:r>
      <w:r>
        <w:t xml:space="preserve">primary research, the company's efficiency and power usage effectiveness metrics can be estimated as high, in line with international environmental standards, based on its energy optimization program and airflow containment management designed for maximum </w:t>
      </w:r>
      <w:r>
        <w:t>data center uptime.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 xml:space="preserve">The company reports that its KabinPLUS Cold Aisle Containment (CAC) and Hot Aisle Containment (HAC) systems provide up to 40% energy savings by isolating hot and cold airflows in white space environments, according to </w:t>
      </w:r>
      <w:r>
        <w:t>EAE Electrotechnics.</w:t>
      </w:r>
    </w:p>
    <w:p w:rsidR="00FC3617" w:rsidRDefault="0014512D">
      <w:pPr>
        <w:pStyle w:val="ListBullet"/>
        <w:spacing w:after="60"/>
        <w:ind w:left="510"/>
      </w:pPr>
      <w:r>
        <w:t>In a 2024 project installation at a 20-story commercial tower in Gulshan, Dhaka, the client deployed EAE Elektrik's E-Line MK and CR Series busbar systems, which successfully achieved a reduction in voltage drop over long distances.</w:t>
      </w:r>
    </w:p>
    <w:p w:rsidR="00FC3617" w:rsidRDefault="0014512D">
      <w:pPr>
        <w:keepNext/>
        <w:pBdr>
          <w:left w:val="single" w:sz="24" w:space="6" w:color="52B69A"/>
        </w:pBdr>
        <w:spacing w:before="120" w:after="60"/>
        <w:ind w:left="170"/>
      </w:pPr>
      <w:r>
        <w:rPr>
          <w:b/>
          <w:color w:val="0F172A"/>
          <w:sz w:val="20"/>
        </w:rPr>
        <w:t>Ra</w:t>
      </w:r>
      <w:r>
        <w:rPr>
          <w:b/>
          <w:color w:val="0F172A"/>
          <w:sz w:val="20"/>
        </w:rPr>
        <w:t>ck &amp; Enclosure Density — scored 93/100</w:t>
      </w:r>
    </w:p>
    <w:p w:rsidR="00FC3617" w:rsidRDefault="0014512D">
      <w:pPr>
        <w:keepNext/>
        <w:pBdr>
          <w:left w:val="single" w:sz="24" w:space="6" w:color="52B69A"/>
        </w:pBdr>
        <w:ind w:left="170"/>
      </w:pPr>
      <w:r>
        <w:t xml:space="preserve">The rating is supported by confirmed mechanical specifications for the company's KabinPLUS server frames, which show clear physical load capacity and advanced perforation design tailored for dense environments. Based </w:t>
      </w:r>
      <w:r>
        <w:t>on primary research, the company's cabinet power envelope and liquid cooling capabilities can be estimated as robust, matching advanced high density computing demands, based on its dedicated aisle containment and structural seismic rack cabinet engineering</w:t>
      </w:r>
      <w:r>
        <w:t xml:space="preserve"> configurations.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EAE Elektrik offers its KabinPLUS KD Series Modular 19" Data Center Rack Cabinets with a static and dynamic load capacity of 1,500 kg, designed to support heavy equipment configurations like multi-GPU blade assemblies, pa</w:t>
      </w:r>
      <w:r>
        <w:t>ired with an 85% perforation rate for high-density airflow.</w:t>
      </w:r>
    </w:p>
    <w:p w:rsidR="00FC3617" w:rsidRDefault="0014512D">
      <w:pPr>
        <w:pStyle w:val="ListBullet"/>
        <w:spacing w:after="60"/>
        <w:ind w:left="510"/>
      </w:pPr>
      <w:r>
        <w:t xml:space="preserve">EAE Elektrik reports that its KabinPLUS aisle containment solutions isolate hot and cold air to support dense computing arrangements by blocking up to 99% of air leaks, while physical security is </w:t>
      </w:r>
      <w:r>
        <w:t>managed via integrated biometric or electronic four-point locking systems.</w:t>
      </w:r>
    </w:p>
    <w:p w:rsidR="00FC3617" w:rsidRDefault="0014512D">
      <w:pPr>
        <w:keepNext/>
        <w:pBdr>
          <w:left w:val="single" w:sz="24" w:space="6" w:color="52B69A"/>
        </w:pBdr>
        <w:spacing w:before="120" w:after="60"/>
        <w:ind w:left="170"/>
      </w:pPr>
      <w:r>
        <w:rPr>
          <w:b/>
          <w:color w:val="0F172A"/>
          <w:sz w:val="20"/>
        </w:rPr>
        <w:t>DCIM &amp; Management Software — scored 70/100</w:t>
      </w:r>
    </w:p>
    <w:p w:rsidR="00FC3617" w:rsidRDefault="0014512D">
      <w:pPr>
        <w:keepNext/>
        <w:pBdr>
          <w:left w:val="single" w:sz="24" w:space="6" w:color="52B69A"/>
        </w:pBdr>
        <w:ind w:left="170"/>
      </w:pPr>
      <w:r>
        <w:t>The evaluation rests on the company's hardware-level monitoring integration for busbar systems rather than a standalone software system. B</w:t>
      </w:r>
      <w:r>
        <w:t>ased on primary research, the company's proprietary infrastructure management software suite capabilities can be estimated as broad across the major data center white space environments, based on its vendor neutral monitoring systems that integrate with ex</w:t>
      </w:r>
      <w:r>
        <w:t>ternal power meters and energy analyzers over serial or network protocols.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that its data center solutions include intelligent tap-off boxes designed to measure and monitor energy consumption, energy quality, and temper</w:t>
      </w:r>
      <w:r>
        <w:t>ature via RS485 or TCP/IP connections, enabling integration with data center infrastructure management (DCIM) systems as described in the EAE Elektrik Data Center Solutions Overview.</w:t>
      </w:r>
    </w:p>
    <w:p w:rsidR="00FC3617" w:rsidRDefault="0014512D">
      <w:pPr>
        <w:keepNext/>
        <w:pBdr>
          <w:left w:val="single" w:sz="24" w:space="6" w:color="52B69A"/>
        </w:pBdr>
        <w:spacing w:before="120" w:after="60"/>
        <w:ind w:left="170"/>
      </w:pPr>
      <w:r>
        <w:rPr>
          <w:b/>
          <w:color w:val="0F172A"/>
          <w:sz w:val="20"/>
        </w:rPr>
        <w:lastRenderedPageBreak/>
        <w:t>AI &amp; Sustainability Innovation — scored 77/100</w:t>
      </w:r>
    </w:p>
    <w:p w:rsidR="00FC3617" w:rsidRDefault="0014512D">
      <w:pPr>
        <w:keepNext/>
        <w:pBdr>
          <w:left w:val="single" w:sz="24" w:space="6" w:color="52B69A"/>
        </w:pBdr>
        <w:ind w:left="170"/>
      </w:pPr>
      <w:r>
        <w:t xml:space="preserve">The rating rests on </w:t>
      </w:r>
      <w:r>
        <w:t xml:space="preserve">confirmed hardware features for real-time electrical metering, temperature telemetry, and thermal containment to optimize data center energy consumption. Based on primary research, the company's patented predictive maintenance and carbon tracking software </w:t>
      </w:r>
      <w:r>
        <w:t>algorithms can be estimated as growing steadily through dedicated research and development, based on its ongoing focus on building management integration and real time temperature monitoring within tap off boxes.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real-</w:t>
      </w:r>
      <w:r>
        <w:t>time monitoring of energy consumption, energy quality, and temperature within its data center tap-off boxes over RS485 or TCP/IP connections to maintain operational sustainability.</w:t>
      </w:r>
    </w:p>
    <w:p w:rsidR="00FC3617" w:rsidRDefault="0014512D">
      <w:pPr>
        <w:pStyle w:val="ListBullet"/>
        <w:spacing w:after="60"/>
        <w:ind w:left="510"/>
      </w:pPr>
      <w:r>
        <w:t>The company reports the development of an Energy Optimization Program and a</w:t>
      </w:r>
      <w:r>
        <w:t>irflow containment management solutions within its KabinPLUS and aisle containment lines to improve data center energy efficiency.</w:t>
      </w:r>
    </w:p>
    <w:p w:rsidR="00FC3617" w:rsidRDefault="0014512D">
      <w:pPr>
        <w:keepNext/>
        <w:pBdr>
          <w:bottom w:val="single" w:sz="6" w:space="3" w:color="E2E8F0"/>
        </w:pBdr>
        <w:spacing w:before="120" w:after="120"/>
      </w:pPr>
      <w:r>
        <w:rPr>
          <w:b/>
          <w:caps/>
          <w:color w:val="1A759F"/>
        </w:rPr>
        <w:t>Y — Business Capability</w:t>
      </w:r>
    </w:p>
    <w:p w:rsidR="00FC3617" w:rsidRDefault="0014512D">
      <w:pPr>
        <w:keepNext/>
        <w:pBdr>
          <w:left w:val="single" w:sz="24" w:space="6" w:color="52B69A"/>
        </w:pBdr>
        <w:spacing w:before="120" w:after="60"/>
        <w:ind w:left="170"/>
      </w:pPr>
      <w:r>
        <w:rPr>
          <w:b/>
          <w:color w:val="0F172A"/>
          <w:sz w:val="20"/>
        </w:rPr>
        <w:t>Hyperscale &amp; Cloud Customers — scored 68/100</w:t>
      </w:r>
    </w:p>
    <w:p w:rsidR="00FC3617" w:rsidRDefault="0014512D">
      <w:pPr>
        <w:keepNext/>
        <w:pBdr>
          <w:left w:val="single" w:sz="24" w:space="6" w:color="52B69A"/>
        </w:pBdr>
        <w:ind w:left="170"/>
      </w:pPr>
      <w:r>
        <w:t xml:space="preserve">We verified that while the company promotes its data </w:t>
      </w:r>
      <w:r>
        <w:t>center solutions for major critical infrastructure designs, there is no public verification or specific disclosure of finalized contracts with major hyperscale or cloud providers. Based on primary research, the company's names or case studies of hyperscale</w:t>
      </w:r>
      <w:r>
        <w:t xml:space="preserve"> customers can be estimated as limited to major regional operators and selective global cloud expansions, based on its prominent deployment by major entities like Cloud and Turkcell.</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providing modular data center white</w:t>
      </w:r>
      <w:r>
        <w:t xml:space="preserve"> space power infrastructures—such as the E-Line KD Data Rack Busbar system—specifically targeted toward addressing the scalability and density requirements of cloud or hyperscale data centers.</w:t>
      </w:r>
    </w:p>
    <w:p w:rsidR="00FC3617" w:rsidRDefault="0014512D">
      <w:pPr>
        <w:keepNext/>
        <w:pBdr>
          <w:left w:val="single" w:sz="24" w:space="6" w:color="52B69A"/>
        </w:pBdr>
        <w:spacing w:before="120" w:after="60"/>
        <w:ind w:left="170"/>
      </w:pPr>
      <w:r>
        <w:rPr>
          <w:b/>
          <w:color w:val="0F172A"/>
          <w:sz w:val="20"/>
        </w:rPr>
        <w:t>Global Revenue &amp; Market Share — scored 83/100</w:t>
      </w:r>
    </w:p>
    <w:p w:rsidR="00FC3617" w:rsidRDefault="0014512D">
      <w:pPr>
        <w:keepNext/>
        <w:pBdr>
          <w:left w:val="single" w:sz="24" w:space="6" w:color="52B69A"/>
        </w:pBdr>
        <w:ind w:left="170"/>
      </w:pPr>
      <w:r>
        <w:t xml:space="preserve">We verified that </w:t>
      </w:r>
      <w:r>
        <w:t>the company maintains global operations across 150 countries and recorded substantial net sales growth in 2025. Based on primary research, the company's absolute annual data center revenue figures can be estimated as substantial within its core regional pr</w:t>
      </w:r>
      <w:r>
        <w:t>oduct line segmentations, based on its overall company revenue of $475 million and large export presence.</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Eae Elektrik Asansor Endustrisi Insaat A.S. reported a net sales revenue increase of 96.44% in fiscal year 2025, according to a comp</w:t>
      </w:r>
      <w:r>
        <w:t>any profile by EMIS.</w:t>
      </w:r>
    </w:p>
    <w:p w:rsidR="00FC3617" w:rsidRDefault="0014512D">
      <w:pPr>
        <w:pStyle w:val="ListBullet"/>
        <w:spacing w:after="60"/>
        <w:ind w:left="510"/>
      </w:pPr>
      <w:r>
        <w:t>EAE Elektrik was identified as a prominent global player alongside manufacturers like Eaton and Legrand within the data center power distribution unit market segment, according to a industry report overview.</w:t>
      </w:r>
    </w:p>
    <w:p w:rsidR="00FC3617" w:rsidRDefault="0014512D">
      <w:pPr>
        <w:keepNext/>
        <w:pBdr>
          <w:left w:val="single" w:sz="24" w:space="6" w:color="52B69A"/>
        </w:pBdr>
        <w:spacing w:before="120" w:after="60"/>
        <w:ind w:left="170"/>
      </w:pPr>
      <w:r>
        <w:rPr>
          <w:b/>
          <w:color w:val="0F172A"/>
          <w:sz w:val="20"/>
        </w:rPr>
        <w:t>Installed Base &amp; Deployment</w:t>
      </w:r>
      <w:r>
        <w:rPr>
          <w:b/>
          <w:color w:val="0F172A"/>
          <w:sz w:val="20"/>
        </w:rPr>
        <w:t>s — scored 68/100</w:t>
      </w:r>
    </w:p>
    <w:p w:rsidR="00FC3617" w:rsidRDefault="0014512D">
      <w:pPr>
        <w:keepNext/>
        <w:pBdr>
          <w:left w:val="single" w:sz="24" w:space="6" w:color="52B69A"/>
        </w:pBdr>
        <w:ind w:left="170"/>
      </w:pPr>
      <w:r>
        <w:t xml:space="preserve">We verified that the company's power distribution components are actively integrated into major multinational modular data center platform designs, and the company reports exporting its wider product lines to over 100 countries. Based on </w:t>
      </w:r>
      <w:r>
        <w:t>primary research, the company's cumulative data center product line installations can be estimated as growing steadily across international infrastructure sites, based on its widespread branch and authorised dealer network serving more than 100 countries.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company's E-Line KX Aluminium 5000 A low-voltage busbar system was selected as the designated transformer busbar component integrated within Eaton's NordicEPOD 2.0 MW modular data center platform architecture, as verified in Eaton's t</w:t>
      </w:r>
      <w:r>
        <w:t>echnical product specifications.</w:t>
      </w:r>
    </w:p>
    <w:p w:rsidR="00FC3617" w:rsidRDefault="0014512D">
      <w:pPr>
        <w:pStyle w:val="ListBullet"/>
        <w:spacing w:after="60"/>
        <w:ind w:left="510"/>
      </w:pPr>
      <w:r>
        <w:t>Not available Eaton</w:t>
      </w:r>
    </w:p>
    <w:p w:rsidR="00FC3617" w:rsidRDefault="0014512D">
      <w:pPr>
        <w:keepNext/>
        <w:pBdr>
          <w:left w:val="single" w:sz="24" w:space="6" w:color="52B69A"/>
        </w:pBdr>
        <w:spacing w:before="120" w:after="60"/>
        <w:ind w:left="170"/>
      </w:pPr>
      <w:r>
        <w:rPr>
          <w:b/>
          <w:color w:val="0F172A"/>
          <w:sz w:val="20"/>
        </w:rPr>
        <w:t>Strategic Partnerships &amp; Channels — scored 69/100</w:t>
      </w:r>
    </w:p>
    <w:p w:rsidR="00FC3617" w:rsidRDefault="0014512D">
      <w:pPr>
        <w:keepNext/>
        <w:pBdr>
          <w:left w:val="single" w:sz="24" w:space="6" w:color="52B69A"/>
        </w:pBdr>
        <w:ind w:left="170"/>
      </w:pPr>
      <w:r>
        <w:t>The rating rests on the company's established presence across international markets through wholly owned regional subsidiaries, engineering hubs, and spe</w:t>
      </w:r>
      <w:r>
        <w:t xml:space="preserve">cific local distributors in targeted markets like India and Italy. Based on primary research, the company's formalized global IT distribution agreements can be estimated as broad across an extensive international network of regional partners, based on its </w:t>
      </w:r>
      <w:r>
        <w:t>established subsidiaries in multiple countries and system partners spanning over 100 nations.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collaborated with localized regional channel partners, such as IIGM in India, to co-showcase and market its electrical power distrib</w:t>
      </w:r>
      <w:r>
        <w:t>ution solutions at industry trade events like DCD Connect India 2026.</w:t>
      </w:r>
    </w:p>
    <w:p w:rsidR="00FC3617" w:rsidRDefault="0014512D">
      <w:pPr>
        <w:pStyle w:val="ListBullet"/>
        <w:spacing w:after="60"/>
        <w:ind w:left="510"/>
      </w:pPr>
      <w:r>
        <w:lastRenderedPageBreak/>
        <w:t xml:space="preserve">EAE Elektrik utilizes dedicated regional subsidiaries and distribution networks, such as EAE Italia, which coordinates localized operations and technical commercial engagement alongside </w:t>
      </w:r>
      <w:r>
        <w:t>local ecosystem players like Riello UPS and Cummins for joint data center infrastructure events.</w:t>
      </w:r>
    </w:p>
    <w:p w:rsidR="00FC3617" w:rsidRDefault="0014512D">
      <w:pPr>
        <w:keepNext/>
        <w:pBdr>
          <w:left w:val="single" w:sz="24" w:space="6" w:color="52B69A"/>
        </w:pBdr>
        <w:spacing w:before="120" w:after="60"/>
        <w:ind w:left="170"/>
      </w:pPr>
      <w:r>
        <w:rPr>
          <w:b/>
          <w:color w:val="0F172A"/>
          <w:sz w:val="20"/>
        </w:rPr>
        <w:t>R&amp;D Investment &amp; Financial Strength — scored 76/100</w:t>
      </w:r>
    </w:p>
    <w:p w:rsidR="00FC3617" w:rsidRDefault="0014512D">
      <w:pPr>
        <w:keepNext/>
        <w:pBdr>
          <w:left w:val="single" w:sz="24" w:space="6" w:color="52B69A"/>
        </w:pBdr>
        <w:ind w:left="170"/>
      </w:pPr>
      <w:r>
        <w:t xml:space="preserve">We verified that the company maintains three regional R&amp;D infrastructure hubs and is experiencing high net </w:t>
      </w:r>
      <w:r>
        <w:t>sales and profitability growth based on local corporate filings. Based on primary research, the company's annual research and development spending can be estimated as strong, in line with leading engineering manufacturers, based on its continuous investmen</w:t>
      </w:r>
      <w:r>
        <w:t>ts in new technologies, lean manufacturing processes, and dedicated R&amp;D design teams.</w:t>
      </w:r>
    </w:p>
    <w:p w:rsidR="00FC3617" w:rsidRDefault="0014512D">
      <w:pPr>
        <w:keepNext/>
        <w:spacing w:after="40"/>
        <w:ind w:left="170"/>
      </w:pPr>
      <w:r>
        <w:rPr>
          <w:b/>
          <w:caps/>
          <w:color w:val="64748B"/>
          <w:sz w:val="15"/>
        </w:rPr>
        <w:t>Supporting points</w:t>
      </w:r>
    </w:p>
    <w:p w:rsidR="00FC3617" w:rsidRDefault="0014512D">
      <w:pPr>
        <w:pStyle w:val="ListBullet"/>
        <w:spacing w:after="60"/>
        <w:ind w:left="510"/>
      </w:pPr>
      <w:r>
        <w:t>The company reports operating three dedicated R&amp;D Centers (one in Istanbul and two in Kocaeli) to support electromechanical and data center solutions li</w:t>
      </w:r>
      <w:r>
        <w:t>ke the KabinPLUS server racks.</w:t>
      </w:r>
    </w:p>
    <w:p w:rsidR="00FC3617" w:rsidRDefault="0014512D">
      <w:pPr>
        <w:pStyle w:val="ListBullet"/>
        <w:spacing w:after="60"/>
        <w:ind w:left="510"/>
      </w:pPr>
      <w:r>
        <w:t>In its 2025 financial disclosures, Eae Elektrik Asansor Endustrisi Insaat Sanayi Ve Ticaret Anonim Sirketi recorded significant growth in Turkey, achieving a 96.44% increase in net sales revenue alongside a 202.4% surge in op</w:t>
      </w:r>
      <w:r>
        <w:t>erating profit.</w:t>
      </w:r>
    </w:p>
    <w:p w:rsidR="00FC3617" w:rsidRDefault="0014512D">
      <w:pPr>
        <w:pStyle w:val="Heading1"/>
        <w:pageBreakBefore/>
        <w:pBdr>
          <w:bottom w:val="single" w:sz="24" w:space="6" w:color="52B69A"/>
        </w:pBdr>
      </w:pPr>
      <w:bookmarkStart w:id="27" w:name="_Toc24293569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3617">
        <w:trPr>
          <w:cantSplit/>
          <w:jc w:val="center"/>
        </w:trPr>
        <w:tc>
          <w:tcPr>
            <w:tcW w:w="10092" w:type="dxa"/>
            <w:shd w:val="clear" w:color="auto" w:fill="F8FAFC"/>
            <w:tcMar>
              <w:top w:w="160" w:type="dxa"/>
              <w:left w:w="160" w:type="dxa"/>
              <w:bottom w:w="160" w:type="dxa"/>
              <w:right w:w="160" w:type="dxa"/>
            </w:tcMar>
          </w:tcPr>
          <w:p w:rsidR="00FC3617" w:rsidRDefault="0014512D">
            <w:pPr>
              <w:spacing w:after="20" w:line="240" w:lineRule="auto"/>
            </w:pPr>
            <w:r>
              <w:rPr>
                <w:b/>
                <w:color w:val="0F172A"/>
                <w:sz w:val="20"/>
              </w:rPr>
              <w:t>X — Technology Capability</w:t>
            </w:r>
          </w:p>
          <w:p w:rsidR="00FC3617" w:rsidRDefault="0014512D">
            <w:pPr>
              <w:spacing w:after="20" w:line="240" w:lineRule="auto"/>
            </w:pPr>
            <w:r>
              <w:rPr>
                <w:b/>
                <w:color w:val="0F172A"/>
              </w:rPr>
              <w:t>1. Compute &amp; Storage Performance</w:t>
            </w:r>
          </w:p>
          <w:p w:rsidR="00FC3617" w:rsidRDefault="0014512D">
            <w:pPr>
              <w:spacing w:after="20" w:line="240" w:lineRule="auto"/>
              <w:ind w:left="283"/>
            </w:pPr>
            <w:r>
              <w:rPr>
                <w:color w:val="475569"/>
                <w:sz w:val="18"/>
              </w:rPr>
              <w:t>The processing power, memory bandwidth, and storage throughput of servers and storage systems sold for data centers, measured in benchmarks like SPECint or IOP</w:t>
            </w:r>
            <w:r>
              <w:rPr>
                <w:color w:val="475569"/>
                <w:sz w:val="18"/>
              </w:rPr>
              <w:t>S. Strength is evidenced by top-tier performance in independent tests and adoption by hyperscalers for demanding workloads.</w:t>
            </w:r>
          </w:p>
          <w:p w:rsidR="00FC3617" w:rsidRDefault="0014512D">
            <w:pPr>
              <w:spacing w:after="20" w:line="240" w:lineRule="auto"/>
            </w:pPr>
            <w:r>
              <w:rPr>
                <w:b/>
                <w:color w:val="0F172A"/>
              </w:rPr>
              <w:t>2. Power &amp; Cooling Efficiency</w:t>
            </w:r>
          </w:p>
          <w:p w:rsidR="00FC3617" w:rsidRDefault="0014512D">
            <w:pPr>
              <w:spacing w:after="20" w:line="240" w:lineRule="auto"/>
              <w:ind w:left="283"/>
            </w:pPr>
            <w:r>
              <w:rPr>
                <w:color w:val="475569"/>
                <w:sz w:val="18"/>
              </w:rPr>
              <w:t>The energy efficiency of power distribution units (PDUs), uninterruptible power supplies (UPS), and co</w:t>
            </w:r>
            <w:r>
              <w:rPr>
                <w:color w:val="475569"/>
                <w:sz w:val="18"/>
              </w:rPr>
              <w:t>oling systems, often measured by Power Usage Effectiveness (PUE) impact. Strength is shown by industry-leading efficiency ratings and certifications like ENERGY STAR.</w:t>
            </w:r>
          </w:p>
          <w:p w:rsidR="00FC3617" w:rsidRDefault="0014512D">
            <w:pPr>
              <w:spacing w:after="20" w:line="240" w:lineRule="auto"/>
            </w:pPr>
            <w:r>
              <w:rPr>
                <w:b/>
                <w:color w:val="0F172A"/>
              </w:rPr>
              <w:t>3. Rack &amp; Enclosure Density</w:t>
            </w:r>
          </w:p>
          <w:p w:rsidR="00FC3617" w:rsidRDefault="0014512D">
            <w:pPr>
              <w:spacing w:after="20" w:line="240" w:lineRule="auto"/>
              <w:ind w:left="283"/>
            </w:pPr>
            <w:r>
              <w:rPr>
                <w:color w:val="475569"/>
                <w:sz w:val="18"/>
              </w:rPr>
              <w:t xml:space="preserve">The ability of racks and enclosures to support high-density </w:t>
            </w:r>
            <w:r>
              <w:rPr>
                <w:color w:val="475569"/>
                <w:sz w:val="18"/>
              </w:rPr>
              <w:t>equipment, including power capacity per rack, cooling capacity, and physical security features. Strength is evidenced by high kW per rack ratings and modular designs for scalability.</w:t>
            </w:r>
          </w:p>
          <w:p w:rsidR="00FC3617" w:rsidRDefault="0014512D">
            <w:pPr>
              <w:spacing w:after="20" w:line="240" w:lineRule="auto"/>
            </w:pPr>
            <w:r>
              <w:rPr>
                <w:b/>
                <w:color w:val="0F172A"/>
              </w:rPr>
              <w:t>4. DCIM &amp; Management Software</w:t>
            </w:r>
          </w:p>
          <w:p w:rsidR="00FC3617" w:rsidRDefault="0014512D">
            <w:pPr>
              <w:spacing w:after="20" w:line="240" w:lineRule="auto"/>
              <w:ind w:left="283"/>
            </w:pPr>
            <w:r>
              <w:rPr>
                <w:color w:val="475569"/>
                <w:sz w:val="18"/>
              </w:rPr>
              <w:t>The capabilities of data center infrastruct</w:t>
            </w:r>
            <w:r>
              <w:rPr>
                <w:color w:val="475569"/>
                <w:sz w:val="18"/>
              </w:rPr>
              <w:t>ure management (DCIM) software for monitoring, automation, and predictive analytics, including integration with BMS and digital twin features. Strength is shown by real-time visibility, AI-driven optimization, and customer case studies.</w:t>
            </w:r>
          </w:p>
          <w:p w:rsidR="00FC3617" w:rsidRDefault="0014512D">
            <w:pPr>
              <w:spacing w:after="20" w:line="240" w:lineRule="auto"/>
            </w:pPr>
            <w:r>
              <w:rPr>
                <w:b/>
                <w:color w:val="0F172A"/>
              </w:rPr>
              <w:t>5. AI &amp; Sustainabil</w:t>
            </w:r>
            <w:r>
              <w:rPr>
                <w:b/>
                <w:color w:val="0F172A"/>
              </w:rPr>
              <w:t>ity Innovation</w:t>
            </w:r>
          </w:p>
          <w:p w:rsidR="00FC3617" w:rsidRDefault="0014512D">
            <w:pPr>
              <w:spacing w:after="20" w:line="240" w:lineRule="auto"/>
              <w:ind w:left="283"/>
            </w:pPr>
            <w:r>
              <w:rPr>
                <w:color w:val="475569"/>
                <w:sz w:val="18"/>
              </w:rPr>
              <w:t xml:space="preserve">The integration of AI for predictive maintenance and energy optimization, and sustainability features like renewable energy support and carbon footprint tracking. Strength is evidenced by patented technologies, industry awards, and adoption </w:t>
            </w:r>
            <w:r>
              <w:rPr>
                <w:color w:val="475569"/>
                <w:sz w:val="18"/>
              </w:rPr>
              <w:t>in green data center initiatives.</w:t>
            </w:r>
          </w:p>
        </w:tc>
      </w:tr>
    </w:tbl>
    <w:p w:rsidR="00FC3617" w:rsidRDefault="00FC361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C3617">
        <w:trPr>
          <w:cantSplit/>
          <w:jc w:val="center"/>
        </w:trPr>
        <w:tc>
          <w:tcPr>
            <w:tcW w:w="10092" w:type="dxa"/>
            <w:shd w:val="clear" w:color="auto" w:fill="F8FAFC"/>
            <w:tcMar>
              <w:top w:w="160" w:type="dxa"/>
              <w:left w:w="160" w:type="dxa"/>
              <w:bottom w:w="160" w:type="dxa"/>
              <w:right w:w="160" w:type="dxa"/>
            </w:tcMar>
          </w:tcPr>
          <w:p w:rsidR="00FC3617" w:rsidRDefault="0014512D">
            <w:pPr>
              <w:spacing w:after="20" w:line="240" w:lineRule="auto"/>
            </w:pPr>
            <w:r>
              <w:rPr>
                <w:b/>
                <w:color w:val="0F172A"/>
                <w:sz w:val="20"/>
              </w:rPr>
              <w:t>Y — Business Capability</w:t>
            </w:r>
          </w:p>
          <w:p w:rsidR="00FC3617" w:rsidRDefault="0014512D">
            <w:pPr>
              <w:spacing w:after="20" w:line="240" w:lineRule="auto"/>
            </w:pPr>
            <w:r>
              <w:rPr>
                <w:b/>
                <w:color w:val="0F172A"/>
              </w:rPr>
              <w:t>1. Hyperscale &amp; Cloud Customers</w:t>
            </w:r>
          </w:p>
          <w:p w:rsidR="00FC3617" w:rsidRDefault="0014512D">
            <w:pPr>
              <w:spacing w:after="20" w:line="240" w:lineRule="auto"/>
              <w:ind w:left="283"/>
            </w:pPr>
            <w:r>
              <w:rPr>
                <w:color w:val="475569"/>
                <w:sz w:val="18"/>
              </w:rPr>
              <w:t xml:space="preserve">The number and prominence of hyperscale and cloud service provider customers, such as AWS, Google, Microsoft, or Meta, that purchase the company's data center </w:t>
            </w:r>
            <w:r>
              <w:rPr>
                <w:color w:val="475569"/>
                <w:sz w:val="18"/>
              </w:rPr>
              <w:t>products. Strength is evidenced by named contracts, case studies, and repeat business with these large-scale buyers.</w:t>
            </w:r>
          </w:p>
          <w:p w:rsidR="00FC3617" w:rsidRDefault="0014512D">
            <w:pPr>
              <w:spacing w:after="20" w:line="240" w:lineRule="auto"/>
            </w:pPr>
            <w:r>
              <w:rPr>
                <w:b/>
                <w:color w:val="0F172A"/>
              </w:rPr>
              <w:t>2. Global Revenue &amp; Market Share</w:t>
            </w:r>
          </w:p>
          <w:p w:rsidR="00FC3617" w:rsidRDefault="0014512D">
            <w:pPr>
              <w:spacing w:after="20" w:line="240" w:lineRule="auto"/>
              <w:ind w:left="283"/>
            </w:pPr>
            <w:r>
              <w:rPr>
                <w:color w:val="475569"/>
                <w:sz w:val="18"/>
              </w:rPr>
              <w:t>Total annual revenue from data center product sales and the company's share of the global data center hard</w:t>
            </w:r>
            <w:r>
              <w:rPr>
                <w:color w:val="475569"/>
                <w:sz w:val="18"/>
              </w:rPr>
              <w:t>ware or software market. Strength is shown by consistent revenue growth, high market share percentages from analyst firms like IDC or Gartner, and geographic revenue diversity.</w:t>
            </w:r>
          </w:p>
          <w:p w:rsidR="00FC3617" w:rsidRDefault="0014512D">
            <w:pPr>
              <w:spacing w:after="20" w:line="240" w:lineRule="auto"/>
            </w:pPr>
            <w:r>
              <w:rPr>
                <w:b/>
                <w:color w:val="0F172A"/>
              </w:rPr>
              <w:t>3. Installed Base &amp; Deployments</w:t>
            </w:r>
          </w:p>
          <w:p w:rsidR="00FC3617" w:rsidRDefault="0014512D">
            <w:pPr>
              <w:spacing w:after="20" w:line="240" w:lineRule="auto"/>
              <w:ind w:left="283"/>
            </w:pPr>
            <w:r>
              <w:rPr>
                <w:color w:val="475569"/>
                <w:sz w:val="18"/>
              </w:rPr>
              <w:t>The cumulative number of data center products d</w:t>
            </w:r>
            <w:r>
              <w:rPr>
                <w:color w:val="475569"/>
                <w:sz w:val="18"/>
              </w:rPr>
              <w:t>eployed worldwide, including servers, storage, power, cooling, and software licenses. Strength is evidenced by large installed base figures, number of active deployments, and customer retention rates.</w:t>
            </w:r>
          </w:p>
          <w:p w:rsidR="00FC3617" w:rsidRDefault="0014512D">
            <w:pPr>
              <w:spacing w:after="20" w:line="240" w:lineRule="auto"/>
            </w:pPr>
            <w:r>
              <w:rPr>
                <w:b/>
                <w:color w:val="0F172A"/>
              </w:rPr>
              <w:t>4. Strategic Partnerships &amp; Channels</w:t>
            </w:r>
          </w:p>
          <w:p w:rsidR="00FC3617" w:rsidRDefault="0014512D">
            <w:pPr>
              <w:spacing w:after="20" w:line="240" w:lineRule="auto"/>
              <w:ind w:left="283"/>
            </w:pPr>
            <w:r>
              <w:rPr>
                <w:color w:val="475569"/>
                <w:sz w:val="18"/>
              </w:rPr>
              <w:t>The network of tec</w:t>
            </w:r>
            <w:r>
              <w:rPr>
                <w:color w:val="475569"/>
                <w:sz w:val="18"/>
              </w:rPr>
              <w:t>hnology partners, resellers, and distributors that extend market reach, including OEM agreements and channel programs. Strength is shown by named partnerships with major IT distributors, joint solutions with software vendors, and global channel coverage.</w:t>
            </w:r>
          </w:p>
          <w:p w:rsidR="00FC3617" w:rsidRDefault="0014512D">
            <w:pPr>
              <w:spacing w:after="20" w:line="240" w:lineRule="auto"/>
            </w:pPr>
            <w:r>
              <w:rPr>
                <w:b/>
                <w:color w:val="0F172A"/>
              </w:rPr>
              <w:t>5</w:t>
            </w:r>
            <w:r>
              <w:rPr>
                <w:b/>
                <w:color w:val="0F172A"/>
              </w:rPr>
              <w:t>. R&amp;D Investment &amp; Financial Strength</w:t>
            </w:r>
          </w:p>
          <w:p w:rsidR="00FC3617" w:rsidRDefault="0014512D">
            <w:pPr>
              <w:spacing w:after="20" w:line="240" w:lineRule="auto"/>
              <w:ind w:left="283"/>
            </w:pPr>
            <w:r>
              <w:rPr>
                <w:color w:val="475569"/>
                <w:sz w:val="18"/>
              </w:rPr>
              <w:t>The annual research and development spending as a percentage of revenue and overall financial health (e.g., profitability, funding, credit rating) to sustain innovation. Strength is evidenced by high R&amp;D budgets, consi</w:t>
            </w:r>
            <w:r>
              <w:rPr>
                <w:color w:val="475569"/>
                <w:sz w:val="18"/>
              </w:rPr>
              <w:t>stent profitability, and investment from parent companies or investors.</w:t>
            </w:r>
          </w:p>
        </w:tc>
      </w:tr>
    </w:tbl>
    <w:p w:rsidR="00FC3617" w:rsidRDefault="00FC3617"/>
    <w:p w:rsidR="00FC3617" w:rsidRDefault="0014512D">
      <w:pPr>
        <w:pStyle w:val="Heading1"/>
        <w:pageBreakBefore/>
        <w:pBdr>
          <w:bottom w:val="single" w:sz="24" w:space="6" w:color="52B69A"/>
        </w:pBdr>
      </w:pPr>
      <w:bookmarkStart w:id="28" w:name="_Toc242935698"/>
      <w:r>
        <w:lastRenderedPageBreak/>
        <w:t>Research Methodology</w:t>
      </w:r>
      <w:bookmarkEnd w:id="28"/>
    </w:p>
    <w:p w:rsidR="00FC3617" w:rsidRDefault="0014512D">
      <w:pPr>
        <w:spacing w:after="200"/>
      </w:pPr>
      <w:r>
        <w:rPr>
          <w:color w:val="64748B"/>
        </w:rPr>
        <w:t xml:space="preserve">This quadrant was compiled independently through structured secondary research, supplemented by primary research where available. It is not based on a survey or </w:t>
      </w:r>
      <w:r>
        <w:rPr>
          <w:color w:val="64748B"/>
        </w:rPr>
        <w:t>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FC3617">
        <w:trPr>
          <w:cantSplit/>
          <w:jc w:val="center"/>
        </w:trPr>
        <w:tc>
          <w:tcPr>
            <w:tcW w:w="1009" w:type="dxa"/>
            <w:shd w:val="clear" w:color="auto" w:fill="1A759F"/>
            <w:tcMar>
              <w:top w:w="140" w:type="dxa"/>
              <w:left w:w="140" w:type="dxa"/>
              <w:bottom w:w="140" w:type="dxa"/>
              <w:right w:w="140" w:type="dxa"/>
            </w:tcMar>
            <w:vAlign w:val="center"/>
          </w:tcPr>
          <w:p w:rsidR="00FC3617" w:rsidRDefault="0014512D">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FC3617" w:rsidRDefault="0014512D">
            <w:pPr>
              <w:spacing w:after="20" w:line="240" w:lineRule="auto"/>
            </w:pPr>
            <w:r>
              <w:rPr>
                <w:b/>
                <w:color w:val="0F172A"/>
                <w:sz w:val="20"/>
              </w:rPr>
              <w:t>Market Definition</w:t>
            </w:r>
          </w:p>
          <w:p w:rsidR="00FC3617" w:rsidRDefault="0014512D">
            <w:pPr>
              <w:spacing w:after="20" w:line="240" w:lineRule="auto"/>
            </w:pPr>
            <w:r>
              <w:rPr>
                <w:sz w:val="18"/>
              </w:rPr>
              <w:t xml:space="preserve">The market scope and the type of company that qualifies were defined first. Five parameters were then set for each axis, </w:t>
            </w:r>
            <w:r>
              <w:rPr>
                <w:sz w:val="18"/>
              </w:rPr>
              <w:t>each with a written definition: the X axis measures core capability (products, services or technology) and the Y axis measures business capability.</w:t>
            </w:r>
          </w:p>
        </w:tc>
      </w:tr>
      <w:tr w:rsidR="00FC3617">
        <w:trPr>
          <w:cantSplit/>
          <w:jc w:val="center"/>
        </w:trPr>
        <w:tc>
          <w:tcPr>
            <w:tcW w:w="1009" w:type="dxa"/>
            <w:shd w:val="clear" w:color="auto" w:fill="1A759F"/>
            <w:tcMar>
              <w:top w:w="140" w:type="dxa"/>
              <w:left w:w="140" w:type="dxa"/>
              <w:bottom w:w="140" w:type="dxa"/>
              <w:right w:w="140" w:type="dxa"/>
            </w:tcMar>
            <w:vAlign w:val="center"/>
          </w:tcPr>
          <w:p w:rsidR="00FC3617" w:rsidRDefault="0014512D">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FC3617" w:rsidRDefault="0014512D">
            <w:pPr>
              <w:spacing w:after="20" w:line="240" w:lineRule="auto"/>
            </w:pPr>
            <w:r>
              <w:rPr>
                <w:b/>
                <w:color w:val="0F172A"/>
                <w:sz w:val="20"/>
              </w:rPr>
              <w:t>Secondary and Primary Research</w:t>
            </w:r>
          </w:p>
          <w:p w:rsidR="00FC3617" w:rsidRDefault="0014512D">
            <w:pPr>
              <w:spacing w:after="20" w:line="240" w:lineRule="auto"/>
            </w:pPr>
            <w:r>
              <w:rPr>
                <w:sz w:val="18"/>
              </w:rPr>
              <w:t>Secondary research covered company websites, filings, trade directories, i</w:t>
            </w:r>
            <w:r>
              <w:rPr>
                <w:sz w:val="18"/>
              </w:rPr>
              <w:t>ndustry publications and news. Primary research drew on B2B marketplace listings, where available, to confirm company offerings. Coverage was extended region by region until no new qualifying companies emerged.</w:t>
            </w:r>
          </w:p>
        </w:tc>
      </w:tr>
      <w:tr w:rsidR="00FC3617">
        <w:trPr>
          <w:cantSplit/>
          <w:jc w:val="center"/>
        </w:trPr>
        <w:tc>
          <w:tcPr>
            <w:tcW w:w="1009" w:type="dxa"/>
            <w:shd w:val="clear" w:color="auto" w:fill="1A759F"/>
            <w:tcMar>
              <w:top w:w="140" w:type="dxa"/>
              <w:left w:w="140" w:type="dxa"/>
              <w:bottom w:w="140" w:type="dxa"/>
              <w:right w:w="140" w:type="dxa"/>
            </w:tcMar>
            <w:vAlign w:val="center"/>
          </w:tcPr>
          <w:p w:rsidR="00FC3617" w:rsidRDefault="0014512D">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FC3617" w:rsidRDefault="0014512D">
            <w:pPr>
              <w:spacing w:after="20" w:line="240" w:lineRule="auto"/>
            </w:pPr>
            <w:r>
              <w:rPr>
                <w:b/>
                <w:color w:val="0F172A"/>
                <w:sz w:val="20"/>
              </w:rPr>
              <w:t>Screening</w:t>
            </w:r>
          </w:p>
          <w:p w:rsidR="00FC3617" w:rsidRDefault="0014512D">
            <w:pPr>
              <w:spacing w:after="20" w:line="240" w:lineRule="auto"/>
            </w:pPr>
            <w:r>
              <w:rPr>
                <w:sz w:val="18"/>
              </w:rPr>
              <w:t>Each candidate was screened agai</w:t>
            </w:r>
            <w:r>
              <w:rPr>
                <w:sz w:val="18"/>
              </w:rPr>
              <w:t>nst the market's inclusion criteria and required commercial role. Distributors, resellers, consultancies, contract manufacturers and media names were excluded, and duplicates consolidated. Companies whose main business is an adjacent segment are listed but</w:t>
            </w:r>
            <w:r>
              <w:rPr>
                <w:sz w:val="18"/>
              </w:rPr>
              <w:t xml:space="preserve"> not placed on the chart.</w:t>
            </w:r>
          </w:p>
        </w:tc>
      </w:tr>
      <w:tr w:rsidR="00FC3617">
        <w:trPr>
          <w:cantSplit/>
          <w:jc w:val="center"/>
        </w:trPr>
        <w:tc>
          <w:tcPr>
            <w:tcW w:w="1009" w:type="dxa"/>
            <w:shd w:val="clear" w:color="auto" w:fill="1A759F"/>
            <w:tcMar>
              <w:top w:w="140" w:type="dxa"/>
              <w:left w:w="140" w:type="dxa"/>
              <w:bottom w:w="140" w:type="dxa"/>
              <w:right w:w="140" w:type="dxa"/>
            </w:tcMar>
            <w:vAlign w:val="center"/>
          </w:tcPr>
          <w:p w:rsidR="00FC3617" w:rsidRDefault="0014512D">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FC3617" w:rsidRDefault="0014512D">
            <w:pPr>
              <w:spacing w:after="20" w:line="240" w:lineRule="auto"/>
            </w:pPr>
            <w:r>
              <w:rPr>
                <w:b/>
                <w:color w:val="0F172A"/>
                <w:sz w:val="20"/>
              </w:rPr>
              <w:t>Evidence Compilation</w:t>
            </w:r>
          </w:p>
          <w:p w:rsidR="00FC3617" w:rsidRDefault="0014512D">
            <w:pPr>
              <w:spacing w:after="20" w:line="240" w:lineRule="auto"/>
            </w:pPr>
            <w:r>
              <w:rPr>
                <w:sz w:val="18"/>
              </w:rPr>
              <w:t xml:space="preserve">Every screened company was assessed on all ten parameters; for chart companies, evidence was recorded parameter by parameter. Claims resting only on a company's own materials are reported as </w:t>
            </w:r>
            <w:r>
              <w:rPr>
                <w:sz w:val="18"/>
              </w:rPr>
              <w:t>company-reported, partner technology is credited to the partnership, and employee-review sites are not used as customer evidence.</w:t>
            </w:r>
          </w:p>
        </w:tc>
      </w:tr>
      <w:tr w:rsidR="00FC3617">
        <w:trPr>
          <w:cantSplit/>
          <w:jc w:val="center"/>
        </w:trPr>
        <w:tc>
          <w:tcPr>
            <w:tcW w:w="1009" w:type="dxa"/>
            <w:shd w:val="clear" w:color="auto" w:fill="1A759F"/>
            <w:tcMar>
              <w:top w:w="140" w:type="dxa"/>
              <w:left w:w="140" w:type="dxa"/>
              <w:bottom w:w="140" w:type="dxa"/>
              <w:right w:w="140" w:type="dxa"/>
            </w:tcMar>
            <w:vAlign w:val="center"/>
          </w:tcPr>
          <w:p w:rsidR="00FC3617" w:rsidRDefault="0014512D">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FC3617" w:rsidRDefault="0014512D">
            <w:pPr>
              <w:spacing w:after="20" w:line="240" w:lineRule="auto"/>
            </w:pPr>
            <w:r>
              <w:rPr>
                <w:b/>
                <w:color w:val="0F172A"/>
                <w:sz w:val="20"/>
              </w:rPr>
              <w:t>Scoring</w:t>
            </w:r>
          </w:p>
          <w:p w:rsidR="00FC3617" w:rsidRDefault="0014512D">
            <w:pPr>
              <w:spacing w:after="20" w:line="240" w:lineRule="auto"/>
            </w:pPr>
            <w:r>
              <w:rPr>
                <w:sz w:val="18"/>
              </w:rPr>
              <w:t xml:space="preserve">Each parameter is rated 0–100 against its written definition, based on the evidence available. Ratings are analyst </w:t>
            </w:r>
            <w:r>
              <w:rPr>
                <w:sz w:val="18"/>
              </w:rPr>
              <w:t>assessments under this methodology, not independently audited figures. X and Y are the simple average of the five parameter ratings on each axis; overall is the average of X and Y.</w:t>
            </w:r>
          </w:p>
        </w:tc>
      </w:tr>
      <w:tr w:rsidR="00FC3617">
        <w:trPr>
          <w:cantSplit/>
          <w:jc w:val="center"/>
        </w:trPr>
        <w:tc>
          <w:tcPr>
            <w:tcW w:w="1009" w:type="dxa"/>
            <w:shd w:val="clear" w:color="auto" w:fill="1A759F"/>
            <w:tcMar>
              <w:top w:w="140" w:type="dxa"/>
              <w:left w:w="140" w:type="dxa"/>
              <w:bottom w:w="140" w:type="dxa"/>
              <w:right w:w="140" w:type="dxa"/>
            </w:tcMar>
            <w:vAlign w:val="center"/>
          </w:tcPr>
          <w:p w:rsidR="00FC3617" w:rsidRDefault="0014512D">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FC3617" w:rsidRDefault="0014512D">
            <w:pPr>
              <w:spacing w:after="20" w:line="240" w:lineRule="auto"/>
            </w:pPr>
            <w:r>
              <w:rPr>
                <w:b/>
                <w:color w:val="0F172A"/>
                <w:sz w:val="20"/>
              </w:rPr>
              <w:t>Normalization &amp; Selection</w:t>
            </w:r>
          </w:p>
          <w:p w:rsidR="00FC3617" w:rsidRDefault="0014512D">
            <w:pPr>
              <w:spacing w:after="20" w:line="240" w:lineRule="auto"/>
            </w:pPr>
            <w:r>
              <w:rPr>
                <w:sz w:val="18"/>
              </w:rPr>
              <w:t xml:space="preserve">X and Y scores are rescaled to a 65–100 range </w:t>
            </w:r>
            <w:r>
              <w:rPr>
                <w:sz w:val="18"/>
              </w:rPr>
              <w:t>across all companies assessed, preserving their rank order. The chart shows an equal number of companies from each of the four quadrants, with boundaries set at the median. All other companies are listed in the table below the chart.</w:t>
            </w:r>
          </w:p>
        </w:tc>
      </w:tr>
    </w:tbl>
    <w:p w:rsidR="00FC3617" w:rsidRDefault="0014512D">
      <w:pPr>
        <w:spacing w:before="200"/>
      </w:pPr>
      <w:r>
        <w:rPr>
          <w:color w:val="64748B"/>
          <w:sz w:val="17"/>
        </w:rPr>
        <w:t xml:space="preserve">Scoring inputs: each </w:t>
      </w:r>
      <w:r>
        <w:rPr>
          <w:color w:val="64748B"/>
          <w:sz w:val="17"/>
        </w:rPr>
        <w:t>axis is built from five market-specific parameters, defined in the Parameter Definitions section. All parameters are equally weighted.</w:t>
      </w:r>
    </w:p>
    <w:sectPr w:rsidR="00FC3617"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14512D">
      <w:pPr>
        <w:spacing w:after="0" w:line="240" w:lineRule="auto"/>
      </w:pPr>
      <w:r>
        <w:separator/>
      </w:r>
    </w:p>
  </w:endnote>
  <w:endnote w:type="continuationSeparator" w:id="0">
    <w:p w:rsidR="00000000" w:rsidRDefault="00145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3617" w:rsidRDefault="0014512D">
    <w:pPr>
      <w:pStyle w:val="Footer"/>
    </w:pPr>
    <w:r>
      <w:rPr>
        <w:color w:val="64748B"/>
        <w:sz w:val="14"/>
      </w:rPr>
      <w:t>Coherent Quadrant · Global Data Center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73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73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14512D">
      <w:pPr>
        <w:spacing w:after="0" w:line="240" w:lineRule="auto"/>
      </w:pPr>
      <w:r>
        <w:separator/>
      </w:r>
    </w:p>
  </w:footnote>
  <w:footnote w:type="continuationSeparator" w:id="0">
    <w:p w:rsidR="00000000" w:rsidRDefault="001451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512D"/>
    <w:rsid w:val="0015074B"/>
    <w:rsid w:val="0029639D"/>
    <w:rsid w:val="00326F90"/>
    <w:rsid w:val="00AA1D8D"/>
    <w:rsid w:val="00B47730"/>
    <w:rsid w:val="00CB0664"/>
    <w:rsid w:val="00FC3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232458C-AF2E-444B-80D4-913841298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4512D"/>
    <w:pPr>
      <w:spacing w:after="100"/>
    </w:pPr>
  </w:style>
  <w:style w:type="paragraph" w:styleId="TOC2">
    <w:name w:val="toc 2"/>
    <w:basedOn w:val="Normal"/>
    <w:next w:val="Normal"/>
    <w:autoRedefine/>
    <w:uiPriority w:val="39"/>
    <w:unhideWhenUsed/>
    <w:rsid w:val="0014512D"/>
    <w:pPr>
      <w:spacing w:after="100"/>
      <w:ind w:left="190"/>
    </w:pPr>
  </w:style>
  <w:style w:type="character" w:styleId="Hyperlink">
    <w:name w:val="Hyperlink"/>
    <w:basedOn w:val="DefaultParagraphFont"/>
    <w:uiPriority w:val="99"/>
    <w:unhideWhenUsed/>
    <w:rsid w:val="001451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B4D6D5-732A-4154-AD99-737D3677B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32974</Words>
  <Characters>187953</Characters>
  <Application>Microsoft Office Word</Application>
  <DocSecurity>0</DocSecurity>
  <Lines>1566</Lines>
  <Paragraphs>440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220487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2026-10-15T12:47:00Z</dcterms:modified>
  <cp:category/>
</cp:coreProperties>
</file>