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C508BE">
        <w:trPr>
          <w:cantSplit/>
          <w:jc w:val="center"/>
        </w:trPr>
        <w:tc>
          <w:tcPr>
            <w:tcW w:w="10092" w:type="dxa"/>
            <w:shd w:val="clear" w:color="auto" w:fill="002857"/>
            <w:tcMar>
              <w:top w:w="600" w:type="dxa"/>
              <w:left w:w="600" w:type="dxa"/>
              <w:bottom w:w="600" w:type="dxa"/>
              <w:right w:w="600" w:type="dxa"/>
            </w:tcMar>
            <w:vAlign w:val="bottom"/>
          </w:tcPr>
          <w:p w:rsidR="00C508BE" w:rsidRDefault="00122E45">
            <w:pPr>
              <w:spacing w:before="2400" w:after="20" w:line="240" w:lineRule="auto"/>
            </w:pPr>
            <w:bookmarkStart w:id="0" w:name="_GoBack"/>
            <w:bookmarkEnd w:id="0"/>
            <w:r>
              <w:rPr>
                <w:b/>
                <w:color w:val="E2E8F0"/>
                <w:spacing w:val="60"/>
                <w:sz w:val="21"/>
              </w:rPr>
              <w:t>Coherent Quadrant</w:t>
            </w:r>
          </w:p>
          <w:p w:rsidR="00C508BE" w:rsidRDefault="00122E45">
            <w:pPr>
              <w:pBdr>
                <w:bottom w:val="single" w:sz="24" w:space="10" w:color="52B69A"/>
              </w:pBdr>
              <w:spacing w:after="120" w:line="240" w:lineRule="auto"/>
            </w:pPr>
            <w:r>
              <w:rPr>
                <w:b/>
                <w:color w:val="FFFFFF"/>
                <w:sz w:val="52"/>
              </w:rPr>
              <w:t>Global Trade Finance Market</w:t>
            </w:r>
          </w:p>
          <w:p w:rsidR="00C508BE" w:rsidRDefault="00122E45">
            <w:pPr>
              <w:spacing w:after="40" w:line="240" w:lineRule="auto"/>
            </w:pPr>
            <w:r>
              <w:rPr>
                <w:b/>
                <w:color w:val="FFFFFF"/>
                <w:sz w:val="22"/>
              </w:rPr>
              <w:t>Global</w:t>
            </w:r>
          </w:p>
          <w:p w:rsidR="00C508BE" w:rsidRDefault="00122E45">
            <w:pPr>
              <w:spacing w:after="360" w:line="240" w:lineRule="auto"/>
            </w:pPr>
            <w:r>
              <w:rPr>
                <w:color w:val="CBD5E1"/>
                <w:sz w:val="20"/>
              </w:rPr>
              <w:t>136 Solution Provider scored on Technology Capability (X) and Business Capability (Y)</w:t>
            </w:r>
          </w:p>
        </w:tc>
      </w:tr>
    </w:tbl>
    <w:p w:rsidR="00C508BE" w:rsidRDefault="00C508BE">
      <w:pPr>
        <w:spacing w:after="120"/>
      </w:pPr>
    </w:p>
    <w:p w:rsidR="00C508BE" w:rsidRDefault="00122E45">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C508BE">
        <w:trPr>
          <w:cantSplit/>
          <w:jc w:val="center"/>
        </w:trPr>
        <w:tc>
          <w:tcPr>
            <w:tcW w:w="5046" w:type="dxa"/>
            <w:gridSpan w:val="2"/>
            <w:shd w:val="clear" w:color="auto" w:fill="F8FAFC"/>
            <w:tcMar>
              <w:top w:w="160" w:type="dxa"/>
              <w:left w:w="160" w:type="dxa"/>
              <w:bottom w:w="160" w:type="dxa"/>
              <w:right w:w="160" w:type="dxa"/>
            </w:tcMar>
          </w:tcPr>
          <w:p w:rsidR="00C508BE" w:rsidRDefault="00122E45">
            <w:pPr>
              <w:spacing w:after="20" w:line="240" w:lineRule="auto"/>
            </w:pPr>
            <w:r>
              <w:rPr>
                <w:b/>
                <w:color w:val="0F172A"/>
                <w:sz w:val="20"/>
              </w:rPr>
              <w:t>Market</w:t>
            </w:r>
          </w:p>
          <w:p w:rsidR="00C508BE" w:rsidRDefault="00122E45">
            <w:pPr>
              <w:spacing w:after="20" w:line="240" w:lineRule="auto"/>
            </w:pPr>
            <w:r>
              <w:t>Global Trade Finance Market</w:t>
            </w:r>
          </w:p>
          <w:p w:rsidR="00C508BE" w:rsidRDefault="00122E45">
            <w:pPr>
              <w:spacing w:after="20" w:line="240" w:lineRule="auto"/>
            </w:pPr>
            <w:r>
              <w:rPr>
                <w:b/>
                <w:color w:val="0F172A"/>
                <w:sz w:val="20"/>
              </w:rPr>
              <w:t>Market Type</w:t>
            </w:r>
          </w:p>
          <w:p w:rsidR="00C508BE" w:rsidRDefault="00122E45">
            <w:pPr>
              <w:spacing w:after="20" w:line="240" w:lineRule="auto"/>
            </w:pPr>
            <w:r>
              <w:t xml:space="preserve">The Global Trade Finance Market covers the </w:t>
            </w:r>
            <w:r>
              <w:t>financing, risk mitigation and settlement of domestic and cross-border trade: documentary letters of credit, standby letters of credit, documentary collections, bank guarantees and bonds (bid, performance, advance payment, financial guarantee), trade loans</w:t>
            </w:r>
            <w:r>
              <w:t xml:space="preserve"> and supply-chain / receivables finance, across short, medium and long tenors. This landscape compares the technology and network providers that enable trade finance: the software platforms banks, financial institutions and corporates use to originate, pro</w:t>
            </w:r>
            <w:r>
              <w:t>cess and manage trade finance, and the digital connectivity, documentation and transaction networks that carry trade data and documents between the parties.</w:t>
            </w:r>
          </w:p>
        </w:tc>
        <w:tc>
          <w:tcPr>
            <w:tcW w:w="5046" w:type="dxa"/>
            <w:gridSpan w:val="2"/>
            <w:shd w:val="clear" w:color="auto" w:fill="F8FAFC"/>
            <w:tcMar>
              <w:top w:w="160" w:type="dxa"/>
              <w:left w:w="160" w:type="dxa"/>
              <w:bottom w:w="160" w:type="dxa"/>
              <w:right w:w="160" w:type="dxa"/>
            </w:tcMar>
          </w:tcPr>
          <w:p w:rsidR="00C508BE" w:rsidRDefault="00122E45">
            <w:pPr>
              <w:spacing w:after="20" w:line="240" w:lineRule="auto"/>
            </w:pPr>
            <w:r>
              <w:rPr>
                <w:b/>
                <w:color w:val="0F172A"/>
                <w:sz w:val="20"/>
              </w:rPr>
              <w:t>Provider Categories in this Market</w:t>
            </w:r>
          </w:p>
          <w:p w:rsidR="00C508BE" w:rsidRDefault="00122E45">
            <w:pPr>
              <w:spacing w:after="20" w:line="240" w:lineRule="auto"/>
            </w:pPr>
            <w:r>
              <w:rPr>
                <w:b/>
                <w:color w:val="0F172A"/>
              </w:rPr>
              <w:t xml:space="preserve">1. </w:t>
            </w:r>
            <w:r>
              <w:rPr>
                <w:color w:val="0F172A"/>
              </w:rPr>
              <w:t>Solution Provider</w:t>
            </w:r>
          </w:p>
          <w:p w:rsidR="00C508BE" w:rsidRDefault="00122E45">
            <w:pPr>
              <w:spacing w:after="20" w:line="240" w:lineRule="auto"/>
            </w:pPr>
            <w:r>
              <w:rPr>
                <w:color w:val="64748B"/>
                <w:sz w:val="17"/>
              </w:rPr>
              <w:t>Set by the market brief (_pipeline/market_b</w:t>
            </w:r>
            <w:r>
              <w:rPr>
                <w:color w:val="64748B"/>
                <w:sz w:val="17"/>
              </w:rPr>
              <w:t>rief.json).</w:t>
            </w:r>
          </w:p>
        </w:tc>
      </w:tr>
      <w:tr w:rsidR="00C508B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C508BE" w:rsidRDefault="00122E45">
            <w:pPr>
              <w:spacing w:after="20" w:line="240" w:lineRule="auto"/>
            </w:pPr>
            <w:r>
              <w:rPr>
                <w:b/>
                <w:color w:val="FFFFFF"/>
                <w:sz w:val="48"/>
              </w:rPr>
              <w:t>136</w:t>
            </w:r>
          </w:p>
          <w:p w:rsidR="00C508BE" w:rsidRDefault="00122E45">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C508BE" w:rsidRDefault="00122E45">
            <w:pPr>
              <w:spacing w:after="20" w:line="240" w:lineRule="auto"/>
            </w:pPr>
            <w:r>
              <w:rPr>
                <w:b/>
                <w:color w:val="FFFFFF"/>
                <w:sz w:val="48"/>
              </w:rPr>
              <w:t>20</w:t>
            </w:r>
          </w:p>
          <w:p w:rsidR="00C508BE" w:rsidRDefault="00122E45">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C508BE" w:rsidRDefault="00122E45">
            <w:pPr>
              <w:spacing w:after="20" w:line="240" w:lineRule="auto"/>
            </w:pPr>
            <w:r>
              <w:rPr>
                <w:b/>
                <w:color w:val="FFFFFF"/>
                <w:sz w:val="48"/>
              </w:rPr>
              <w:t>20</w:t>
            </w:r>
          </w:p>
          <w:p w:rsidR="00C508BE" w:rsidRDefault="00122E45">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C508BE" w:rsidRDefault="00122E45">
            <w:pPr>
              <w:spacing w:after="20" w:line="240" w:lineRule="auto"/>
            </w:pPr>
            <w:r>
              <w:rPr>
                <w:b/>
                <w:color w:val="FFFFFF"/>
                <w:sz w:val="48"/>
              </w:rPr>
              <w:t>4</w:t>
            </w:r>
          </w:p>
          <w:p w:rsidR="00C508BE" w:rsidRDefault="00122E45">
            <w:pPr>
              <w:spacing w:after="20" w:line="240" w:lineRule="auto"/>
            </w:pPr>
            <w:r>
              <w:rPr>
                <w:color w:val="E2E8F0"/>
                <w:sz w:val="18"/>
              </w:rPr>
              <w:t>Quadrants</w:t>
            </w:r>
          </w:p>
        </w:tc>
      </w:tr>
    </w:tbl>
    <w:p w:rsidR="00C508BE" w:rsidRDefault="00122E45">
      <w:pPr>
        <w:pageBreakBefore/>
        <w:pBdr>
          <w:bottom w:val="single" w:sz="24" w:space="6" w:color="52B69A"/>
        </w:pBdr>
        <w:spacing w:after="160"/>
      </w:pPr>
      <w:r>
        <w:rPr>
          <w:b/>
          <w:color w:val="002857"/>
          <w:sz w:val="40"/>
        </w:rPr>
        <w:lastRenderedPageBreak/>
        <w:t>Contents</w:t>
      </w:r>
    </w:p>
    <w:p w:rsidR="00122E45" w:rsidRDefault="00122E45">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420531" w:history="1">
        <w:r w:rsidRPr="000A36A6">
          <w:rPr>
            <w:rStyle w:val="Hyperlink"/>
            <w:noProof/>
          </w:rPr>
          <w:t>Market Scoring Parameters</w:t>
        </w:r>
        <w:r>
          <w:rPr>
            <w:noProof/>
            <w:webHidden/>
          </w:rPr>
          <w:tab/>
        </w:r>
        <w:r>
          <w:rPr>
            <w:noProof/>
            <w:webHidden/>
          </w:rPr>
          <w:fldChar w:fldCharType="begin"/>
        </w:r>
        <w:r>
          <w:rPr>
            <w:noProof/>
            <w:webHidden/>
          </w:rPr>
          <w:instrText xml:space="preserve"> PAGEREF _Toc242420531 \h </w:instrText>
        </w:r>
        <w:r>
          <w:rPr>
            <w:noProof/>
            <w:webHidden/>
          </w:rPr>
        </w:r>
        <w:r>
          <w:rPr>
            <w:noProof/>
            <w:webHidden/>
          </w:rPr>
          <w:fldChar w:fldCharType="separate"/>
        </w:r>
        <w:r>
          <w:rPr>
            <w:noProof/>
            <w:webHidden/>
          </w:rPr>
          <w:t>3</w:t>
        </w:r>
        <w:r>
          <w:rPr>
            <w:noProof/>
            <w:webHidden/>
          </w:rPr>
          <w:fldChar w:fldCharType="end"/>
        </w:r>
      </w:hyperlink>
    </w:p>
    <w:p w:rsidR="00122E45" w:rsidRDefault="00122E45">
      <w:pPr>
        <w:pStyle w:val="TOC1"/>
        <w:tabs>
          <w:tab w:val="right" w:leader="dot" w:pos="10082"/>
        </w:tabs>
        <w:rPr>
          <w:rFonts w:asciiTheme="minorHAnsi" w:eastAsiaTheme="minorEastAsia" w:hAnsiTheme="minorHAnsi"/>
          <w:noProof/>
          <w:color w:val="auto"/>
          <w:sz w:val="22"/>
        </w:rPr>
      </w:pPr>
      <w:hyperlink w:anchor="_Toc242420532" w:history="1">
        <w:r w:rsidRPr="000A36A6">
          <w:rPr>
            <w:rStyle w:val="Hyperlink"/>
            <w:noProof/>
          </w:rPr>
          <w:t>Quadrant Positioning</w:t>
        </w:r>
        <w:r>
          <w:rPr>
            <w:noProof/>
            <w:webHidden/>
          </w:rPr>
          <w:tab/>
        </w:r>
        <w:r>
          <w:rPr>
            <w:noProof/>
            <w:webHidden/>
          </w:rPr>
          <w:fldChar w:fldCharType="begin"/>
        </w:r>
        <w:r>
          <w:rPr>
            <w:noProof/>
            <w:webHidden/>
          </w:rPr>
          <w:instrText xml:space="preserve"> PAGEREF _Toc242420532 \h </w:instrText>
        </w:r>
        <w:r>
          <w:rPr>
            <w:noProof/>
            <w:webHidden/>
          </w:rPr>
        </w:r>
        <w:r>
          <w:rPr>
            <w:noProof/>
            <w:webHidden/>
          </w:rPr>
          <w:fldChar w:fldCharType="separate"/>
        </w:r>
        <w:r>
          <w:rPr>
            <w:noProof/>
            <w:webHidden/>
          </w:rPr>
          <w:t>4</w:t>
        </w:r>
        <w:r>
          <w:rPr>
            <w:noProof/>
            <w:webHidden/>
          </w:rPr>
          <w:fldChar w:fldCharType="end"/>
        </w:r>
      </w:hyperlink>
    </w:p>
    <w:p w:rsidR="00122E45" w:rsidRDefault="00122E45">
      <w:pPr>
        <w:pStyle w:val="TOC1"/>
        <w:tabs>
          <w:tab w:val="right" w:leader="dot" w:pos="10082"/>
        </w:tabs>
        <w:rPr>
          <w:rFonts w:asciiTheme="minorHAnsi" w:eastAsiaTheme="minorEastAsia" w:hAnsiTheme="minorHAnsi"/>
          <w:noProof/>
          <w:color w:val="auto"/>
          <w:sz w:val="22"/>
        </w:rPr>
      </w:pPr>
      <w:hyperlink w:anchor="_Toc242420533" w:history="1">
        <w:r w:rsidRPr="000A36A6">
          <w:rPr>
            <w:rStyle w:val="Hyperlink"/>
            <w:noProof/>
          </w:rPr>
          <w:t>What Each Quadrant Means</w:t>
        </w:r>
        <w:r>
          <w:rPr>
            <w:noProof/>
            <w:webHidden/>
          </w:rPr>
          <w:tab/>
        </w:r>
        <w:r>
          <w:rPr>
            <w:noProof/>
            <w:webHidden/>
          </w:rPr>
          <w:fldChar w:fldCharType="begin"/>
        </w:r>
        <w:r>
          <w:rPr>
            <w:noProof/>
            <w:webHidden/>
          </w:rPr>
          <w:instrText xml:space="preserve"> PAGEREF _Toc242420533 \h </w:instrText>
        </w:r>
        <w:r>
          <w:rPr>
            <w:noProof/>
            <w:webHidden/>
          </w:rPr>
        </w:r>
        <w:r>
          <w:rPr>
            <w:noProof/>
            <w:webHidden/>
          </w:rPr>
          <w:fldChar w:fldCharType="separate"/>
        </w:r>
        <w:r>
          <w:rPr>
            <w:noProof/>
            <w:webHidden/>
          </w:rPr>
          <w:t>5</w:t>
        </w:r>
        <w:r>
          <w:rPr>
            <w:noProof/>
            <w:webHidden/>
          </w:rPr>
          <w:fldChar w:fldCharType="end"/>
        </w:r>
      </w:hyperlink>
    </w:p>
    <w:p w:rsidR="00122E45" w:rsidRDefault="00122E45">
      <w:pPr>
        <w:pStyle w:val="TOC1"/>
        <w:tabs>
          <w:tab w:val="right" w:leader="dot" w:pos="10082"/>
        </w:tabs>
        <w:rPr>
          <w:rFonts w:asciiTheme="minorHAnsi" w:eastAsiaTheme="minorEastAsia" w:hAnsiTheme="minorHAnsi"/>
          <w:noProof/>
          <w:color w:val="auto"/>
          <w:sz w:val="22"/>
        </w:rPr>
      </w:pPr>
      <w:hyperlink w:anchor="_Toc242420534" w:history="1">
        <w:r w:rsidRPr="000A36A6">
          <w:rPr>
            <w:rStyle w:val="Hyperlink"/>
            <w:noProof/>
          </w:rPr>
          <w:t>Top 20 Companies</w:t>
        </w:r>
        <w:r>
          <w:rPr>
            <w:noProof/>
            <w:webHidden/>
          </w:rPr>
          <w:tab/>
        </w:r>
        <w:r>
          <w:rPr>
            <w:noProof/>
            <w:webHidden/>
          </w:rPr>
          <w:fldChar w:fldCharType="begin"/>
        </w:r>
        <w:r>
          <w:rPr>
            <w:noProof/>
            <w:webHidden/>
          </w:rPr>
          <w:instrText xml:space="preserve"> PAGEREF _Toc242420534 \h </w:instrText>
        </w:r>
        <w:r>
          <w:rPr>
            <w:noProof/>
            <w:webHidden/>
          </w:rPr>
        </w:r>
        <w:r>
          <w:rPr>
            <w:noProof/>
            <w:webHidden/>
          </w:rPr>
          <w:fldChar w:fldCharType="separate"/>
        </w:r>
        <w:r>
          <w:rPr>
            <w:noProof/>
            <w:webHidden/>
          </w:rPr>
          <w:t>6</w:t>
        </w:r>
        <w:r>
          <w:rPr>
            <w:noProof/>
            <w:webHidden/>
          </w:rPr>
          <w:fldChar w:fldCharType="end"/>
        </w:r>
      </w:hyperlink>
    </w:p>
    <w:p w:rsidR="00122E45" w:rsidRDefault="00122E45">
      <w:pPr>
        <w:pStyle w:val="TOC1"/>
        <w:tabs>
          <w:tab w:val="right" w:leader="dot" w:pos="10082"/>
        </w:tabs>
        <w:rPr>
          <w:rFonts w:asciiTheme="minorHAnsi" w:eastAsiaTheme="minorEastAsia" w:hAnsiTheme="minorHAnsi"/>
          <w:noProof/>
          <w:color w:val="auto"/>
          <w:sz w:val="22"/>
        </w:rPr>
      </w:pPr>
      <w:hyperlink w:anchor="_Toc242420535" w:history="1">
        <w:r w:rsidRPr="000A36A6">
          <w:rPr>
            <w:rStyle w:val="Hyperlink"/>
            <w:noProof/>
          </w:rPr>
          <w:t>Other Noticeable Players</w:t>
        </w:r>
        <w:r>
          <w:rPr>
            <w:noProof/>
            <w:webHidden/>
          </w:rPr>
          <w:tab/>
        </w:r>
        <w:r>
          <w:rPr>
            <w:noProof/>
            <w:webHidden/>
          </w:rPr>
          <w:fldChar w:fldCharType="begin"/>
        </w:r>
        <w:r>
          <w:rPr>
            <w:noProof/>
            <w:webHidden/>
          </w:rPr>
          <w:instrText xml:space="preserve"> PAGEREF _Toc242420535 \h </w:instrText>
        </w:r>
        <w:r>
          <w:rPr>
            <w:noProof/>
            <w:webHidden/>
          </w:rPr>
        </w:r>
        <w:r>
          <w:rPr>
            <w:noProof/>
            <w:webHidden/>
          </w:rPr>
          <w:fldChar w:fldCharType="separate"/>
        </w:r>
        <w:r>
          <w:rPr>
            <w:noProof/>
            <w:webHidden/>
          </w:rPr>
          <w:t>7</w:t>
        </w:r>
        <w:r>
          <w:rPr>
            <w:noProof/>
            <w:webHidden/>
          </w:rPr>
          <w:fldChar w:fldCharType="end"/>
        </w:r>
      </w:hyperlink>
    </w:p>
    <w:p w:rsidR="00122E45" w:rsidRDefault="00122E45">
      <w:pPr>
        <w:pStyle w:val="TOC1"/>
        <w:tabs>
          <w:tab w:val="right" w:leader="dot" w:pos="10082"/>
        </w:tabs>
        <w:rPr>
          <w:rFonts w:asciiTheme="minorHAnsi" w:eastAsiaTheme="minorEastAsia" w:hAnsiTheme="minorHAnsi"/>
          <w:noProof/>
          <w:color w:val="auto"/>
          <w:sz w:val="22"/>
        </w:rPr>
      </w:pPr>
      <w:hyperlink w:anchor="_Toc242420536" w:history="1">
        <w:r w:rsidRPr="000A36A6">
          <w:rPr>
            <w:rStyle w:val="Hyperlink"/>
            <w:noProof/>
          </w:rPr>
          <w:t>Parameter Detail by Company</w:t>
        </w:r>
        <w:r>
          <w:rPr>
            <w:noProof/>
            <w:webHidden/>
          </w:rPr>
          <w:tab/>
        </w:r>
        <w:r>
          <w:rPr>
            <w:noProof/>
            <w:webHidden/>
          </w:rPr>
          <w:fldChar w:fldCharType="begin"/>
        </w:r>
        <w:r>
          <w:rPr>
            <w:noProof/>
            <w:webHidden/>
          </w:rPr>
          <w:instrText xml:space="preserve"> PAGEREF _Toc242420536 \h </w:instrText>
        </w:r>
        <w:r>
          <w:rPr>
            <w:noProof/>
            <w:webHidden/>
          </w:rPr>
        </w:r>
        <w:r>
          <w:rPr>
            <w:noProof/>
            <w:webHidden/>
          </w:rPr>
          <w:fldChar w:fldCharType="separate"/>
        </w:r>
        <w:r>
          <w:rPr>
            <w:noProof/>
            <w:webHidden/>
          </w:rPr>
          <w:t>12</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37" w:history="1">
        <w:r w:rsidRPr="000A36A6">
          <w:rPr>
            <w:rStyle w:val="Hyperlink"/>
            <w:noProof/>
          </w:rPr>
          <w:t>Komgo SA</w:t>
        </w:r>
        <w:r>
          <w:rPr>
            <w:noProof/>
            <w:webHidden/>
          </w:rPr>
          <w:tab/>
        </w:r>
        <w:r>
          <w:rPr>
            <w:noProof/>
            <w:webHidden/>
          </w:rPr>
          <w:fldChar w:fldCharType="begin"/>
        </w:r>
        <w:r>
          <w:rPr>
            <w:noProof/>
            <w:webHidden/>
          </w:rPr>
          <w:instrText xml:space="preserve"> PAGEREF _Toc242420537 \h </w:instrText>
        </w:r>
        <w:r>
          <w:rPr>
            <w:noProof/>
            <w:webHidden/>
          </w:rPr>
        </w:r>
        <w:r>
          <w:rPr>
            <w:noProof/>
            <w:webHidden/>
          </w:rPr>
          <w:fldChar w:fldCharType="separate"/>
        </w:r>
        <w:r>
          <w:rPr>
            <w:noProof/>
            <w:webHidden/>
          </w:rPr>
          <w:t>12</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38" w:history="1">
        <w:r w:rsidRPr="000A36A6">
          <w:rPr>
            <w:rStyle w:val="Hyperlink"/>
            <w:noProof/>
          </w:rPr>
          <w:t>Surecomp</w:t>
        </w:r>
        <w:r>
          <w:rPr>
            <w:noProof/>
            <w:webHidden/>
          </w:rPr>
          <w:tab/>
        </w:r>
        <w:r>
          <w:rPr>
            <w:noProof/>
            <w:webHidden/>
          </w:rPr>
          <w:fldChar w:fldCharType="begin"/>
        </w:r>
        <w:r>
          <w:rPr>
            <w:noProof/>
            <w:webHidden/>
          </w:rPr>
          <w:instrText xml:space="preserve"> PAGEREF _Toc242420538 \h </w:instrText>
        </w:r>
        <w:r>
          <w:rPr>
            <w:noProof/>
            <w:webHidden/>
          </w:rPr>
        </w:r>
        <w:r>
          <w:rPr>
            <w:noProof/>
            <w:webHidden/>
          </w:rPr>
          <w:fldChar w:fldCharType="separate"/>
        </w:r>
        <w:r>
          <w:rPr>
            <w:noProof/>
            <w:webHidden/>
          </w:rPr>
          <w:t>15</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39" w:history="1">
        <w:r w:rsidRPr="000A36A6">
          <w:rPr>
            <w:rStyle w:val="Hyperlink"/>
            <w:noProof/>
          </w:rPr>
          <w:t>TRAYDSTREAM LIMITED</w:t>
        </w:r>
        <w:r>
          <w:rPr>
            <w:noProof/>
            <w:webHidden/>
          </w:rPr>
          <w:tab/>
        </w:r>
        <w:r>
          <w:rPr>
            <w:noProof/>
            <w:webHidden/>
          </w:rPr>
          <w:fldChar w:fldCharType="begin"/>
        </w:r>
        <w:r>
          <w:rPr>
            <w:noProof/>
            <w:webHidden/>
          </w:rPr>
          <w:instrText xml:space="preserve"> PAGEREF _Toc242420539 \h </w:instrText>
        </w:r>
        <w:r>
          <w:rPr>
            <w:noProof/>
            <w:webHidden/>
          </w:rPr>
        </w:r>
        <w:r>
          <w:rPr>
            <w:noProof/>
            <w:webHidden/>
          </w:rPr>
          <w:fldChar w:fldCharType="separate"/>
        </w:r>
        <w:r>
          <w:rPr>
            <w:noProof/>
            <w:webHidden/>
          </w:rPr>
          <w:t>18</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40" w:history="1">
        <w:r w:rsidRPr="000A36A6">
          <w:rPr>
            <w:rStyle w:val="Hyperlink"/>
            <w:noProof/>
          </w:rPr>
          <w:t>Linklogis Inc.</w:t>
        </w:r>
        <w:r>
          <w:rPr>
            <w:noProof/>
            <w:webHidden/>
          </w:rPr>
          <w:tab/>
        </w:r>
        <w:r>
          <w:rPr>
            <w:noProof/>
            <w:webHidden/>
          </w:rPr>
          <w:fldChar w:fldCharType="begin"/>
        </w:r>
        <w:r>
          <w:rPr>
            <w:noProof/>
            <w:webHidden/>
          </w:rPr>
          <w:instrText xml:space="preserve"> PAGEREF _Toc242420540 \h </w:instrText>
        </w:r>
        <w:r>
          <w:rPr>
            <w:noProof/>
            <w:webHidden/>
          </w:rPr>
        </w:r>
        <w:r>
          <w:rPr>
            <w:noProof/>
            <w:webHidden/>
          </w:rPr>
          <w:fldChar w:fldCharType="separate"/>
        </w:r>
        <w:r>
          <w:rPr>
            <w:noProof/>
            <w:webHidden/>
          </w:rPr>
          <w:t>21</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41" w:history="1">
        <w:r w:rsidRPr="000A36A6">
          <w:rPr>
            <w:rStyle w:val="Hyperlink"/>
            <w:noProof/>
          </w:rPr>
          <w:t>LiquidX, Inc.</w:t>
        </w:r>
        <w:r>
          <w:rPr>
            <w:noProof/>
            <w:webHidden/>
          </w:rPr>
          <w:tab/>
        </w:r>
        <w:r>
          <w:rPr>
            <w:noProof/>
            <w:webHidden/>
          </w:rPr>
          <w:fldChar w:fldCharType="begin"/>
        </w:r>
        <w:r>
          <w:rPr>
            <w:noProof/>
            <w:webHidden/>
          </w:rPr>
          <w:instrText xml:space="preserve"> PAGEREF _Toc242420541 \h </w:instrText>
        </w:r>
        <w:r>
          <w:rPr>
            <w:noProof/>
            <w:webHidden/>
          </w:rPr>
        </w:r>
        <w:r>
          <w:rPr>
            <w:noProof/>
            <w:webHidden/>
          </w:rPr>
          <w:fldChar w:fldCharType="separate"/>
        </w:r>
        <w:r>
          <w:rPr>
            <w:noProof/>
            <w:webHidden/>
          </w:rPr>
          <w:t>24</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42" w:history="1">
        <w:r w:rsidRPr="000A36A6">
          <w:rPr>
            <w:rStyle w:val="Hyperlink"/>
            <w:noProof/>
          </w:rPr>
          <w:t>C2FO</w:t>
        </w:r>
        <w:r>
          <w:rPr>
            <w:noProof/>
            <w:webHidden/>
          </w:rPr>
          <w:tab/>
        </w:r>
        <w:r>
          <w:rPr>
            <w:noProof/>
            <w:webHidden/>
          </w:rPr>
          <w:fldChar w:fldCharType="begin"/>
        </w:r>
        <w:r>
          <w:rPr>
            <w:noProof/>
            <w:webHidden/>
          </w:rPr>
          <w:instrText xml:space="preserve"> PAGEREF _Toc242420542 \h </w:instrText>
        </w:r>
        <w:r>
          <w:rPr>
            <w:noProof/>
            <w:webHidden/>
          </w:rPr>
        </w:r>
        <w:r>
          <w:rPr>
            <w:noProof/>
            <w:webHidden/>
          </w:rPr>
          <w:fldChar w:fldCharType="separate"/>
        </w:r>
        <w:r>
          <w:rPr>
            <w:noProof/>
            <w:webHidden/>
          </w:rPr>
          <w:t>27</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43" w:history="1">
        <w:r w:rsidRPr="000A36A6">
          <w:rPr>
            <w:rStyle w:val="Hyperlink"/>
            <w:noProof/>
          </w:rPr>
          <w:t>OGYDocs Inc.</w:t>
        </w:r>
        <w:r>
          <w:rPr>
            <w:noProof/>
            <w:webHidden/>
          </w:rPr>
          <w:tab/>
        </w:r>
        <w:r>
          <w:rPr>
            <w:noProof/>
            <w:webHidden/>
          </w:rPr>
          <w:fldChar w:fldCharType="begin"/>
        </w:r>
        <w:r>
          <w:rPr>
            <w:noProof/>
            <w:webHidden/>
          </w:rPr>
          <w:instrText xml:space="preserve"> PAGEREF _Toc242420543 \h </w:instrText>
        </w:r>
        <w:r>
          <w:rPr>
            <w:noProof/>
            <w:webHidden/>
          </w:rPr>
        </w:r>
        <w:r>
          <w:rPr>
            <w:noProof/>
            <w:webHidden/>
          </w:rPr>
          <w:fldChar w:fldCharType="separate"/>
        </w:r>
        <w:r>
          <w:rPr>
            <w:noProof/>
            <w:webHidden/>
          </w:rPr>
          <w:t>30</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44" w:history="1">
        <w:r w:rsidRPr="000A36A6">
          <w:rPr>
            <w:rStyle w:val="Hyperlink"/>
            <w:noProof/>
          </w:rPr>
          <w:t>Premium Technology Inc.</w:t>
        </w:r>
        <w:r>
          <w:rPr>
            <w:noProof/>
            <w:webHidden/>
          </w:rPr>
          <w:tab/>
        </w:r>
        <w:r>
          <w:rPr>
            <w:noProof/>
            <w:webHidden/>
          </w:rPr>
          <w:fldChar w:fldCharType="begin"/>
        </w:r>
        <w:r>
          <w:rPr>
            <w:noProof/>
            <w:webHidden/>
          </w:rPr>
          <w:instrText xml:space="preserve"> PAGEREF _Toc242420544 \h </w:instrText>
        </w:r>
        <w:r>
          <w:rPr>
            <w:noProof/>
            <w:webHidden/>
          </w:rPr>
        </w:r>
        <w:r>
          <w:rPr>
            <w:noProof/>
            <w:webHidden/>
          </w:rPr>
          <w:fldChar w:fldCharType="separate"/>
        </w:r>
        <w:r>
          <w:rPr>
            <w:noProof/>
            <w:webHidden/>
          </w:rPr>
          <w:t>33</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45" w:history="1">
        <w:r w:rsidRPr="000A36A6">
          <w:rPr>
            <w:rStyle w:val="Hyperlink"/>
            <w:noProof/>
          </w:rPr>
          <w:t>VoloFin Corp</w:t>
        </w:r>
        <w:r>
          <w:rPr>
            <w:noProof/>
            <w:webHidden/>
          </w:rPr>
          <w:tab/>
        </w:r>
        <w:r>
          <w:rPr>
            <w:noProof/>
            <w:webHidden/>
          </w:rPr>
          <w:fldChar w:fldCharType="begin"/>
        </w:r>
        <w:r>
          <w:rPr>
            <w:noProof/>
            <w:webHidden/>
          </w:rPr>
          <w:instrText xml:space="preserve"> PAGEREF _Toc242420545 \h </w:instrText>
        </w:r>
        <w:r>
          <w:rPr>
            <w:noProof/>
            <w:webHidden/>
          </w:rPr>
        </w:r>
        <w:r>
          <w:rPr>
            <w:noProof/>
            <w:webHidden/>
          </w:rPr>
          <w:fldChar w:fldCharType="separate"/>
        </w:r>
        <w:r>
          <w:rPr>
            <w:noProof/>
            <w:webHidden/>
          </w:rPr>
          <w:t>36</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46" w:history="1">
        <w:r w:rsidRPr="000A36A6">
          <w:rPr>
            <w:rStyle w:val="Hyperlink"/>
            <w:noProof/>
          </w:rPr>
          <w:t>Monkey Servicos de Tecnologia Ltda.</w:t>
        </w:r>
        <w:r>
          <w:rPr>
            <w:noProof/>
            <w:webHidden/>
          </w:rPr>
          <w:tab/>
        </w:r>
        <w:r>
          <w:rPr>
            <w:noProof/>
            <w:webHidden/>
          </w:rPr>
          <w:fldChar w:fldCharType="begin"/>
        </w:r>
        <w:r>
          <w:rPr>
            <w:noProof/>
            <w:webHidden/>
          </w:rPr>
          <w:instrText xml:space="preserve"> PAGEREF _Toc242420546 \h </w:instrText>
        </w:r>
        <w:r>
          <w:rPr>
            <w:noProof/>
            <w:webHidden/>
          </w:rPr>
        </w:r>
        <w:r>
          <w:rPr>
            <w:noProof/>
            <w:webHidden/>
          </w:rPr>
          <w:fldChar w:fldCharType="separate"/>
        </w:r>
        <w:r>
          <w:rPr>
            <w:noProof/>
            <w:webHidden/>
          </w:rPr>
          <w:t>39</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47" w:history="1">
        <w:r w:rsidRPr="000A36A6">
          <w:rPr>
            <w:rStyle w:val="Hyperlink"/>
            <w:noProof/>
          </w:rPr>
          <w:t>China Systems Corporation</w:t>
        </w:r>
        <w:r>
          <w:rPr>
            <w:noProof/>
            <w:webHidden/>
          </w:rPr>
          <w:tab/>
        </w:r>
        <w:r>
          <w:rPr>
            <w:noProof/>
            <w:webHidden/>
          </w:rPr>
          <w:fldChar w:fldCharType="begin"/>
        </w:r>
        <w:r>
          <w:rPr>
            <w:noProof/>
            <w:webHidden/>
          </w:rPr>
          <w:instrText xml:space="preserve"> PAGEREF _Toc242420547 \h </w:instrText>
        </w:r>
        <w:r>
          <w:rPr>
            <w:noProof/>
            <w:webHidden/>
          </w:rPr>
        </w:r>
        <w:r>
          <w:rPr>
            <w:noProof/>
            <w:webHidden/>
          </w:rPr>
          <w:fldChar w:fldCharType="separate"/>
        </w:r>
        <w:r>
          <w:rPr>
            <w:noProof/>
            <w:webHidden/>
          </w:rPr>
          <w:t>41</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48" w:history="1">
        <w:r w:rsidRPr="000A36A6">
          <w:rPr>
            <w:rStyle w:val="Hyperlink"/>
            <w:noProof/>
          </w:rPr>
          <w:t>KredX</w:t>
        </w:r>
        <w:r>
          <w:rPr>
            <w:noProof/>
            <w:webHidden/>
          </w:rPr>
          <w:tab/>
        </w:r>
        <w:r>
          <w:rPr>
            <w:noProof/>
            <w:webHidden/>
          </w:rPr>
          <w:fldChar w:fldCharType="begin"/>
        </w:r>
        <w:r>
          <w:rPr>
            <w:noProof/>
            <w:webHidden/>
          </w:rPr>
          <w:instrText xml:space="preserve"> PAGEREF _Toc242420548 \h </w:instrText>
        </w:r>
        <w:r>
          <w:rPr>
            <w:noProof/>
            <w:webHidden/>
          </w:rPr>
        </w:r>
        <w:r>
          <w:rPr>
            <w:noProof/>
            <w:webHidden/>
          </w:rPr>
          <w:fldChar w:fldCharType="separate"/>
        </w:r>
        <w:r>
          <w:rPr>
            <w:noProof/>
            <w:webHidden/>
          </w:rPr>
          <w:t>44</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49" w:history="1">
        <w:r w:rsidRPr="000A36A6">
          <w:rPr>
            <w:rStyle w:val="Hyperlink"/>
            <w:noProof/>
          </w:rPr>
          <w:t>360tf Trade Fintech Pte. Ltd.</w:t>
        </w:r>
        <w:r>
          <w:rPr>
            <w:noProof/>
            <w:webHidden/>
          </w:rPr>
          <w:tab/>
        </w:r>
        <w:r>
          <w:rPr>
            <w:noProof/>
            <w:webHidden/>
          </w:rPr>
          <w:fldChar w:fldCharType="begin"/>
        </w:r>
        <w:r>
          <w:rPr>
            <w:noProof/>
            <w:webHidden/>
          </w:rPr>
          <w:instrText xml:space="preserve"> PAGEREF _Toc242420549 \h </w:instrText>
        </w:r>
        <w:r>
          <w:rPr>
            <w:noProof/>
            <w:webHidden/>
          </w:rPr>
        </w:r>
        <w:r>
          <w:rPr>
            <w:noProof/>
            <w:webHidden/>
          </w:rPr>
          <w:fldChar w:fldCharType="separate"/>
        </w:r>
        <w:r>
          <w:rPr>
            <w:noProof/>
            <w:webHidden/>
          </w:rPr>
          <w:t>47</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50" w:history="1">
        <w:r w:rsidRPr="000A36A6">
          <w:rPr>
            <w:rStyle w:val="Hyperlink"/>
            <w:noProof/>
          </w:rPr>
          <w:t>Kyzer Software India Pvt Ltd</w:t>
        </w:r>
        <w:r>
          <w:rPr>
            <w:noProof/>
            <w:webHidden/>
          </w:rPr>
          <w:tab/>
        </w:r>
        <w:r>
          <w:rPr>
            <w:noProof/>
            <w:webHidden/>
          </w:rPr>
          <w:fldChar w:fldCharType="begin"/>
        </w:r>
        <w:r>
          <w:rPr>
            <w:noProof/>
            <w:webHidden/>
          </w:rPr>
          <w:instrText xml:space="preserve"> PAGEREF _Toc242420550 \h </w:instrText>
        </w:r>
        <w:r>
          <w:rPr>
            <w:noProof/>
            <w:webHidden/>
          </w:rPr>
        </w:r>
        <w:r>
          <w:rPr>
            <w:noProof/>
            <w:webHidden/>
          </w:rPr>
          <w:fldChar w:fldCharType="separate"/>
        </w:r>
        <w:r>
          <w:rPr>
            <w:noProof/>
            <w:webHidden/>
          </w:rPr>
          <w:t>50</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51" w:history="1">
        <w:r w:rsidRPr="000A36A6">
          <w:rPr>
            <w:rStyle w:val="Hyperlink"/>
            <w:noProof/>
          </w:rPr>
          <w:t>Xalts Technologies Pte. Ltd.</w:t>
        </w:r>
        <w:r>
          <w:rPr>
            <w:noProof/>
            <w:webHidden/>
          </w:rPr>
          <w:tab/>
        </w:r>
        <w:r>
          <w:rPr>
            <w:noProof/>
            <w:webHidden/>
          </w:rPr>
          <w:fldChar w:fldCharType="begin"/>
        </w:r>
        <w:r>
          <w:rPr>
            <w:noProof/>
            <w:webHidden/>
          </w:rPr>
          <w:instrText xml:space="preserve"> PAGEREF _Toc242420551 \h </w:instrText>
        </w:r>
        <w:r>
          <w:rPr>
            <w:noProof/>
            <w:webHidden/>
          </w:rPr>
        </w:r>
        <w:r>
          <w:rPr>
            <w:noProof/>
            <w:webHidden/>
          </w:rPr>
          <w:fldChar w:fldCharType="separate"/>
        </w:r>
        <w:r>
          <w:rPr>
            <w:noProof/>
            <w:webHidden/>
          </w:rPr>
          <w:t>53</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52" w:history="1">
        <w:r w:rsidRPr="000A36A6">
          <w:rPr>
            <w:rStyle w:val="Hyperlink"/>
            <w:noProof/>
          </w:rPr>
          <w:t>TradeAssets DMCC</w:t>
        </w:r>
        <w:r>
          <w:rPr>
            <w:noProof/>
            <w:webHidden/>
          </w:rPr>
          <w:tab/>
        </w:r>
        <w:r>
          <w:rPr>
            <w:noProof/>
            <w:webHidden/>
          </w:rPr>
          <w:fldChar w:fldCharType="begin"/>
        </w:r>
        <w:r>
          <w:rPr>
            <w:noProof/>
            <w:webHidden/>
          </w:rPr>
          <w:instrText xml:space="preserve"> PAGEREF _Toc242420552 \h </w:instrText>
        </w:r>
        <w:r>
          <w:rPr>
            <w:noProof/>
            <w:webHidden/>
          </w:rPr>
        </w:r>
        <w:r>
          <w:rPr>
            <w:noProof/>
            <w:webHidden/>
          </w:rPr>
          <w:fldChar w:fldCharType="separate"/>
        </w:r>
        <w:r>
          <w:rPr>
            <w:noProof/>
            <w:webHidden/>
          </w:rPr>
          <w:t>55</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53" w:history="1">
        <w:r w:rsidRPr="000A36A6">
          <w:rPr>
            <w:rStyle w:val="Hyperlink"/>
            <w:noProof/>
          </w:rPr>
          <w:t>RootAnt Global Pte Ltd</w:t>
        </w:r>
        <w:r>
          <w:rPr>
            <w:noProof/>
            <w:webHidden/>
          </w:rPr>
          <w:tab/>
        </w:r>
        <w:r>
          <w:rPr>
            <w:noProof/>
            <w:webHidden/>
          </w:rPr>
          <w:fldChar w:fldCharType="begin"/>
        </w:r>
        <w:r>
          <w:rPr>
            <w:noProof/>
            <w:webHidden/>
          </w:rPr>
          <w:instrText xml:space="preserve"> PAGEREF _Toc242420553 \h </w:instrText>
        </w:r>
        <w:r>
          <w:rPr>
            <w:noProof/>
            <w:webHidden/>
          </w:rPr>
        </w:r>
        <w:r>
          <w:rPr>
            <w:noProof/>
            <w:webHidden/>
          </w:rPr>
          <w:fldChar w:fldCharType="separate"/>
        </w:r>
        <w:r>
          <w:rPr>
            <w:noProof/>
            <w:webHidden/>
          </w:rPr>
          <w:t>58</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54" w:history="1">
        <w:r w:rsidRPr="000A36A6">
          <w:rPr>
            <w:rStyle w:val="Hyperlink"/>
            <w:noProof/>
          </w:rPr>
          <w:t>Bay Smart Capital Ventures (Singapore) Pte. Ltd.</w:t>
        </w:r>
        <w:r>
          <w:rPr>
            <w:noProof/>
            <w:webHidden/>
          </w:rPr>
          <w:tab/>
        </w:r>
        <w:r>
          <w:rPr>
            <w:noProof/>
            <w:webHidden/>
          </w:rPr>
          <w:fldChar w:fldCharType="begin"/>
        </w:r>
        <w:r>
          <w:rPr>
            <w:noProof/>
            <w:webHidden/>
          </w:rPr>
          <w:instrText xml:space="preserve"> PAGEREF _Toc242420554 \h </w:instrText>
        </w:r>
        <w:r>
          <w:rPr>
            <w:noProof/>
            <w:webHidden/>
          </w:rPr>
        </w:r>
        <w:r>
          <w:rPr>
            <w:noProof/>
            <w:webHidden/>
          </w:rPr>
          <w:fldChar w:fldCharType="separate"/>
        </w:r>
        <w:r>
          <w:rPr>
            <w:noProof/>
            <w:webHidden/>
          </w:rPr>
          <w:t>60</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55" w:history="1">
        <w:r w:rsidRPr="000A36A6">
          <w:rPr>
            <w:rStyle w:val="Hyperlink"/>
            <w:noProof/>
          </w:rPr>
          <w:t>Fiducia Data Services Limited</w:t>
        </w:r>
        <w:r>
          <w:rPr>
            <w:noProof/>
            <w:webHidden/>
          </w:rPr>
          <w:tab/>
        </w:r>
        <w:r>
          <w:rPr>
            <w:noProof/>
            <w:webHidden/>
          </w:rPr>
          <w:fldChar w:fldCharType="begin"/>
        </w:r>
        <w:r>
          <w:rPr>
            <w:noProof/>
            <w:webHidden/>
          </w:rPr>
          <w:instrText xml:space="preserve"> PAGEREF _Toc242420555 \h </w:instrText>
        </w:r>
        <w:r>
          <w:rPr>
            <w:noProof/>
            <w:webHidden/>
          </w:rPr>
        </w:r>
        <w:r>
          <w:rPr>
            <w:noProof/>
            <w:webHidden/>
          </w:rPr>
          <w:fldChar w:fldCharType="separate"/>
        </w:r>
        <w:r>
          <w:rPr>
            <w:noProof/>
            <w:webHidden/>
          </w:rPr>
          <w:t>62</w:t>
        </w:r>
        <w:r>
          <w:rPr>
            <w:noProof/>
            <w:webHidden/>
          </w:rPr>
          <w:fldChar w:fldCharType="end"/>
        </w:r>
      </w:hyperlink>
    </w:p>
    <w:p w:rsidR="00122E45" w:rsidRDefault="00122E45">
      <w:pPr>
        <w:pStyle w:val="TOC2"/>
        <w:tabs>
          <w:tab w:val="right" w:leader="dot" w:pos="10082"/>
        </w:tabs>
        <w:rPr>
          <w:rFonts w:asciiTheme="minorHAnsi" w:eastAsiaTheme="minorEastAsia" w:hAnsiTheme="minorHAnsi"/>
          <w:noProof/>
          <w:color w:val="auto"/>
          <w:sz w:val="22"/>
        </w:rPr>
      </w:pPr>
      <w:hyperlink w:anchor="_Toc242420556" w:history="1">
        <w:r w:rsidRPr="000A36A6">
          <w:rPr>
            <w:rStyle w:val="Hyperlink"/>
            <w:noProof/>
          </w:rPr>
          <w:t>Efficient Finance Ltd.</w:t>
        </w:r>
        <w:r>
          <w:rPr>
            <w:noProof/>
            <w:webHidden/>
          </w:rPr>
          <w:tab/>
        </w:r>
        <w:r>
          <w:rPr>
            <w:noProof/>
            <w:webHidden/>
          </w:rPr>
          <w:fldChar w:fldCharType="begin"/>
        </w:r>
        <w:r>
          <w:rPr>
            <w:noProof/>
            <w:webHidden/>
          </w:rPr>
          <w:instrText xml:space="preserve"> PAGEREF _Toc242420556 \h </w:instrText>
        </w:r>
        <w:r>
          <w:rPr>
            <w:noProof/>
            <w:webHidden/>
          </w:rPr>
        </w:r>
        <w:r>
          <w:rPr>
            <w:noProof/>
            <w:webHidden/>
          </w:rPr>
          <w:fldChar w:fldCharType="separate"/>
        </w:r>
        <w:r>
          <w:rPr>
            <w:noProof/>
            <w:webHidden/>
          </w:rPr>
          <w:t>64</w:t>
        </w:r>
        <w:r>
          <w:rPr>
            <w:noProof/>
            <w:webHidden/>
          </w:rPr>
          <w:fldChar w:fldCharType="end"/>
        </w:r>
      </w:hyperlink>
    </w:p>
    <w:p w:rsidR="00122E45" w:rsidRDefault="00122E45">
      <w:pPr>
        <w:pStyle w:val="TOC1"/>
        <w:tabs>
          <w:tab w:val="right" w:leader="dot" w:pos="10082"/>
        </w:tabs>
        <w:rPr>
          <w:rFonts w:asciiTheme="minorHAnsi" w:eastAsiaTheme="minorEastAsia" w:hAnsiTheme="minorHAnsi"/>
          <w:noProof/>
          <w:color w:val="auto"/>
          <w:sz w:val="22"/>
        </w:rPr>
      </w:pPr>
      <w:hyperlink w:anchor="_Toc242420557" w:history="1">
        <w:r w:rsidRPr="000A36A6">
          <w:rPr>
            <w:rStyle w:val="Hyperlink"/>
            <w:noProof/>
          </w:rPr>
          <w:t>Parameter Definitions</w:t>
        </w:r>
        <w:r>
          <w:rPr>
            <w:noProof/>
            <w:webHidden/>
          </w:rPr>
          <w:tab/>
        </w:r>
        <w:r>
          <w:rPr>
            <w:noProof/>
            <w:webHidden/>
          </w:rPr>
          <w:fldChar w:fldCharType="begin"/>
        </w:r>
        <w:r>
          <w:rPr>
            <w:noProof/>
            <w:webHidden/>
          </w:rPr>
          <w:instrText xml:space="preserve"> PAGEREF _Toc242420557 \h </w:instrText>
        </w:r>
        <w:r>
          <w:rPr>
            <w:noProof/>
            <w:webHidden/>
          </w:rPr>
        </w:r>
        <w:r>
          <w:rPr>
            <w:noProof/>
            <w:webHidden/>
          </w:rPr>
          <w:fldChar w:fldCharType="separate"/>
        </w:r>
        <w:r>
          <w:rPr>
            <w:noProof/>
            <w:webHidden/>
          </w:rPr>
          <w:t>66</w:t>
        </w:r>
        <w:r>
          <w:rPr>
            <w:noProof/>
            <w:webHidden/>
          </w:rPr>
          <w:fldChar w:fldCharType="end"/>
        </w:r>
      </w:hyperlink>
    </w:p>
    <w:p w:rsidR="00122E45" w:rsidRDefault="00122E45">
      <w:pPr>
        <w:pStyle w:val="TOC1"/>
        <w:tabs>
          <w:tab w:val="right" w:leader="dot" w:pos="10082"/>
        </w:tabs>
        <w:rPr>
          <w:rFonts w:asciiTheme="minorHAnsi" w:eastAsiaTheme="minorEastAsia" w:hAnsiTheme="minorHAnsi"/>
          <w:noProof/>
          <w:color w:val="auto"/>
          <w:sz w:val="22"/>
        </w:rPr>
      </w:pPr>
      <w:hyperlink w:anchor="_Toc242420558" w:history="1">
        <w:r w:rsidRPr="000A36A6">
          <w:rPr>
            <w:rStyle w:val="Hyperlink"/>
            <w:noProof/>
          </w:rPr>
          <w:t>Research Methodology</w:t>
        </w:r>
        <w:r>
          <w:rPr>
            <w:noProof/>
            <w:webHidden/>
          </w:rPr>
          <w:tab/>
        </w:r>
        <w:r>
          <w:rPr>
            <w:noProof/>
            <w:webHidden/>
          </w:rPr>
          <w:fldChar w:fldCharType="begin"/>
        </w:r>
        <w:r>
          <w:rPr>
            <w:noProof/>
            <w:webHidden/>
          </w:rPr>
          <w:instrText xml:space="preserve"> PAGEREF _Toc242420558 \h </w:instrText>
        </w:r>
        <w:r>
          <w:rPr>
            <w:noProof/>
            <w:webHidden/>
          </w:rPr>
        </w:r>
        <w:r>
          <w:rPr>
            <w:noProof/>
            <w:webHidden/>
          </w:rPr>
          <w:fldChar w:fldCharType="separate"/>
        </w:r>
        <w:r>
          <w:rPr>
            <w:noProof/>
            <w:webHidden/>
          </w:rPr>
          <w:t>67</w:t>
        </w:r>
        <w:r>
          <w:rPr>
            <w:noProof/>
            <w:webHidden/>
          </w:rPr>
          <w:fldChar w:fldCharType="end"/>
        </w:r>
      </w:hyperlink>
    </w:p>
    <w:p w:rsidR="00C508BE" w:rsidRDefault="00122E45">
      <w:r>
        <w:fldChar w:fldCharType="end"/>
      </w:r>
    </w:p>
    <w:p w:rsidR="00C508BE" w:rsidRDefault="00122E45">
      <w:pPr>
        <w:pStyle w:val="Heading1"/>
        <w:pageBreakBefore/>
        <w:pBdr>
          <w:bottom w:val="single" w:sz="24" w:space="6" w:color="52B69A"/>
        </w:pBdr>
      </w:pPr>
      <w:bookmarkStart w:id="1" w:name="_Toc24242053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C508BE">
        <w:trPr>
          <w:cantSplit/>
          <w:jc w:val="center"/>
        </w:trPr>
        <w:tc>
          <w:tcPr>
            <w:tcW w:w="5046" w:type="dxa"/>
            <w:shd w:val="clear" w:color="auto" w:fill="F8FAFC"/>
            <w:tcMar>
              <w:top w:w="160" w:type="dxa"/>
              <w:left w:w="160" w:type="dxa"/>
              <w:bottom w:w="160" w:type="dxa"/>
              <w:right w:w="160" w:type="dxa"/>
            </w:tcMar>
          </w:tcPr>
          <w:p w:rsidR="00C508BE" w:rsidRDefault="00122E45">
            <w:pPr>
              <w:spacing w:after="20" w:line="240" w:lineRule="auto"/>
            </w:pPr>
            <w:r>
              <w:rPr>
                <w:b/>
                <w:color w:val="0F172A"/>
                <w:sz w:val="20"/>
              </w:rPr>
              <w:t>X — Technology Capability</w:t>
            </w:r>
          </w:p>
          <w:p w:rsidR="00C508BE" w:rsidRDefault="00122E45">
            <w:pPr>
              <w:spacing w:after="20" w:line="240" w:lineRule="auto"/>
            </w:pPr>
            <w:r>
              <w:rPr>
                <w:b/>
                <w:color w:val="0F172A"/>
              </w:rPr>
              <w:t xml:space="preserve">1. </w:t>
            </w:r>
            <w:r>
              <w:rPr>
                <w:color w:val="0F172A"/>
              </w:rPr>
              <w:t>Trade Finance Product Breadth</w:t>
            </w:r>
          </w:p>
          <w:p w:rsidR="00C508BE" w:rsidRDefault="00122E45">
            <w:pPr>
              <w:spacing w:after="20" w:line="240" w:lineRule="auto"/>
            </w:pPr>
            <w:r>
              <w:rPr>
                <w:b/>
                <w:color w:val="0F172A"/>
              </w:rPr>
              <w:t xml:space="preserve">2. </w:t>
            </w:r>
            <w:r>
              <w:rPr>
                <w:color w:val="0F172A"/>
              </w:rPr>
              <w:t xml:space="preserve">Document Checking &amp; </w:t>
            </w:r>
            <w:r>
              <w:rPr>
                <w:color w:val="0F172A"/>
              </w:rPr>
              <w:t>Compliance Automation</w:t>
            </w:r>
          </w:p>
          <w:p w:rsidR="00C508BE" w:rsidRDefault="00122E45">
            <w:pPr>
              <w:spacing w:after="20" w:line="240" w:lineRule="auto"/>
            </w:pPr>
            <w:r>
              <w:rPr>
                <w:b/>
                <w:color w:val="0F172A"/>
              </w:rPr>
              <w:t xml:space="preserve">3. </w:t>
            </w:r>
            <w:r>
              <w:rPr>
                <w:color w:val="0F172A"/>
              </w:rPr>
              <w:t>Digital Trade Network &amp; Interoperability</w:t>
            </w:r>
          </w:p>
          <w:p w:rsidR="00C508BE" w:rsidRDefault="00122E45">
            <w:pPr>
              <w:spacing w:after="20" w:line="240" w:lineRule="auto"/>
            </w:pPr>
            <w:r>
              <w:rPr>
                <w:b/>
                <w:color w:val="0F172A"/>
              </w:rPr>
              <w:t xml:space="preserve">4. </w:t>
            </w:r>
            <w:r>
              <w:rPr>
                <w:color w:val="0F172A"/>
              </w:rPr>
              <w:t>Platform Architecture &amp; Scalability</w:t>
            </w:r>
          </w:p>
          <w:p w:rsidR="00C508BE" w:rsidRDefault="00122E45">
            <w:pPr>
              <w:spacing w:after="20" w:line="240" w:lineRule="auto"/>
            </w:pPr>
            <w:r>
              <w:rPr>
                <w:b/>
                <w:color w:val="0F172A"/>
              </w:rPr>
              <w:t xml:space="preserve">5. </w:t>
            </w:r>
            <w:r>
              <w:rPr>
                <w:color w:val="0F172A"/>
              </w:rPr>
              <w:t>Innovation &amp; Roadmap</w:t>
            </w:r>
          </w:p>
        </w:tc>
        <w:tc>
          <w:tcPr>
            <w:tcW w:w="5046" w:type="dxa"/>
            <w:shd w:val="clear" w:color="auto" w:fill="F8FAFC"/>
            <w:tcMar>
              <w:top w:w="160" w:type="dxa"/>
              <w:left w:w="160" w:type="dxa"/>
              <w:bottom w:w="160" w:type="dxa"/>
              <w:right w:w="160" w:type="dxa"/>
            </w:tcMar>
          </w:tcPr>
          <w:p w:rsidR="00C508BE" w:rsidRDefault="00122E45">
            <w:pPr>
              <w:spacing w:after="20" w:line="240" w:lineRule="auto"/>
            </w:pPr>
            <w:r>
              <w:rPr>
                <w:b/>
                <w:color w:val="0F172A"/>
                <w:sz w:val="20"/>
              </w:rPr>
              <w:t>Y — Business Capability</w:t>
            </w:r>
          </w:p>
          <w:p w:rsidR="00C508BE" w:rsidRDefault="00122E45">
            <w:pPr>
              <w:spacing w:after="20" w:line="240" w:lineRule="auto"/>
            </w:pPr>
            <w:r>
              <w:rPr>
                <w:b/>
                <w:color w:val="0F172A"/>
              </w:rPr>
              <w:t xml:space="preserve">1. </w:t>
            </w:r>
            <w:r>
              <w:rPr>
                <w:color w:val="0F172A"/>
              </w:rPr>
              <w:t>Named Bank &amp; Corporate Customers</w:t>
            </w:r>
          </w:p>
          <w:p w:rsidR="00C508BE" w:rsidRDefault="00122E45">
            <w:pPr>
              <w:spacing w:after="20" w:line="240" w:lineRule="auto"/>
            </w:pPr>
            <w:r>
              <w:rPr>
                <w:b/>
                <w:color w:val="0F172A"/>
              </w:rPr>
              <w:t xml:space="preserve">2. </w:t>
            </w:r>
            <w:r>
              <w:rPr>
                <w:color w:val="0F172A"/>
              </w:rPr>
              <w:t>Revenue &amp; Growth</w:t>
            </w:r>
          </w:p>
          <w:p w:rsidR="00C508BE" w:rsidRDefault="00122E45">
            <w:pPr>
              <w:spacing w:after="20" w:line="240" w:lineRule="auto"/>
            </w:pPr>
            <w:r>
              <w:rPr>
                <w:b/>
                <w:color w:val="0F172A"/>
              </w:rPr>
              <w:t xml:space="preserve">3. </w:t>
            </w:r>
            <w:r>
              <w:rPr>
                <w:color w:val="0F172A"/>
              </w:rPr>
              <w:t>Global Footprint &amp; Local Support</w:t>
            </w:r>
          </w:p>
          <w:p w:rsidR="00C508BE" w:rsidRDefault="00122E45">
            <w:pPr>
              <w:spacing w:after="20" w:line="240" w:lineRule="auto"/>
            </w:pPr>
            <w:r>
              <w:rPr>
                <w:b/>
                <w:color w:val="0F172A"/>
              </w:rPr>
              <w:t xml:space="preserve">4. </w:t>
            </w:r>
            <w:r>
              <w:rPr>
                <w:color w:val="0F172A"/>
              </w:rPr>
              <w:t xml:space="preserve">Funding </w:t>
            </w:r>
            <w:r>
              <w:rPr>
                <w:color w:val="0F172A"/>
              </w:rPr>
              <w:t>&amp; Ownership</w:t>
            </w:r>
          </w:p>
          <w:p w:rsidR="00C508BE" w:rsidRDefault="00122E45">
            <w:pPr>
              <w:spacing w:after="20" w:line="240" w:lineRule="auto"/>
            </w:pPr>
            <w:r>
              <w:rPr>
                <w:b/>
                <w:color w:val="0F172A"/>
              </w:rPr>
              <w:t xml:space="preserve">5. </w:t>
            </w:r>
            <w:r>
              <w:rPr>
                <w:color w:val="0F172A"/>
              </w:rPr>
              <w:t>Market Share &amp; Installed Base</w:t>
            </w:r>
          </w:p>
        </w:tc>
      </w:tr>
    </w:tbl>
    <w:p w:rsidR="00C508BE" w:rsidRDefault="00122E45">
      <w:pPr>
        <w:pStyle w:val="Heading1"/>
        <w:pageBreakBefore/>
        <w:pBdr>
          <w:bottom w:val="single" w:sz="24" w:space="6" w:color="52B69A"/>
        </w:pBdr>
      </w:pPr>
      <w:bookmarkStart w:id="2" w:name="_Toc242420532"/>
      <w:r>
        <w:lastRenderedPageBreak/>
        <w:t>Quadrant Positioning</w:t>
      </w:r>
      <w:bookmarkEnd w:id="2"/>
    </w:p>
    <w:p w:rsidR="00C508BE" w:rsidRDefault="00122E45">
      <w:pPr>
        <w:spacing w:after="200"/>
      </w:pPr>
      <w:r>
        <w:rPr>
          <w:color w:val="64748B"/>
        </w:rPr>
        <w:t>(20 on chart · 136 in total)</w:t>
      </w:r>
    </w:p>
    <w:p w:rsidR="00C508BE" w:rsidRDefault="00122E45">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C508BE" w:rsidRDefault="00122E45">
      <w:pPr>
        <w:spacing w:after="20"/>
      </w:pPr>
      <w:r>
        <w:rPr>
          <w:b/>
          <w:sz w:val="18"/>
        </w:rPr>
        <w:t>Countries on chart (by quadrant)</w:t>
      </w:r>
    </w:p>
    <w:p w:rsidR="00C508BE" w:rsidRDefault="00122E45">
      <w:r>
        <w:rPr>
          <w:sz w:val="18"/>
        </w:rPr>
        <w:t>Leaders: Switzerland×1, Canada×1, United Kingdom×1, China×1, United States×1 · Challengers: United States×2, Israel×1, Singap</w:t>
      </w:r>
      <w:r>
        <w:rPr>
          <w:sz w:val="18"/>
        </w:rPr>
        <w:t>ore×1, Brazil×1 · Trailblazers: Taiwan×1, India×2, Singapore×2 · Evolving Players: United Arab Emirates×1, Singapore×2, Nigeria×1, Israel×1</w:t>
      </w:r>
    </w:p>
    <w:p w:rsidR="00C508BE" w:rsidRDefault="00122E45">
      <w:pPr>
        <w:pStyle w:val="Heading1"/>
        <w:pageBreakBefore/>
        <w:pBdr>
          <w:bottom w:val="single" w:sz="24" w:space="6" w:color="52B69A"/>
        </w:pBdr>
      </w:pPr>
      <w:bookmarkStart w:id="3" w:name="_Toc24242053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508BE">
        <w:trPr>
          <w:cantSplit/>
          <w:jc w:val="center"/>
        </w:trPr>
        <w:tc>
          <w:tcPr>
            <w:tcW w:w="10092" w:type="dxa"/>
            <w:shd w:val="clear" w:color="auto" w:fill="F8FAFC"/>
            <w:tcMar>
              <w:top w:w="160" w:type="dxa"/>
              <w:left w:w="160" w:type="dxa"/>
              <w:bottom w:w="160" w:type="dxa"/>
              <w:right w:w="160" w:type="dxa"/>
            </w:tcMar>
          </w:tcPr>
          <w:p w:rsidR="00C508BE" w:rsidRDefault="00122E45">
            <w:pPr>
              <w:spacing w:after="20" w:line="240" w:lineRule="auto"/>
            </w:pPr>
            <w:r>
              <w:rPr>
                <w:b/>
                <w:color w:val="0F172A"/>
                <w:sz w:val="16"/>
              </w:rPr>
              <w:t>Leaders</w:t>
            </w:r>
            <w:r>
              <w:rPr>
                <w:b/>
                <w:color w:val="0F172A"/>
                <w:sz w:val="22"/>
              </w:rPr>
              <w:t xml:space="preserve">   Integrated Market Leaders</w:t>
            </w:r>
          </w:p>
          <w:p w:rsidR="00C508BE" w:rsidRDefault="00122E45">
            <w:pPr>
              <w:spacing w:after="20" w:line="240" w:lineRule="auto"/>
            </w:pPr>
            <w:r>
              <w:rPr>
                <w:color w:val="64748B"/>
                <w:sz w:val="17"/>
              </w:rPr>
              <w:t xml:space="preserve">Best-in-class Technology Capability, Best-in-class </w:t>
            </w:r>
            <w:r>
              <w:rPr>
                <w:color w:val="64748B"/>
                <w:sz w:val="17"/>
              </w:rPr>
              <w:t>Business Capability</w:t>
            </w:r>
          </w:p>
          <w:p w:rsidR="00C508BE" w:rsidRDefault="00122E45">
            <w:pPr>
              <w:spacing w:after="20" w:line="240" w:lineRule="auto"/>
            </w:pPr>
            <w:r>
              <w:t xml:space="preserve">Companies demonstrating strong technology capabilities and robust business execution. They combine mature and differentiated offerings with established market presence, customer reach, commercial scale, and effective growth strategies, </w:t>
            </w:r>
            <w:r>
              <w:t>positioning them strongly for sustained market leadership.</w:t>
            </w:r>
          </w:p>
        </w:tc>
      </w:tr>
    </w:tbl>
    <w:p w:rsidR="00C508BE" w:rsidRDefault="00C508B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508BE">
        <w:trPr>
          <w:cantSplit/>
          <w:jc w:val="center"/>
        </w:trPr>
        <w:tc>
          <w:tcPr>
            <w:tcW w:w="10092" w:type="dxa"/>
            <w:shd w:val="clear" w:color="auto" w:fill="F8FAFC"/>
            <w:tcMar>
              <w:top w:w="160" w:type="dxa"/>
              <w:left w:w="160" w:type="dxa"/>
              <w:bottom w:w="160" w:type="dxa"/>
              <w:right w:w="160" w:type="dxa"/>
            </w:tcMar>
          </w:tcPr>
          <w:p w:rsidR="00C508BE" w:rsidRDefault="00122E45">
            <w:pPr>
              <w:spacing w:after="20" w:line="240" w:lineRule="auto"/>
            </w:pPr>
            <w:r>
              <w:rPr>
                <w:b/>
                <w:color w:val="0F172A"/>
                <w:sz w:val="16"/>
              </w:rPr>
              <w:t>Challengers</w:t>
            </w:r>
            <w:r>
              <w:rPr>
                <w:b/>
                <w:color w:val="0F172A"/>
                <w:sz w:val="22"/>
              </w:rPr>
              <w:t xml:space="preserve">   Scale-Driven Challengers</w:t>
            </w:r>
          </w:p>
          <w:p w:rsidR="00C508BE" w:rsidRDefault="00122E45">
            <w:pPr>
              <w:spacing w:after="20" w:line="240" w:lineRule="auto"/>
            </w:pPr>
            <w:r>
              <w:rPr>
                <w:color w:val="64748B"/>
                <w:sz w:val="17"/>
              </w:rPr>
              <w:t>Emerging Technology Capability, Best-in-class Business Capability</w:t>
            </w:r>
          </w:p>
          <w:p w:rsidR="00C508BE" w:rsidRDefault="00122E45">
            <w:pPr>
              <w:spacing w:after="20" w:line="240" w:lineRule="auto"/>
            </w:pPr>
            <w:r>
              <w:t xml:space="preserve">Companies with strong business presence and commercial capabilities, supported by </w:t>
            </w:r>
            <w:r>
              <w:t>established customer relationships, market reach, channels, or brand strength. However, their technology portfolio may have relatively lower differentiation, breadth, maturity, or innovation compared with leading participants.</w:t>
            </w:r>
          </w:p>
        </w:tc>
      </w:tr>
    </w:tbl>
    <w:p w:rsidR="00C508BE" w:rsidRDefault="00C508B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508BE">
        <w:trPr>
          <w:cantSplit/>
          <w:jc w:val="center"/>
        </w:trPr>
        <w:tc>
          <w:tcPr>
            <w:tcW w:w="10092" w:type="dxa"/>
            <w:shd w:val="clear" w:color="auto" w:fill="F8FAFC"/>
            <w:tcMar>
              <w:top w:w="160" w:type="dxa"/>
              <w:left w:w="160" w:type="dxa"/>
              <w:bottom w:w="160" w:type="dxa"/>
              <w:right w:w="160" w:type="dxa"/>
            </w:tcMar>
          </w:tcPr>
          <w:p w:rsidR="00C508BE" w:rsidRDefault="00122E45">
            <w:pPr>
              <w:spacing w:after="20" w:line="240" w:lineRule="auto"/>
            </w:pPr>
            <w:r>
              <w:rPr>
                <w:b/>
                <w:color w:val="0F172A"/>
                <w:sz w:val="16"/>
              </w:rPr>
              <w:t>Trailblazers</w:t>
            </w:r>
            <w:r>
              <w:rPr>
                <w:b/>
                <w:color w:val="0F172A"/>
                <w:sz w:val="22"/>
              </w:rPr>
              <w:t xml:space="preserve">   Innovation-D</w:t>
            </w:r>
            <w:r>
              <w:rPr>
                <w:b/>
                <w:color w:val="0F172A"/>
                <w:sz w:val="22"/>
              </w:rPr>
              <w:t>riven Trailblazers</w:t>
            </w:r>
          </w:p>
          <w:p w:rsidR="00C508BE" w:rsidRDefault="00122E45">
            <w:pPr>
              <w:spacing w:after="20" w:line="240" w:lineRule="auto"/>
            </w:pPr>
            <w:r>
              <w:rPr>
                <w:color w:val="64748B"/>
                <w:sz w:val="17"/>
              </w:rPr>
              <w:t>Best-in-class Technology Capability, Emerging Business Capability</w:t>
            </w:r>
          </w:p>
          <w:p w:rsidR="00C508BE" w:rsidRDefault="00122E45">
            <w:pPr>
              <w:spacing w:after="20" w:line="240" w:lineRule="auto"/>
            </w:pPr>
            <w:r>
              <w:t>Companies demonstrating strong technology capabilities, innovation, or differentiated offerings, but with comparatively lower business scale or market penetration. Their g</w:t>
            </w:r>
            <w:r>
              <w:t>rowth potential depends on strengthening commercial execution, customer reach, partnerships, geographic presence, and overall market visibility.</w:t>
            </w:r>
          </w:p>
        </w:tc>
      </w:tr>
    </w:tbl>
    <w:p w:rsidR="00C508BE" w:rsidRDefault="00C508B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508BE">
        <w:trPr>
          <w:cantSplit/>
          <w:jc w:val="center"/>
        </w:trPr>
        <w:tc>
          <w:tcPr>
            <w:tcW w:w="10092" w:type="dxa"/>
            <w:shd w:val="clear" w:color="auto" w:fill="F8FAFC"/>
            <w:tcMar>
              <w:top w:w="160" w:type="dxa"/>
              <w:left w:w="160" w:type="dxa"/>
              <w:bottom w:w="160" w:type="dxa"/>
              <w:right w:w="160" w:type="dxa"/>
            </w:tcMar>
          </w:tcPr>
          <w:p w:rsidR="00C508BE" w:rsidRDefault="00122E45">
            <w:pPr>
              <w:spacing w:after="20" w:line="240" w:lineRule="auto"/>
            </w:pPr>
            <w:r>
              <w:rPr>
                <w:b/>
                <w:color w:val="0F172A"/>
                <w:sz w:val="16"/>
              </w:rPr>
              <w:t>Emerging Players</w:t>
            </w:r>
            <w:r>
              <w:rPr>
                <w:b/>
                <w:color w:val="0F172A"/>
                <w:sz w:val="22"/>
              </w:rPr>
              <w:t xml:space="preserve">   Foundation-Building Evolving</w:t>
            </w:r>
          </w:p>
          <w:p w:rsidR="00C508BE" w:rsidRDefault="00122E45">
            <w:pPr>
              <w:spacing w:after="20" w:line="240" w:lineRule="auto"/>
            </w:pPr>
            <w:r>
              <w:rPr>
                <w:color w:val="64748B"/>
                <w:sz w:val="17"/>
              </w:rPr>
              <w:t>Emerging Technology Capability, Emerging Business Capability</w:t>
            </w:r>
          </w:p>
          <w:p w:rsidR="00C508BE" w:rsidRDefault="00122E45">
            <w:pPr>
              <w:spacing w:after="20" w:line="240" w:lineRule="auto"/>
            </w:pPr>
            <w:r>
              <w:t>Companies with developing technology capabilities and relatively limited business presence. These participants may be at an earlier stage of market development, serve focused segments or geographies, and have opportunities to strengthen both their technolo</w:t>
            </w:r>
            <w:r>
              <w:t>gy proposition and commercial footprint.</w:t>
            </w:r>
          </w:p>
        </w:tc>
      </w:tr>
    </w:tbl>
    <w:p w:rsidR="00C508BE" w:rsidRDefault="00C508BE"/>
    <w:p w:rsidR="00C508BE" w:rsidRDefault="00122E45">
      <w:pPr>
        <w:pStyle w:val="Heading1"/>
        <w:pageBreakBefore/>
        <w:pBdr>
          <w:bottom w:val="single" w:sz="24" w:space="6" w:color="52B69A"/>
        </w:pBdr>
      </w:pPr>
      <w:bookmarkStart w:id="4" w:name="_Toc242420534"/>
      <w:r>
        <w:lastRenderedPageBreak/>
        <w:t>Top 20 Companies</w:t>
      </w:r>
      <w:bookmarkEnd w:id="4"/>
    </w:p>
    <w:p w:rsidR="00C508BE" w:rsidRDefault="00122E45">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C508BE">
        <w:trPr>
          <w:cantSplit/>
          <w:tblHeader/>
          <w:jc w:val="center"/>
        </w:trPr>
        <w:tc>
          <w:tcPr>
            <w:tcW w:w="1565"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OVERALL SCORE</w:t>
            </w:r>
          </w:p>
        </w:tc>
      </w:tr>
      <w:tr w:rsidR="00C508BE">
        <w:trPr>
          <w:cantSplit/>
          <w:jc w:val="center"/>
        </w:trPr>
        <w:tc>
          <w:tcPr>
            <w:tcW w:w="1565" w:type="dxa"/>
            <w:shd w:val="clear" w:color="auto" w:fill="FFFFFF"/>
            <w:tcMar>
              <w:top w:w="45" w:type="dxa"/>
              <w:left w:w="45" w:type="dxa"/>
              <w:bottom w:w="45" w:type="dxa"/>
              <w:right w:w="45" w:type="dxa"/>
            </w:tcMar>
          </w:tcPr>
          <w:p w:rsidR="00C508BE" w:rsidRDefault="00122E45">
            <w:pPr>
              <w:spacing w:after="20" w:line="240" w:lineRule="auto"/>
            </w:pPr>
            <w:r>
              <w:rPr>
                <w:sz w:val="16"/>
              </w:rPr>
              <w:t>Komgo</w:t>
            </w:r>
          </w:p>
        </w:tc>
        <w:tc>
          <w:tcPr>
            <w:tcW w:w="1721" w:type="dxa"/>
            <w:shd w:val="clear" w:color="auto" w:fill="FFFFFF"/>
            <w:tcMar>
              <w:top w:w="45" w:type="dxa"/>
              <w:left w:w="45" w:type="dxa"/>
              <w:bottom w:w="45" w:type="dxa"/>
              <w:right w:w="45" w:type="dxa"/>
            </w:tcMar>
          </w:tcPr>
          <w:p w:rsidR="00C508BE" w:rsidRDefault="00122E45">
            <w:pPr>
              <w:spacing w:after="20" w:line="240" w:lineRule="auto"/>
            </w:pPr>
            <w:r>
              <w:rPr>
                <w:sz w:val="16"/>
              </w:rPr>
              <w:t>Komgo SA</w:t>
            </w:r>
          </w:p>
        </w:tc>
        <w:tc>
          <w:tcPr>
            <w:tcW w:w="1330" w:type="dxa"/>
            <w:shd w:val="clear" w:color="auto" w:fill="FFFFFF"/>
            <w:tcMar>
              <w:top w:w="45" w:type="dxa"/>
              <w:left w:w="45" w:type="dxa"/>
              <w:bottom w:w="45" w:type="dxa"/>
              <w:right w:w="45" w:type="dxa"/>
            </w:tcMar>
          </w:tcPr>
          <w:p w:rsidR="00C508BE" w:rsidRDefault="00122E45">
            <w:pPr>
              <w:spacing w:after="20" w:line="240" w:lineRule="auto"/>
            </w:pPr>
            <w:r>
              <w:rPr>
                <w:sz w:val="16"/>
              </w:rPr>
              <w:t>Geneva, Switzerland</w:t>
            </w:r>
          </w:p>
        </w:tc>
        <w:tc>
          <w:tcPr>
            <w:tcW w:w="939"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98</w:t>
            </w:r>
          </w:p>
        </w:tc>
      </w:tr>
      <w:tr w:rsidR="00C508BE">
        <w:trPr>
          <w:cantSplit/>
          <w:jc w:val="center"/>
        </w:trPr>
        <w:tc>
          <w:tcPr>
            <w:tcW w:w="1565" w:type="dxa"/>
            <w:shd w:val="clear" w:color="auto" w:fill="F8FAFC"/>
            <w:tcMar>
              <w:top w:w="45" w:type="dxa"/>
              <w:left w:w="45" w:type="dxa"/>
              <w:bottom w:w="45" w:type="dxa"/>
              <w:right w:w="45" w:type="dxa"/>
            </w:tcMar>
          </w:tcPr>
          <w:p w:rsidR="00C508BE" w:rsidRDefault="00122E45">
            <w:pPr>
              <w:spacing w:after="20" w:line="240" w:lineRule="auto"/>
            </w:pPr>
            <w:r>
              <w:rPr>
                <w:sz w:val="16"/>
              </w:rPr>
              <w:t>Surecomp</w:t>
            </w:r>
          </w:p>
        </w:tc>
        <w:tc>
          <w:tcPr>
            <w:tcW w:w="1721" w:type="dxa"/>
            <w:shd w:val="clear" w:color="auto" w:fill="F8FAFC"/>
            <w:tcMar>
              <w:top w:w="45" w:type="dxa"/>
              <w:left w:w="45" w:type="dxa"/>
              <w:bottom w:w="45" w:type="dxa"/>
              <w:right w:w="45" w:type="dxa"/>
            </w:tcMar>
          </w:tcPr>
          <w:p w:rsidR="00C508BE" w:rsidRDefault="00122E45">
            <w:pPr>
              <w:spacing w:after="20" w:line="240" w:lineRule="auto"/>
            </w:pPr>
            <w:r>
              <w:rPr>
                <w:sz w:val="16"/>
              </w:rPr>
              <w:t>Surecomp</w:t>
            </w:r>
          </w:p>
        </w:tc>
        <w:tc>
          <w:tcPr>
            <w:tcW w:w="1330" w:type="dxa"/>
            <w:shd w:val="clear" w:color="auto" w:fill="F8FAFC"/>
            <w:tcMar>
              <w:top w:w="45" w:type="dxa"/>
              <w:left w:w="45" w:type="dxa"/>
              <w:bottom w:w="45" w:type="dxa"/>
              <w:right w:w="45" w:type="dxa"/>
            </w:tcMar>
          </w:tcPr>
          <w:p w:rsidR="00C508BE" w:rsidRDefault="00122E45">
            <w:pPr>
              <w:spacing w:after="20" w:line="240" w:lineRule="auto"/>
            </w:pPr>
            <w:r>
              <w:rPr>
                <w:sz w:val="16"/>
              </w:rPr>
              <w:t>Toronto, Ontario, Canada</w:t>
            </w:r>
          </w:p>
        </w:tc>
        <w:tc>
          <w:tcPr>
            <w:tcW w:w="939"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95</w:t>
            </w:r>
          </w:p>
        </w:tc>
      </w:tr>
      <w:tr w:rsidR="00C508BE">
        <w:trPr>
          <w:cantSplit/>
          <w:jc w:val="center"/>
        </w:trPr>
        <w:tc>
          <w:tcPr>
            <w:tcW w:w="1565" w:type="dxa"/>
            <w:shd w:val="clear" w:color="auto" w:fill="FFFFFF"/>
            <w:tcMar>
              <w:top w:w="45" w:type="dxa"/>
              <w:left w:w="45" w:type="dxa"/>
              <w:bottom w:w="45" w:type="dxa"/>
              <w:right w:w="45" w:type="dxa"/>
            </w:tcMar>
          </w:tcPr>
          <w:p w:rsidR="00C508BE" w:rsidRDefault="00122E45">
            <w:pPr>
              <w:spacing w:after="20" w:line="240" w:lineRule="auto"/>
            </w:pPr>
            <w:r>
              <w:rPr>
                <w:sz w:val="16"/>
              </w:rPr>
              <w:t>Traydstream</w:t>
            </w:r>
          </w:p>
        </w:tc>
        <w:tc>
          <w:tcPr>
            <w:tcW w:w="1721" w:type="dxa"/>
            <w:shd w:val="clear" w:color="auto" w:fill="FFFFFF"/>
            <w:tcMar>
              <w:top w:w="45" w:type="dxa"/>
              <w:left w:w="45" w:type="dxa"/>
              <w:bottom w:w="45" w:type="dxa"/>
              <w:right w:w="45" w:type="dxa"/>
            </w:tcMar>
          </w:tcPr>
          <w:p w:rsidR="00C508BE" w:rsidRDefault="00122E45">
            <w:pPr>
              <w:spacing w:after="20" w:line="240" w:lineRule="auto"/>
            </w:pPr>
            <w:r>
              <w:rPr>
                <w:sz w:val="16"/>
              </w:rPr>
              <w:t>TRAYDSTREAM LIMITED</w:t>
            </w:r>
          </w:p>
        </w:tc>
        <w:tc>
          <w:tcPr>
            <w:tcW w:w="1330" w:type="dxa"/>
            <w:shd w:val="clear" w:color="auto" w:fill="FFFFFF"/>
            <w:tcMar>
              <w:top w:w="45" w:type="dxa"/>
              <w:left w:w="45" w:type="dxa"/>
              <w:bottom w:w="45" w:type="dxa"/>
              <w:right w:w="45" w:type="dxa"/>
            </w:tcMar>
          </w:tcPr>
          <w:p w:rsidR="00C508BE" w:rsidRDefault="00122E45">
            <w:pPr>
              <w:spacing w:after="20" w:line="240" w:lineRule="auto"/>
            </w:pPr>
            <w:r>
              <w:rPr>
                <w:sz w:val="16"/>
              </w:rPr>
              <w:t>London, England, UK</w:t>
            </w:r>
          </w:p>
        </w:tc>
        <w:tc>
          <w:tcPr>
            <w:tcW w:w="939"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94</w:t>
            </w:r>
          </w:p>
        </w:tc>
      </w:tr>
      <w:tr w:rsidR="00C508BE">
        <w:trPr>
          <w:cantSplit/>
          <w:jc w:val="center"/>
        </w:trPr>
        <w:tc>
          <w:tcPr>
            <w:tcW w:w="1565" w:type="dxa"/>
            <w:shd w:val="clear" w:color="auto" w:fill="F8FAFC"/>
            <w:tcMar>
              <w:top w:w="45" w:type="dxa"/>
              <w:left w:w="45" w:type="dxa"/>
              <w:bottom w:w="45" w:type="dxa"/>
              <w:right w:w="45" w:type="dxa"/>
            </w:tcMar>
          </w:tcPr>
          <w:p w:rsidR="00C508BE" w:rsidRDefault="00122E45">
            <w:pPr>
              <w:spacing w:after="20" w:line="240" w:lineRule="auto"/>
            </w:pPr>
            <w:r>
              <w:rPr>
                <w:sz w:val="16"/>
              </w:rPr>
              <w:t>Linklogis</w:t>
            </w:r>
          </w:p>
        </w:tc>
        <w:tc>
          <w:tcPr>
            <w:tcW w:w="1721" w:type="dxa"/>
            <w:shd w:val="clear" w:color="auto" w:fill="F8FAFC"/>
            <w:tcMar>
              <w:top w:w="45" w:type="dxa"/>
              <w:left w:w="45" w:type="dxa"/>
              <w:bottom w:w="45" w:type="dxa"/>
              <w:right w:w="45" w:type="dxa"/>
            </w:tcMar>
          </w:tcPr>
          <w:p w:rsidR="00C508BE" w:rsidRDefault="00122E45">
            <w:pPr>
              <w:spacing w:after="20" w:line="240" w:lineRule="auto"/>
            </w:pPr>
            <w:r>
              <w:rPr>
                <w:sz w:val="16"/>
              </w:rPr>
              <w:t>Linklogis Inc.</w:t>
            </w:r>
          </w:p>
        </w:tc>
        <w:tc>
          <w:tcPr>
            <w:tcW w:w="1330" w:type="dxa"/>
            <w:shd w:val="clear" w:color="auto" w:fill="F8FAFC"/>
            <w:tcMar>
              <w:top w:w="45" w:type="dxa"/>
              <w:left w:w="45" w:type="dxa"/>
              <w:bottom w:w="45" w:type="dxa"/>
              <w:right w:w="45" w:type="dxa"/>
            </w:tcMar>
          </w:tcPr>
          <w:p w:rsidR="00C508BE" w:rsidRDefault="00122E45">
            <w:pPr>
              <w:spacing w:after="20" w:line="240" w:lineRule="auto"/>
            </w:pPr>
            <w:r>
              <w:rPr>
                <w:sz w:val="16"/>
              </w:rPr>
              <w:t>Shenzhen, China</w:t>
            </w:r>
          </w:p>
        </w:tc>
        <w:tc>
          <w:tcPr>
            <w:tcW w:w="939"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94</w:t>
            </w:r>
          </w:p>
        </w:tc>
      </w:tr>
      <w:tr w:rsidR="00C508BE">
        <w:trPr>
          <w:cantSplit/>
          <w:jc w:val="center"/>
        </w:trPr>
        <w:tc>
          <w:tcPr>
            <w:tcW w:w="1565" w:type="dxa"/>
            <w:shd w:val="clear" w:color="auto" w:fill="FFFFFF"/>
            <w:tcMar>
              <w:top w:w="45" w:type="dxa"/>
              <w:left w:w="45" w:type="dxa"/>
              <w:bottom w:w="45" w:type="dxa"/>
              <w:right w:w="45" w:type="dxa"/>
            </w:tcMar>
          </w:tcPr>
          <w:p w:rsidR="00C508BE" w:rsidRDefault="00122E45">
            <w:pPr>
              <w:spacing w:after="20" w:line="240" w:lineRule="auto"/>
            </w:pPr>
            <w:r>
              <w:rPr>
                <w:sz w:val="16"/>
              </w:rPr>
              <w:t>LiquidX</w:t>
            </w:r>
          </w:p>
        </w:tc>
        <w:tc>
          <w:tcPr>
            <w:tcW w:w="1721" w:type="dxa"/>
            <w:shd w:val="clear" w:color="auto" w:fill="FFFFFF"/>
            <w:tcMar>
              <w:top w:w="45" w:type="dxa"/>
              <w:left w:w="45" w:type="dxa"/>
              <w:bottom w:w="45" w:type="dxa"/>
              <w:right w:w="45" w:type="dxa"/>
            </w:tcMar>
          </w:tcPr>
          <w:p w:rsidR="00C508BE" w:rsidRDefault="00122E45">
            <w:pPr>
              <w:spacing w:after="20" w:line="240" w:lineRule="auto"/>
            </w:pPr>
            <w:r>
              <w:rPr>
                <w:sz w:val="16"/>
              </w:rPr>
              <w:t>LiquidX, Inc.</w:t>
            </w:r>
          </w:p>
        </w:tc>
        <w:tc>
          <w:tcPr>
            <w:tcW w:w="1330" w:type="dxa"/>
            <w:shd w:val="clear" w:color="auto" w:fill="FFFFFF"/>
            <w:tcMar>
              <w:top w:w="45" w:type="dxa"/>
              <w:left w:w="45" w:type="dxa"/>
              <w:bottom w:w="45" w:type="dxa"/>
              <w:right w:w="45" w:type="dxa"/>
            </w:tcMar>
          </w:tcPr>
          <w:p w:rsidR="00C508BE" w:rsidRDefault="00122E45">
            <w:pPr>
              <w:spacing w:after="20" w:line="240" w:lineRule="auto"/>
            </w:pPr>
            <w:r>
              <w:rPr>
                <w:sz w:val="16"/>
              </w:rPr>
              <w:t>New York, New York, USA</w:t>
            </w:r>
          </w:p>
        </w:tc>
        <w:tc>
          <w:tcPr>
            <w:tcW w:w="939"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90</w:t>
            </w:r>
          </w:p>
        </w:tc>
      </w:tr>
      <w:tr w:rsidR="00C508BE">
        <w:trPr>
          <w:cantSplit/>
          <w:jc w:val="center"/>
        </w:trPr>
        <w:tc>
          <w:tcPr>
            <w:tcW w:w="1565" w:type="dxa"/>
            <w:shd w:val="clear" w:color="auto" w:fill="F8FAFC"/>
            <w:tcMar>
              <w:top w:w="45" w:type="dxa"/>
              <w:left w:w="45" w:type="dxa"/>
              <w:bottom w:w="45" w:type="dxa"/>
              <w:right w:w="45" w:type="dxa"/>
            </w:tcMar>
          </w:tcPr>
          <w:p w:rsidR="00C508BE" w:rsidRDefault="00122E45">
            <w:pPr>
              <w:spacing w:after="20" w:line="240" w:lineRule="auto"/>
            </w:pPr>
            <w:r>
              <w:rPr>
                <w:sz w:val="16"/>
              </w:rPr>
              <w:t>C2FO</w:t>
            </w:r>
          </w:p>
        </w:tc>
        <w:tc>
          <w:tcPr>
            <w:tcW w:w="1721" w:type="dxa"/>
            <w:shd w:val="clear" w:color="auto" w:fill="F8FAFC"/>
            <w:tcMar>
              <w:top w:w="45" w:type="dxa"/>
              <w:left w:w="45" w:type="dxa"/>
              <w:bottom w:w="45" w:type="dxa"/>
              <w:right w:w="45" w:type="dxa"/>
            </w:tcMar>
          </w:tcPr>
          <w:p w:rsidR="00C508BE" w:rsidRDefault="00122E45">
            <w:pPr>
              <w:spacing w:after="20" w:line="240" w:lineRule="auto"/>
            </w:pPr>
            <w:r>
              <w:rPr>
                <w:sz w:val="16"/>
              </w:rPr>
              <w:t>C2FO</w:t>
            </w:r>
          </w:p>
        </w:tc>
        <w:tc>
          <w:tcPr>
            <w:tcW w:w="1330" w:type="dxa"/>
            <w:shd w:val="clear" w:color="auto" w:fill="F8FAFC"/>
            <w:tcMar>
              <w:top w:w="45" w:type="dxa"/>
              <w:left w:w="45" w:type="dxa"/>
              <w:bottom w:w="45" w:type="dxa"/>
              <w:right w:w="45" w:type="dxa"/>
            </w:tcMar>
          </w:tcPr>
          <w:p w:rsidR="00C508BE" w:rsidRDefault="00122E45">
            <w:pPr>
              <w:spacing w:after="20" w:line="240" w:lineRule="auto"/>
            </w:pPr>
            <w:r>
              <w:rPr>
                <w:sz w:val="16"/>
              </w:rPr>
              <w:t>Leawood, Kansas, USA</w:t>
            </w:r>
          </w:p>
        </w:tc>
        <w:tc>
          <w:tcPr>
            <w:tcW w:w="939"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88</w:t>
            </w:r>
          </w:p>
        </w:tc>
      </w:tr>
      <w:tr w:rsidR="00C508BE">
        <w:trPr>
          <w:cantSplit/>
          <w:jc w:val="center"/>
        </w:trPr>
        <w:tc>
          <w:tcPr>
            <w:tcW w:w="1565" w:type="dxa"/>
            <w:shd w:val="clear" w:color="auto" w:fill="FFFFFF"/>
            <w:tcMar>
              <w:top w:w="45" w:type="dxa"/>
              <w:left w:w="45" w:type="dxa"/>
              <w:bottom w:w="45" w:type="dxa"/>
              <w:right w:w="45" w:type="dxa"/>
            </w:tcMar>
          </w:tcPr>
          <w:p w:rsidR="00C508BE" w:rsidRDefault="00122E45">
            <w:pPr>
              <w:spacing w:after="20" w:line="240" w:lineRule="auto"/>
            </w:pPr>
            <w:r>
              <w:rPr>
                <w:sz w:val="16"/>
              </w:rPr>
              <w:t>Wave BL</w:t>
            </w:r>
          </w:p>
        </w:tc>
        <w:tc>
          <w:tcPr>
            <w:tcW w:w="1721" w:type="dxa"/>
            <w:shd w:val="clear" w:color="auto" w:fill="FFFFFF"/>
            <w:tcMar>
              <w:top w:w="45" w:type="dxa"/>
              <w:left w:w="45" w:type="dxa"/>
              <w:bottom w:w="45" w:type="dxa"/>
              <w:right w:w="45" w:type="dxa"/>
            </w:tcMar>
          </w:tcPr>
          <w:p w:rsidR="00C508BE" w:rsidRDefault="00122E45">
            <w:pPr>
              <w:spacing w:after="20" w:line="240" w:lineRule="auto"/>
            </w:pPr>
            <w:r>
              <w:rPr>
                <w:sz w:val="16"/>
              </w:rPr>
              <w:t>OGYDocs Inc.</w:t>
            </w:r>
          </w:p>
        </w:tc>
        <w:tc>
          <w:tcPr>
            <w:tcW w:w="1330" w:type="dxa"/>
            <w:shd w:val="clear" w:color="auto" w:fill="FFFFFF"/>
            <w:tcMar>
              <w:top w:w="45" w:type="dxa"/>
              <w:left w:w="45" w:type="dxa"/>
              <w:bottom w:w="45" w:type="dxa"/>
              <w:right w:w="45" w:type="dxa"/>
            </w:tcMar>
          </w:tcPr>
          <w:p w:rsidR="00C508BE" w:rsidRDefault="00122E45">
            <w:pPr>
              <w:spacing w:after="20" w:line="240" w:lineRule="auto"/>
            </w:pPr>
            <w:r>
              <w:rPr>
                <w:sz w:val="16"/>
              </w:rPr>
              <w:t>Kfar Saba, Israel</w:t>
            </w:r>
          </w:p>
        </w:tc>
        <w:tc>
          <w:tcPr>
            <w:tcW w:w="939"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86</w:t>
            </w:r>
          </w:p>
        </w:tc>
      </w:tr>
      <w:tr w:rsidR="00C508BE">
        <w:trPr>
          <w:cantSplit/>
          <w:jc w:val="center"/>
        </w:trPr>
        <w:tc>
          <w:tcPr>
            <w:tcW w:w="1565" w:type="dxa"/>
            <w:shd w:val="clear" w:color="auto" w:fill="F8FAFC"/>
            <w:tcMar>
              <w:top w:w="45" w:type="dxa"/>
              <w:left w:w="45" w:type="dxa"/>
              <w:bottom w:w="45" w:type="dxa"/>
              <w:right w:w="45" w:type="dxa"/>
            </w:tcMar>
          </w:tcPr>
          <w:p w:rsidR="00C508BE" w:rsidRDefault="00122E45">
            <w:pPr>
              <w:spacing w:after="20" w:line="240" w:lineRule="auto"/>
            </w:pPr>
            <w:r>
              <w:rPr>
                <w:sz w:val="16"/>
              </w:rPr>
              <w:t>Premium Technology</w:t>
            </w:r>
          </w:p>
        </w:tc>
        <w:tc>
          <w:tcPr>
            <w:tcW w:w="1721" w:type="dxa"/>
            <w:shd w:val="clear" w:color="auto" w:fill="F8FAFC"/>
            <w:tcMar>
              <w:top w:w="45" w:type="dxa"/>
              <w:left w:w="45" w:type="dxa"/>
              <w:bottom w:w="45" w:type="dxa"/>
              <w:right w:w="45" w:type="dxa"/>
            </w:tcMar>
          </w:tcPr>
          <w:p w:rsidR="00C508BE" w:rsidRDefault="00122E45">
            <w:pPr>
              <w:spacing w:after="20" w:line="240" w:lineRule="auto"/>
            </w:pPr>
            <w:r>
              <w:rPr>
                <w:sz w:val="16"/>
              </w:rPr>
              <w:t>Premium Technology Inc.</w:t>
            </w:r>
          </w:p>
        </w:tc>
        <w:tc>
          <w:tcPr>
            <w:tcW w:w="1330" w:type="dxa"/>
            <w:shd w:val="clear" w:color="auto" w:fill="F8FAFC"/>
            <w:tcMar>
              <w:top w:w="45" w:type="dxa"/>
              <w:left w:w="45" w:type="dxa"/>
              <w:bottom w:w="45" w:type="dxa"/>
              <w:right w:w="45" w:type="dxa"/>
            </w:tcMar>
          </w:tcPr>
          <w:p w:rsidR="00C508BE" w:rsidRDefault="00122E45">
            <w:pPr>
              <w:spacing w:after="20" w:line="240" w:lineRule="auto"/>
            </w:pPr>
            <w:r>
              <w:rPr>
                <w:sz w:val="16"/>
              </w:rPr>
              <w:t>New York City, New York, USA</w:t>
            </w:r>
          </w:p>
        </w:tc>
        <w:tc>
          <w:tcPr>
            <w:tcW w:w="939"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84</w:t>
            </w:r>
          </w:p>
        </w:tc>
      </w:tr>
      <w:tr w:rsidR="00C508BE">
        <w:trPr>
          <w:cantSplit/>
          <w:jc w:val="center"/>
        </w:trPr>
        <w:tc>
          <w:tcPr>
            <w:tcW w:w="1565" w:type="dxa"/>
            <w:shd w:val="clear" w:color="auto" w:fill="FFFFFF"/>
            <w:tcMar>
              <w:top w:w="45" w:type="dxa"/>
              <w:left w:w="45" w:type="dxa"/>
              <w:bottom w:w="45" w:type="dxa"/>
              <w:right w:w="45" w:type="dxa"/>
            </w:tcMar>
          </w:tcPr>
          <w:p w:rsidR="00C508BE" w:rsidRDefault="00122E45">
            <w:pPr>
              <w:spacing w:after="20" w:line="240" w:lineRule="auto"/>
            </w:pPr>
            <w:r>
              <w:rPr>
                <w:sz w:val="16"/>
              </w:rPr>
              <w:t>VoloFin</w:t>
            </w:r>
          </w:p>
        </w:tc>
        <w:tc>
          <w:tcPr>
            <w:tcW w:w="1721" w:type="dxa"/>
            <w:shd w:val="clear" w:color="auto" w:fill="FFFFFF"/>
            <w:tcMar>
              <w:top w:w="45" w:type="dxa"/>
              <w:left w:w="45" w:type="dxa"/>
              <w:bottom w:w="45" w:type="dxa"/>
              <w:right w:w="45" w:type="dxa"/>
            </w:tcMar>
          </w:tcPr>
          <w:p w:rsidR="00C508BE" w:rsidRDefault="00122E45">
            <w:pPr>
              <w:spacing w:after="20" w:line="240" w:lineRule="auto"/>
            </w:pPr>
            <w:r>
              <w:rPr>
                <w:sz w:val="16"/>
              </w:rPr>
              <w:t>VoloFin Corp</w:t>
            </w:r>
          </w:p>
        </w:tc>
        <w:tc>
          <w:tcPr>
            <w:tcW w:w="1330" w:type="dxa"/>
            <w:shd w:val="clear" w:color="auto" w:fill="FFFFFF"/>
            <w:tcMar>
              <w:top w:w="45" w:type="dxa"/>
              <w:left w:w="45" w:type="dxa"/>
              <w:bottom w:w="45" w:type="dxa"/>
              <w:right w:w="45" w:type="dxa"/>
            </w:tcMar>
          </w:tcPr>
          <w:p w:rsidR="00C508BE" w:rsidRDefault="00122E45">
            <w:pPr>
              <w:spacing w:after="20" w:line="240" w:lineRule="auto"/>
            </w:pPr>
            <w:r>
              <w:rPr>
                <w:sz w:val="16"/>
              </w:rPr>
              <w:t>Singapore</w:t>
            </w:r>
          </w:p>
        </w:tc>
        <w:tc>
          <w:tcPr>
            <w:tcW w:w="939"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81</w:t>
            </w:r>
          </w:p>
        </w:tc>
      </w:tr>
      <w:tr w:rsidR="00C508BE">
        <w:trPr>
          <w:cantSplit/>
          <w:jc w:val="center"/>
        </w:trPr>
        <w:tc>
          <w:tcPr>
            <w:tcW w:w="1565" w:type="dxa"/>
            <w:shd w:val="clear" w:color="auto" w:fill="F8FAFC"/>
            <w:tcMar>
              <w:top w:w="45" w:type="dxa"/>
              <w:left w:w="45" w:type="dxa"/>
              <w:bottom w:w="45" w:type="dxa"/>
              <w:right w:w="45" w:type="dxa"/>
            </w:tcMar>
          </w:tcPr>
          <w:p w:rsidR="00C508BE" w:rsidRDefault="00122E45">
            <w:pPr>
              <w:spacing w:after="20" w:line="240" w:lineRule="auto"/>
            </w:pPr>
            <w:r>
              <w:rPr>
                <w:sz w:val="16"/>
              </w:rPr>
              <w:t>Monkey</w:t>
            </w:r>
          </w:p>
        </w:tc>
        <w:tc>
          <w:tcPr>
            <w:tcW w:w="1721" w:type="dxa"/>
            <w:shd w:val="clear" w:color="auto" w:fill="F8FAFC"/>
            <w:tcMar>
              <w:top w:w="45" w:type="dxa"/>
              <w:left w:w="45" w:type="dxa"/>
              <w:bottom w:w="45" w:type="dxa"/>
              <w:right w:w="45" w:type="dxa"/>
            </w:tcMar>
          </w:tcPr>
          <w:p w:rsidR="00C508BE" w:rsidRDefault="00122E45">
            <w:pPr>
              <w:spacing w:after="20" w:line="240" w:lineRule="auto"/>
            </w:pPr>
            <w:r>
              <w:rPr>
                <w:sz w:val="16"/>
              </w:rPr>
              <w:t>Monkey Servicos de Tecnologia Ltda.</w:t>
            </w:r>
          </w:p>
        </w:tc>
        <w:tc>
          <w:tcPr>
            <w:tcW w:w="1330" w:type="dxa"/>
            <w:shd w:val="clear" w:color="auto" w:fill="F8FAFC"/>
            <w:tcMar>
              <w:top w:w="45" w:type="dxa"/>
              <w:left w:w="45" w:type="dxa"/>
              <w:bottom w:w="45" w:type="dxa"/>
              <w:right w:w="45" w:type="dxa"/>
            </w:tcMar>
          </w:tcPr>
          <w:p w:rsidR="00C508BE" w:rsidRDefault="00122E45">
            <w:pPr>
              <w:spacing w:after="20" w:line="240" w:lineRule="auto"/>
            </w:pPr>
            <w:r>
              <w:rPr>
                <w:sz w:val="16"/>
              </w:rPr>
              <w:t>São Paulo, Brazil</w:t>
            </w:r>
          </w:p>
        </w:tc>
        <w:tc>
          <w:tcPr>
            <w:tcW w:w="939" w:type="dxa"/>
            <w:shd w:val="clear" w:color="auto" w:fill="F8FAFC"/>
            <w:tcMar>
              <w:top w:w="45" w:type="dxa"/>
              <w:left w:w="45" w:type="dxa"/>
              <w:bottom w:w="45" w:type="dxa"/>
              <w:right w:w="45" w:type="dxa"/>
            </w:tcMar>
          </w:tcPr>
          <w:p w:rsidR="00C508BE" w:rsidRDefault="00122E45">
            <w:pPr>
              <w:spacing w:after="20" w:line="240" w:lineRule="auto"/>
            </w:pPr>
            <w:r>
              <w:rPr>
                <w:sz w:val="16"/>
              </w:rPr>
              <w:t>Solution</w:t>
            </w:r>
            <w:r>
              <w:rPr>
                <w:sz w:val="16"/>
              </w:rPr>
              <w:t xml:space="preserve"> Provider</w:t>
            </w:r>
          </w:p>
        </w:tc>
        <w:tc>
          <w:tcPr>
            <w:tcW w:w="1369"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80</w:t>
            </w:r>
          </w:p>
        </w:tc>
      </w:tr>
      <w:tr w:rsidR="00C508BE">
        <w:trPr>
          <w:cantSplit/>
          <w:jc w:val="center"/>
        </w:trPr>
        <w:tc>
          <w:tcPr>
            <w:tcW w:w="1565" w:type="dxa"/>
            <w:shd w:val="clear" w:color="auto" w:fill="FFFFFF"/>
            <w:tcMar>
              <w:top w:w="45" w:type="dxa"/>
              <w:left w:w="45" w:type="dxa"/>
              <w:bottom w:w="45" w:type="dxa"/>
              <w:right w:w="45" w:type="dxa"/>
            </w:tcMar>
          </w:tcPr>
          <w:p w:rsidR="00C508BE" w:rsidRDefault="00122E45">
            <w:pPr>
              <w:spacing w:after="20" w:line="240" w:lineRule="auto"/>
            </w:pPr>
            <w:r>
              <w:rPr>
                <w:sz w:val="16"/>
              </w:rPr>
              <w:t>China Systems</w:t>
            </w:r>
          </w:p>
        </w:tc>
        <w:tc>
          <w:tcPr>
            <w:tcW w:w="1721" w:type="dxa"/>
            <w:shd w:val="clear" w:color="auto" w:fill="FFFFFF"/>
            <w:tcMar>
              <w:top w:w="45" w:type="dxa"/>
              <w:left w:w="45" w:type="dxa"/>
              <w:bottom w:w="45" w:type="dxa"/>
              <w:right w:w="45" w:type="dxa"/>
            </w:tcMar>
          </w:tcPr>
          <w:p w:rsidR="00C508BE" w:rsidRDefault="00122E45">
            <w:pPr>
              <w:spacing w:after="20" w:line="240" w:lineRule="auto"/>
            </w:pPr>
            <w:r>
              <w:rPr>
                <w:sz w:val="16"/>
              </w:rPr>
              <w:t>China Systems Corporation</w:t>
            </w:r>
          </w:p>
        </w:tc>
        <w:tc>
          <w:tcPr>
            <w:tcW w:w="1330" w:type="dxa"/>
            <w:shd w:val="clear" w:color="auto" w:fill="FFFFFF"/>
            <w:tcMar>
              <w:top w:w="45" w:type="dxa"/>
              <w:left w:w="45" w:type="dxa"/>
              <w:bottom w:w="45" w:type="dxa"/>
              <w:right w:w="45" w:type="dxa"/>
            </w:tcMar>
          </w:tcPr>
          <w:p w:rsidR="00C508BE" w:rsidRDefault="00122E45">
            <w:pPr>
              <w:spacing w:after="20" w:line="240" w:lineRule="auto"/>
            </w:pPr>
            <w:r>
              <w:rPr>
                <w:sz w:val="16"/>
              </w:rPr>
              <w:t>New Taipei City, Taiwan</w:t>
            </w:r>
          </w:p>
        </w:tc>
        <w:tc>
          <w:tcPr>
            <w:tcW w:w="939"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92</w:t>
            </w:r>
          </w:p>
        </w:tc>
      </w:tr>
      <w:tr w:rsidR="00C508BE">
        <w:trPr>
          <w:cantSplit/>
          <w:jc w:val="center"/>
        </w:trPr>
        <w:tc>
          <w:tcPr>
            <w:tcW w:w="1565" w:type="dxa"/>
            <w:shd w:val="clear" w:color="auto" w:fill="F8FAFC"/>
            <w:tcMar>
              <w:top w:w="45" w:type="dxa"/>
              <w:left w:w="45" w:type="dxa"/>
              <w:bottom w:w="45" w:type="dxa"/>
              <w:right w:w="45" w:type="dxa"/>
            </w:tcMar>
          </w:tcPr>
          <w:p w:rsidR="00C508BE" w:rsidRDefault="00122E45">
            <w:pPr>
              <w:spacing w:after="20" w:line="240" w:lineRule="auto"/>
            </w:pPr>
            <w:r>
              <w:rPr>
                <w:sz w:val="16"/>
              </w:rPr>
              <w:t>KredX</w:t>
            </w:r>
          </w:p>
        </w:tc>
        <w:tc>
          <w:tcPr>
            <w:tcW w:w="1721" w:type="dxa"/>
            <w:shd w:val="clear" w:color="auto" w:fill="F8FAFC"/>
            <w:tcMar>
              <w:top w:w="45" w:type="dxa"/>
              <w:left w:w="45" w:type="dxa"/>
              <w:bottom w:w="45" w:type="dxa"/>
              <w:right w:w="45" w:type="dxa"/>
            </w:tcMar>
          </w:tcPr>
          <w:p w:rsidR="00C508BE" w:rsidRDefault="00122E45">
            <w:pPr>
              <w:spacing w:after="20" w:line="240" w:lineRule="auto"/>
            </w:pPr>
            <w:r>
              <w:rPr>
                <w:sz w:val="16"/>
              </w:rPr>
              <w:t>KredX</w:t>
            </w:r>
          </w:p>
        </w:tc>
        <w:tc>
          <w:tcPr>
            <w:tcW w:w="1330" w:type="dxa"/>
            <w:shd w:val="clear" w:color="auto" w:fill="F8FAFC"/>
            <w:tcMar>
              <w:top w:w="45" w:type="dxa"/>
              <w:left w:w="45" w:type="dxa"/>
              <w:bottom w:w="45" w:type="dxa"/>
              <w:right w:w="45" w:type="dxa"/>
            </w:tcMar>
          </w:tcPr>
          <w:p w:rsidR="00C508BE" w:rsidRDefault="00122E45">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88</w:t>
            </w:r>
          </w:p>
        </w:tc>
      </w:tr>
      <w:tr w:rsidR="00C508BE">
        <w:trPr>
          <w:cantSplit/>
          <w:jc w:val="center"/>
        </w:trPr>
        <w:tc>
          <w:tcPr>
            <w:tcW w:w="1565" w:type="dxa"/>
            <w:shd w:val="clear" w:color="auto" w:fill="FFFFFF"/>
            <w:tcMar>
              <w:top w:w="45" w:type="dxa"/>
              <w:left w:w="45" w:type="dxa"/>
              <w:bottom w:w="45" w:type="dxa"/>
              <w:right w:w="45" w:type="dxa"/>
            </w:tcMar>
          </w:tcPr>
          <w:p w:rsidR="00C508BE" w:rsidRDefault="00122E45">
            <w:pPr>
              <w:spacing w:after="20" w:line="240" w:lineRule="auto"/>
            </w:pPr>
            <w:r>
              <w:rPr>
                <w:sz w:val="16"/>
              </w:rPr>
              <w:t>360tf</w:t>
            </w:r>
          </w:p>
        </w:tc>
        <w:tc>
          <w:tcPr>
            <w:tcW w:w="1721" w:type="dxa"/>
            <w:shd w:val="clear" w:color="auto" w:fill="FFFFFF"/>
            <w:tcMar>
              <w:top w:w="45" w:type="dxa"/>
              <w:left w:w="45" w:type="dxa"/>
              <w:bottom w:w="45" w:type="dxa"/>
              <w:right w:w="45" w:type="dxa"/>
            </w:tcMar>
          </w:tcPr>
          <w:p w:rsidR="00C508BE" w:rsidRDefault="00122E45">
            <w:pPr>
              <w:spacing w:after="20" w:line="240" w:lineRule="auto"/>
            </w:pPr>
            <w:r>
              <w:rPr>
                <w:sz w:val="16"/>
              </w:rPr>
              <w:t>360tf Trade Fintech Pte. Ltd.</w:t>
            </w:r>
          </w:p>
        </w:tc>
        <w:tc>
          <w:tcPr>
            <w:tcW w:w="1330" w:type="dxa"/>
            <w:shd w:val="clear" w:color="auto" w:fill="FFFFFF"/>
            <w:tcMar>
              <w:top w:w="45" w:type="dxa"/>
              <w:left w:w="45" w:type="dxa"/>
              <w:bottom w:w="45" w:type="dxa"/>
              <w:right w:w="45" w:type="dxa"/>
            </w:tcMar>
          </w:tcPr>
          <w:p w:rsidR="00C508BE" w:rsidRDefault="00122E45">
            <w:pPr>
              <w:spacing w:after="20" w:line="240" w:lineRule="auto"/>
            </w:pPr>
            <w:r>
              <w:rPr>
                <w:sz w:val="16"/>
              </w:rPr>
              <w:t>Singapore</w:t>
            </w:r>
          </w:p>
        </w:tc>
        <w:tc>
          <w:tcPr>
            <w:tcW w:w="939"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88</w:t>
            </w:r>
          </w:p>
        </w:tc>
      </w:tr>
      <w:tr w:rsidR="00C508BE">
        <w:trPr>
          <w:cantSplit/>
          <w:jc w:val="center"/>
        </w:trPr>
        <w:tc>
          <w:tcPr>
            <w:tcW w:w="1565" w:type="dxa"/>
            <w:shd w:val="clear" w:color="auto" w:fill="F8FAFC"/>
            <w:tcMar>
              <w:top w:w="45" w:type="dxa"/>
              <w:left w:w="45" w:type="dxa"/>
              <w:bottom w:w="45" w:type="dxa"/>
              <w:right w:w="45" w:type="dxa"/>
            </w:tcMar>
          </w:tcPr>
          <w:p w:rsidR="00C508BE" w:rsidRDefault="00122E45">
            <w:pPr>
              <w:spacing w:after="20" w:line="240" w:lineRule="auto"/>
            </w:pPr>
            <w:r>
              <w:rPr>
                <w:sz w:val="16"/>
              </w:rPr>
              <w:t>TradeZone</w:t>
            </w:r>
          </w:p>
        </w:tc>
        <w:tc>
          <w:tcPr>
            <w:tcW w:w="1721" w:type="dxa"/>
            <w:shd w:val="clear" w:color="auto" w:fill="F8FAFC"/>
            <w:tcMar>
              <w:top w:w="45" w:type="dxa"/>
              <w:left w:w="45" w:type="dxa"/>
              <w:bottom w:w="45" w:type="dxa"/>
              <w:right w:w="45" w:type="dxa"/>
            </w:tcMar>
          </w:tcPr>
          <w:p w:rsidR="00C508BE" w:rsidRDefault="00122E45">
            <w:pPr>
              <w:spacing w:after="20" w:line="240" w:lineRule="auto"/>
            </w:pPr>
            <w:r>
              <w:rPr>
                <w:sz w:val="16"/>
              </w:rPr>
              <w:t>Kyzer Software India Pvt Ltd</w:t>
            </w:r>
          </w:p>
        </w:tc>
        <w:tc>
          <w:tcPr>
            <w:tcW w:w="1330" w:type="dxa"/>
            <w:shd w:val="clear" w:color="auto" w:fill="F8FAFC"/>
            <w:tcMar>
              <w:top w:w="45" w:type="dxa"/>
              <w:left w:w="45" w:type="dxa"/>
              <w:bottom w:w="45" w:type="dxa"/>
              <w:right w:w="45" w:type="dxa"/>
            </w:tcMar>
          </w:tcPr>
          <w:p w:rsidR="00C508BE" w:rsidRDefault="00122E45">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86</w:t>
            </w:r>
          </w:p>
        </w:tc>
      </w:tr>
      <w:tr w:rsidR="00C508BE">
        <w:trPr>
          <w:cantSplit/>
          <w:jc w:val="center"/>
        </w:trPr>
        <w:tc>
          <w:tcPr>
            <w:tcW w:w="1565" w:type="dxa"/>
            <w:shd w:val="clear" w:color="auto" w:fill="FFFFFF"/>
            <w:tcMar>
              <w:top w:w="45" w:type="dxa"/>
              <w:left w:w="45" w:type="dxa"/>
              <w:bottom w:w="45" w:type="dxa"/>
              <w:right w:w="45" w:type="dxa"/>
            </w:tcMar>
          </w:tcPr>
          <w:p w:rsidR="00C508BE" w:rsidRDefault="00122E45">
            <w:pPr>
              <w:spacing w:after="20" w:line="240" w:lineRule="auto"/>
            </w:pPr>
            <w:r>
              <w:rPr>
                <w:sz w:val="16"/>
              </w:rPr>
              <w:t>Xalts</w:t>
            </w:r>
          </w:p>
        </w:tc>
        <w:tc>
          <w:tcPr>
            <w:tcW w:w="1721" w:type="dxa"/>
            <w:shd w:val="clear" w:color="auto" w:fill="FFFFFF"/>
            <w:tcMar>
              <w:top w:w="45" w:type="dxa"/>
              <w:left w:w="45" w:type="dxa"/>
              <w:bottom w:w="45" w:type="dxa"/>
              <w:right w:w="45" w:type="dxa"/>
            </w:tcMar>
          </w:tcPr>
          <w:p w:rsidR="00C508BE" w:rsidRDefault="00122E45">
            <w:pPr>
              <w:spacing w:after="20" w:line="240" w:lineRule="auto"/>
            </w:pPr>
            <w:r>
              <w:rPr>
                <w:sz w:val="16"/>
              </w:rPr>
              <w:t>Xalts Technologies Pte. Ltd.</w:t>
            </w:r>
          </w:p>
        </w:tc>
        <w:tc>
          <w:tcPr>
            <w:tcW w:w="1330" w:type="dxa"/>
            <w:shd w:val="clear" w:color="auto" w:fill="FFFFFF"/>
            <w:tcMar>
              <w:top w:w="45" w:type="dxa"/>
              <w:left w:w="45" w:type="dxa"/>
              <w:bottom w:w="45" w:type="dxa"/>
              <w:right w:w="45" w:type="dxa"/>
            </w:tcMar>
          </w:tcPr>
          <w:p w:rsidR="00C508BE" w:rsidRDefault="00122E45">
            <w:pPr>
              <w:spacing w:after="20" w:line="240" w:lineRule="auto"/>
            </w:pPr>
            <w:r>
              <w:rPr>
                <w:sz w:val="16"/>
              </w:rPr>
              <w:t>Singapore</w:t>
            </w:r>
          </w:p>
        </w:tc>
        <w:tc>
          <w:tcPr>
            <w:tcW w:w="939"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85</w:t>
            </w:r>
          </w:p>
        </w:tc>
      </w:tr>
      <w:tr w:rsidR="00C508BE">
        <w:trPr>
          <w:cantSplit/>
          <w:jc w:val="center"/>
        </w:trPr>
        <w:tc>
          <w:tcPr>
            <w:tcW w:w="1565" w:type="dxa"/>
            <w:shd w:val="clear" w:color="auto" w:fill="F8FAFC"/>
            <w:tcMar>
              <w:top w:w="45" w:type="dxa"/>
              <w:left w:w="45" w:type="dxa"/>
              <w:bottom w:w="45" w:type="dxa"/>
              <w:right w:w="45" w:type="dxa"/>
            </w:tcMar>
          </w:tcPr>
          <w:p w:rsidR="00C508BE" w:rsidRDefault="00122E45">
            <w:pPr>
              <w:spacing w:after="20" w:line="240" w:lineRule="auto"/>
            </w:pPr>
            <w:r>
              <w:rPr>
                <w:sz w:val="16"/>
              </w:rPr>
              <w:t>TradeAssets</w:t>
            </w:r>
          </w:p>
        </w:tc>
        <w:tc>
          <w:tcPr>
            <w:tcW w:w="1721" w:type="dxa"/>
            <w:shd w:val="clear" w:color="auto" w:fill="F8FAFC"/>
            <w:tcMar>
              <w:top w:w="45" w:type="dxa"/>
              <w:left w:w="45" w:type="dxa"/>
              <w:bottom w:w="45" w:type="dxa"/>
              <w:right w:w="45" w:type="dxa"/>
            </w:tcMar>
          </w:tcPr>
          <w:p w:rsidR="00C508BE" w:rsidRDefault="00122E45">
            <w:pPr>
              <w:spacing w:after="20" w:line="240" w:lineRule="auto"/>
            </w:pPr>
            <w:r>
              <w:rPr>
                <w:sz w:val="16"/>
              </w:rPr>
              <w:t>TradeAssets DMCC</w:t>
            </w:r>
          </w:p>
        </w:tc>
        <w:tc>
          <w:tcPr>
            <w:tcW w:w="1330" w:type="dxa"/>
            <w:shd w:val="clear" w:color="auto" w:fill="F8FAFC"/>
            <w:tcMar>
              <w:top w:w="45" w:type="dxa"/>
              <w:left w:w="45" w:type="dxa"/>
              <w:bottom w:w="45" w:type="dxa"/>
              <w:right w:w="45" w:type="dxa"/>
            </w:tcMar>
          </w:tcPr>
          <w:p w:rsidR="00C508BE" w:rsidRDefault="00122E45">
            <w:pPr>
              <w:spacing w:after="20" w:line="240" w:lineRule="auto"/>
            </w:pPr>
            <w:r>
              <w:rPr>
                <w:sz w:val="16"/>
              </w:rPr>
              <w:t>Dubai, United Arab Emirates</w:t>
            </w:r>
          </w:p>
        </w:tc>
        <w:tc>
          <w:tcPr>
            <w:tcW w:w="939"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80</w:t>
            </w:r>
          </w:p>
        </w:tc>
      </w:tr>
      <w:tr w:rsidR="00C508BE">
        <w:trPr>
          <w:cantSplit/>
          <w:jc w:val="center"/>
        </w:trPr>
        <w:tc>
          <w:tcPr>
            <w:tcW w:w="1565" w:type="dxa"/>
            <w:shd w:val="clear" w:color="auto" w:fill="FFFFFF"/>
            <w:tcMar>
              <w:top w:w="45" w:type="dxa"/>
              <w:left w:w="45" w:type="dxa"/>
              <w:bottom w:w="45" w:type="dxa"/>
              <w:right w:w="45" w:type="dxa"/>
            </w:tcMar>
          </w:tcPr>
          <w:p w:rsidR="00C508BE" w:rsidRDefault="00122E45">
            <w:pPr>
              <w:spacing w:after="20" w:line="240" w:lineRule="auto"/>
            </w:pPr>
            <w:r>
              <w:rPr>
                <w:sz w:val="16"/>
              </w:rPr>
              <w:t>RootAnt</w:t>
            </w:r>
          </w:p>
        </w:tc>
        <w:tc>
          <w:tcPr>
            <w:tcW w:w="1721" w:type="dxa"/>
            <w:shd w:val="clear" w:color="auto" w:fill="FFFFFF"/>
            <w:tcMar>
              <w:top w:w="45" w:type="dxa"/>
              <w:left w:w="45" w:type="dxa"/>
              <w:bottom w:w="45" w:type="dxa"/>
              <w:right w:w="45" w:type="dxa"/>
            </w:tcMar>
          </w:tcPr>
          <w:p w:rsidR="00C508BE" w:rsidRDefault="00122E45">
            <w:pPr>
              <w:spacing w:after="20" w:line="240" w:lineRule="auto"/>
            </w:pPr>
            <w:r>
              <w:rPr>
                <w:sz w:val="16"/>
              </w:rPr>
              <w:t>RootAnt Global Pte Ltd</w:t>
            </w:r>
          </w:p>
        </w:tc>
        <w:tc>
          <w:tcPr>
            <w:tcW w:w="1330" w:type="dxa"/>
            <w:shd w:val="clear" w:color="auto" w:fill="FFFFFF"/>
            <w:tcMar>
              <w:top w:w="45" w:type="dxa"/>
              <w:left w:w="45" w:type="dxa"/>
              <w:bottom w:w="45" w:type="dxa"/>
              <w:right w:w="45" w:type="dxa"/>
            </w:tcMar>
          </w:tcPr>
          <w:p w:rsidR="00C508BE" w:rsidRDefault="00122E45">
            <w:pPr>
              <w:spacing w:after="20" w:line="240" w:lineRule="auto"/>
            </w:pPr>
            <w:r>
              <w:rPr>
                <w:sz w:val="16"/>
              </w:rPr>
              <w:t>Singapore</w:t>
            </w:r>
          </w:p>
        </w:tc>
        <w:tc>
          <w:tcPr>
            <w:tcW w:w="939"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80</w:t>
            </w:r>
          </w:p>
        </w:tc>
      </w:tr>
      <w:tr w:rsidR="00C508BE">
        <w:trPr>
          <w:cantSplit/>
          <w:jc w:val="center"/>
        </w:trPr>
        <w:tc>
          <w:tcPr>
            <w:tcW w:w="1565" w:type="dxa"/>
            <w:shd w:val="clear" w:color="auto" w:fill="F8FAFC"/>
            <w:tcMar>
              <w:top w:w="45" w:type="dxa"/>
              <w:left w:w="45" w:type="dxa"/>
              <w:bottom w:w="45" w:type="dxa"/>
              <w:right w:w="45" w:type="dxa"/>
            </w:tcMar>
          </w:tcPr>
          <w:p w:rsidR="00C508BE" w:rsidRDefault="00122E45">
            <w:pPr>
              <w:spacing w:after="20" w:line="240" w:lineRule="auto"/>
            </w:pPr>
            <w:r>
              <w:rPr>
                <w:sz w:val="16"/>
              </w:rPr>
              <w:t>CapBay Singapore</w:t>
            </w:r>
          </w:p>
        </w:tc>
        <w:tc>
          <w:tcPr>
            <w:tcW w:w="1721" w:type="dxa"/>
            <w:shd w:val="clear" w:color="auto" w:fill="F8FAFC"/>
            <w:tcMar>
              <w:top w:w="45" w:type="dxa"/>
              <w:left w:w="45" w:type="dxa"/>
              <w:bottom w:w="45" w:type="dxa"/>
              <w:right w:w="45" w:type="dxa"/>
            </w:tcMar>
          </w:tcPr>
          <w:p w:rsidR="00C508BE" w:rsidRDefault="00122E45">
            <w:pPr>
              <w:spacing w:after="20" w:line="240" w:lineRule="auto"/>
            </w:pPr>
            <w:r>
              <w:rPr>
                <w:sz w:val="16"/>
              </w:rPr>
              <w:t>Bay Smart Capital Ventures (Singapore) Pte. Ltd.</w:t>
            </w:r>
          </w:p>
        </w:tc>
        <w:tc>
          <w:tcPr>
            <w:tcW w:w="1330" w:type="dxa"/>
            <w:shd w:val="clear" w:color="auto" w:fill="F8FAFC"/>
            <w:tcMar>
              <w:top w:w="45" w:type="dxa"/>
              <w:left w:w="45" w:type="dxa"/>
              <w:bottom w:w="45" w:type="dxa"/>
              <w:right w:w="45" w:type="dxa"/>
            </w:tcMar>
          </w:tcPr>
          <w:p w:rsidR="00C508BE" w:rsidRDefault="00122E45">
            <w:pPr>
              <w:spacing w:after="20" w:line="240" w:lineRule="auto"/>
            </w:pPr>
            <w:r>
              <w:rPr>
                <w:sz w:val="16"/>
              </w:rPr>
              <w:t>Singapore</w:t>
            </w:r>
          </w:p>
        </w:tc>
        <w:tc>
          <w:tcPr>
            <w:tcW w:w="939"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77</w:t>
            </w:r>
          </w:p>
        </w:tc>
      </w:tr>
      <w:tr w:rsidR="00C508BE">
        <w:trPr>
          <w:cantSplit/>
          <w:jc w:val="center"/>
        </w:trPr>
        <w:tc>
          <w:tcPr>
            <w:tcW w:w="1565" w:type="dxa"/>
            <w:shd w:val="clear" w:color="auto" w:fill="FFFFFF"/>
            <w:tcMar>
              <w:top w:w="45" w:type="dxa"/>
              <w:left w:w="45" w:type="dxa"/>
              <w:bottom w:w="45" w:type="dxa"/>
              <w:right w:w="45" w:type="dxa"/>
            </w:tcMar>
          </w:tcPr>
          <w:p w:rsidR="00C508BE" w:rsidRDefault="00122E45">
            <w:pPr>
              <w:spacing w:after="20" w:line="240" w:lineRule="auto"/>
            </w:pPr>
            <w:r>
              <w:rPr>
                <w:sz w:val="16"/>
              </w:rPr>
              <w:t>Fiducia</w:t>
            </w:r>
          </w:p>
        </w:tc>
        <w:tc>
          <w:tcPr>
            <w:tcW w:w="1721" w:type="dxa"/>
            <w:shd w:val="clear" w:color="auto" w:fill="FFFFFF"/>
            <w:tcMar>
              <w:top w:w="45" w:type="dxa"/>
              <w:left w:w="45" w:type="dxa"/>
              <w:bottom w:w="45" w:type="dxa"/>
              <w:right w:w="45" w:type="dxa"/>
            </w:tcMar>
          </w:tcPr>
          <w:p w:rsidR="00C508BE" w:rsidRDefault="00122E45">
            <w:pPr>
              <w:spacing w:after="20" w:line="240" w:lineRule="auto"/>
            </w:pPr>
            <w:r>
              <w:rPr>
                <w:sz w:val="16"/>
              </w:rPr>
              <w:t>Fiducia Data Services Limited</w:t>
            </w:r>
          </w:p>
        </w:tc>
        <w:tc>
          <w:tcPr>
            <w:tcW w:w="1330" w:type="dxa"/>
            <w:shd w:val="clear" w:color="auto" w:fill="FFFFFF"/>
            <w:tcMar>
              <w:top w:w="45" w:type="dxa"/>
              <w:left w:w="45" w:type="dxa"/>
              <w:bottom w:w="45" w:type="dxa"/>
              <w:right w:w="45" w:type="dxa"/>
            </w:tcMar>
          </w:tcPr>
          <w:p w:rsidR="00C508BE" w:rsidRDefault="00122E45">
            <w:pPr>
              <w:spacing w:after="20" w:line="240" w:lineRule="auto"/>
            </w:pPr>
            <w:r>
              <w:rPr>
                <w:sz w:val="16"/>
              </w:rPr>
              <w:t>Lagos, Nigeria</w:t>
            </w:r>
          </w:p>
        </w:tc>
        <w:tc>
          <w:tcPr>
            <w:tcW w:w="939"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C508BE" w:rsidRDefault="00122E45">
            <w:pPr>
              <w:spacing w:after="20" w:line="240" w:lineRule="auto"/>
            </w:pPr>
            <w:r>
              <w:rPr>
                <w:b/>
                <w:color w:val="1E3A8A"/>
                <w:sz w:val="18"/>
              </w:rPr>
              <w:t>77</w:t>
            </w:r>
          </w:p>
        </w:tc>
      </w:tr>
      <w:tr w:rsidR="00C508BE">
        <w:trPr>
          <w:cantSplit/>
          <w:jc w:val="center"/>
        </w:trPr>
        <w:tc>
          <w:tcPr>
            <w:tcW w:w="1565" w:type="dxa"/>
            <w:shd w:val="clear" w:color="auto" w:fill="F8FAFC"/>
            <w:tcMar>
              <w:top w:w="45" w:type="dxa"/>
              <w:left w:w="45" w:type="dxa"/>
              <w:bottom w:w="45" w:type="dxa"/>
              <w:right w:w="45" w:type="dxa"/>
            </w:tcMar>
          </w:tcPr>
          <w:p w:rsidR="00C508BE" w:rsidRDefault="00122E45">
            <w:pPr>
              <w:spacing w:after="20" w:line="240" w:lineRule="auto"/>
            </w:pPr>
            <w:r>
              <w:rPr>
                <w:sz w:val="16"/>
              </w:rPr>
              <w:t>Efficient Finance</w:t>
            </w:r>
          </w:p>
        </w:tc>
        <w:tc>
          <w:tcPr>
            <w:tcW w:w="1721" w:type="dxa"/>
            <w:shd w:val="clear" w:color="auto" w:fill="F8FAFC"/>
            <w:tcMar>
              <w:top w:w="45" w:type="dxa"/>
              <w:left w:w="45" w:type="dxa"/>
              <w:bottom w:w="45" w:type="dxa"/>
              <w:right w:w="45" w:type="dxa"/>
            </w:tcMar>
          </w:tcPr>
          <w:p w:rsidR="00C508BE" w:rsidRDefault="00122E45">
            <w:pPr>
              <w:spacing w:after="20" w:line="240" w:lineRule="auto"/>
            </w:pPr>
            <w:r>
              <w:rPr>
                <w:sz w:val="16"/>
              </w:rPr>
              <w:t>Efficient Finance Ltd.</w:t>
            </w:r>
          </w:p>
        </w:tc>
        <w:tc>
          <w:tcPr>
            <w:tcW w:w="1330" w:type="dxa"/>
            <w:shd w:val="clear" w:color="auto" w:fill="F8FAFC"/>
            <w:tcMar>
              <w:top w:w="45" w:type="dxa"/>
              <w:left w:w="45" w:type="dxa"/>
              <w:bottom w:w="45" w:type="dxa"/>
              <w:right w:w="45" w:type="dxa"/>
            </w:tcMar>
          </w:tcPr>
          <w:p w:rsidR="00C508BE" w:rsidRDefault="00122E45">
            <w:pPr>
              <w:spacing w:after="20" w:line="240" w:lineRule="auto"/>
            </w:pPr>
            <w:r>
              <w:rPr>
                <w:sz w:val="16"/>
              </w:rPr>
              <w:t>Tel Aviv, Israel</w:t>
            </w:r>
          </w:p>
        </w:tc>
        <w:tc>
          <w:tcPr>
            <w:tcW w:w="939"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C508BE" w:rsidRDefault="00122E45">
            <w:pPr>
              <w:spacing w:after="20" w:line="240" w:lineRule="auto"/>
            </w:pPr>
            <w:r>
              <w:rPr>
                <w:b/>
                <w:color w:val="1E3A8A"/>
                <w:sz w:val="18"/>
              </w:rPr>
              <w:t>74</w:t>
            </w:r>
          </w:p>
        </w:tc>
      </w:tr>
    </w:tbl>
    <w:p w:rsidR="00C508BE" w:rsidRDefault="00122E45">
      <w:pPr>
        <w:pStyle w:val="Heading1"/>
        <w:pageBreakBefore/>
        <w:pBdr>
          <w:bottom w:val="single" w:sz="24" w:space="6" w:color="52B69A"/>
        </w:pBdr>
      </w:pPr>
      <w:bookmarkStart w:id="5" w:name="_Toc242420535"/>
      <w:r>
        <w:lastRenderedPageBreak/>
        <w:t>Other Noticeable Players</w:t>
      </w:r>
      <w:bookmarkEnd w:id="5"/>
    </w:p>
    <w:p w:rsidR="00C508BE" w:rsidRDefault="00122E45">
      <w:pPr>
        <w:spacing w:after="200"/>
      </w:pPr>
      <w:r>
        <w:rPr>
          <w:color w:val="64748B"/>
        </w:rPr>
        <w:t>(116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C508BE">
        <w:trPr>
          <w:cantSplit/>
          <w:tblHeader/>
          <w:jc w:val="center"/>
        </w:trPr>
        <w:tc>
          <w:tcPr>
            <w:tcW w:w="1979"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C508BE" w:rsidRDefault="00122E45">
            <w:pPr>
              <w:spacing w:after="20" w:line="240" w:lineRule="auto"/>
            </w:pPr>
            <w:r>
              <w:rPr>
                <w:b/>
                <w:color w:val="FFFFFF"/>
                <w:sz w:val="13"/>
              </w:rPr>
              <w:t>STRENGTH</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CGI Trade360</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CGI Inc.</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Montreal, Canada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Finacle Trade Finance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EdgeVerve Systems Limited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Intellect Trade Finance</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Intellect Design Arena Limited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MonetaGo</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MonetaGo Inc.</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New York, New York, USA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Bolero</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 xml:space="preserve">Bolero International Limited (subsidiary of </w:t>
            </w:r>
            <w:r>
              <w:rPr>
                <w:sz w:val="16"/>
              </w:rPr>
              <w:t>WiseTech Global)</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Finastra</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Finastra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London, England, UK</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Taulia</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Taulia LLC (subsidiary of SAP SE)</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San Francisco, California, USA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TradeSun</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TradeSun, Inc.</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Del Mar, California, USA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Kyriba Working Capital</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Kyriba Corp. (subsidiary of Bridgepoint)</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San Diego, California, USA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CargoX</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CargoX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Ljubljana, Slovenia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Mitigram</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Mitigram AB</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Stockholm, Sweden</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ClearTrade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Cleareye.ai, Inc.</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Milpitas, California, USA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Fintra</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Aurionpro Solutions Limited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Enigio</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Enigio Time AB</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Stockholm, Sweden</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Ryte</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GUUD (Singapore) Pte. Ltd. (acquired by EXEO Global Pte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Lendscape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 xml:space="preserve">Lendscape Limited </w:t>
            </w:r>
            <w:r>
              <w:rPr>
                <w:sz w:val="16"/>
              </w:rPr>
              <w:t>(subsidiary of Bowmark Capital)</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CREDOC</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MIT Make Intuitive Tech SA</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Lausanne, Switzerland</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Newgen</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Newgen Software Technologies Limited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PrimeRevenue</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PrimeRevenue, Inc.</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Atlanta, Georgia, USA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Trade Technologies</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Trade Technologies, Inc.</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Austin, Texas, USA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TradeWaltz</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TradeWaltz Inc.</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Unloq</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Unloq</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Vayana</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Vayana Network</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SY Holdings</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SY Holdings Group Limited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haifin</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haifin</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Tradeteq</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Tradeteq Ltd (acquired by Silver Birch Finance)</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lastRenderedPageBreak/>
              <w:t>Veefin</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Veefin Solutions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Comarch Trade Finance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Comarch SA (acquired by Chamonix Investments Poland sp. z o.o. (controlled by CVC Capital Partners Fund IX))</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Krakow, Poland</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TradeX</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CredAble (Equentia Natural Resources Pte.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Silverlake Vision Trade Finance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Silverlake Axis Ltd. (acquired by E2I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Klym (OmniLatam legacy)</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Klym</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Santiago, Chile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Trade Ledger</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 xml:space="preserve">Trade </w:t>
            </w:r>
            <w:r>
              <w:rPr>
                <w:sz w:val="16"/>
              </w:rPr>
              <w:t>Ledger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TradeFinex</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TradeFinex Tech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Abu Dhabi, United Arab Emirates</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Olea</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Olea Global Pte.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TradeAI</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Conpend</w:t>
            </w:r>
            <w:r>
              <w:rPr>
                <w:sz w:val="16"/>
              </w:rPr>
              <w:t xml:space="preserve"> (acquired by Cape Investment Partners)</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Amsterdam, Netherlands</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CRX Markets</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CRX Markets AG</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Munich, Germany</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IBSFINtech</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IBSFINtech India Pvt.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Finverity</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Finverity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TASConnect</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TASConnect Pte.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ICS BANKS</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ICS Financial Systems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London, England, UK</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Air8</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Air8 (Hong Kong) Limited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Hong Kong, Hong Kong</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InvoiceMate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InvoiceMate</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Octet</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Octet Group Pty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Pilon</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Pilon Pte.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Polytrade</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Polytrade Finance</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PracBiz Exchange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PracBiz Pte.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TradeWindow</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Trade Window Holdings Limited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Auckland, New Zealand</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eFactor Network</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eFactor Network S.A.P.I. de C.V.</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San Pedro Garza García, Mexico</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Mente</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Exponencial Confirming S.A.S.</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Medellín, Colombia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Jetstream</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Jetstream Global, Inc.</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Tema, Ghana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Levantor</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Levantor Capital Limited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Partior</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 xml:space="preserve">Partior </w:t>
            </w:r>
            <w:r>
              <w:rPr>
                <w:sz w:val="16"/>
              </w:rPr>
              <w:t>Pte.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BankTrade</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BT Systems, LLC</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Plano, Texas, USA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Skuchain</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Skuchain, Inc.</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Mountain View, California, USA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Fin2B</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 xml:space="preserve">Fin2B </w:t>
            </w:r>
            <w:r>
              <w:rPr>
                <w:sz w:val="16"/>
              </w:rPr>
              <w:t>Inc.</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Hanoi, Vietnam</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lastRenderedPageBreak/>
              <w:t>InvoiceMate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InvoiceMate Technologies FZCO</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Natech</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Natech Banking Solutions</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Athens, Greece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Sunrate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Sunrate Pte.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TradeFintech</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TradeFintech</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Capsa</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Capsa Technologies Inc.</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Lagos, Nigeria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HES Trade Finance</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HES FinTech</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Vilnius, Lithuania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PrimaTrade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Primatrade Services Limited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InvoiceMate</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InvoiceMate Tech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InvoiTrade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Invoitrade S.A.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Buenos Aires, Argentina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Contour</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Contour Network (acquired by XDC Ventures)</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Union Systems</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 xml:space="preserve">Union </w:t>
            </w:r>
            <w:r>
              <w:rPr>
                <w:sz w:val="16"/>
              </w:rPr>
              <w:t>Systems Limited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Lagos, Nigeria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Monkey</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Monkey S/A</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Solv Kenya</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Solv Kenya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Nairobi, Kenya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Trademaster</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 xml:space="preserve">Trademaster </w:t>
            </w:r>
            <w:r>
              <w:rPr>
                <w:sz w:val="16"/>
              </w:rPr>
              <w:t>Serviços e Participações S.A. (subsidiary of banco BV)</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FreightAmigo</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FreightAmigo Services Limited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Hong Kong, China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Antecipa</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 xml:space="preserve">Antecipa S/A (acquired by CERC </w:t>
            </w:r>
            <w:r>
              <w:rPr>
                <w:sz w:val="16"/>
              </w:rPr>
              <w:t>Central de Recebíveis)</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CycleFlow</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CycleFlow Limited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Lagos, Nigeria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Doxa Connex</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Doxa Holdings International Pte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eBiashara Africa</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Ebiashara Africa Limited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Nairobi, Kenya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Interlinkages Online</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Interlinkages Limited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Hong Kong, Hong Kong</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PrimaDollar</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 xml:space="preserve">PrimaDollar Operations </w:t>
            </w:r>
            <w:r>
              <w:rPr>
                <w:sz w:val="16"/>
              </w:rPr>
              <w:t>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Antecipa Fácil</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Antecipa Plataforma de Intermediacoes de Recebiveis &amp; Credito S.a.</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Campinas, Brazil</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Triterras</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Triterras Fintech Pte.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eCOM Registry</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eCOM Registry Holdings Pte.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Breeze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Breeze Africa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Nairobi, Kenya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CPayant</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CPayant Limited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Lagos, Nigeria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Liber Capital</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Liber Capital</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NeoFingo</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NeoFingo Limited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Accra, Ghana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 xml:space="preserve">Nobo </w:t>
            </w:r>
            <w:r>
              <w:rPr>
                <w:sz w:val="16"/>
              </w:rPr>
              <w:t>Finance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Nobo Finance Limited (acquired by Bharti Global)</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London, United Kingdom</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lastRenderedPageBreak/>
              <w:t>Solvento</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Solvento SAPI de CV</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Mexico City, Mexico</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WareFlow Africa</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WareFlow Africa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Nairobi, Kenya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Grafeno</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Grafeno Digital</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Addendum Flex</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Addendum Financial Technologies (Pty)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Cape Town, South Africa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REasy</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REasy SAS</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Douala, Cameroon</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Accesstage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Accesstage S/A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Grapple</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Grapple Quarterly Pty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TerraTrade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TerraTrade IO</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ODIN</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Oceanus InnoVenture Pte.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DigiTrade</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Digital Trade Finance China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Kanastra</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Kanastra Ltda.</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Uberlândia, Brazil</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Liquify</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Liquify Digital Ltd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Accra, Ghana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InvoiNet</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InvoiNet S.A.</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Buenos Aires, Argentina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VenaChain</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VenaChain Technologies</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Nairobi, Kenya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CrediArc</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CrediArc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Tel Aviv, Israel</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Billy</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Billy Facturex</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Bogotá, Colombia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Yaydoo</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Yaydoo, S.A. de C.V. (subsidiary of Paystand)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Ciudad de México, Mexico</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Broadfactor</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Broadfactor Sistemas e Apoio Administrativo S.A.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Joinville, Brazil</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dltledgers</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Distributed Ledger Technologies Pte.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Cassbana</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Cassbana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African Trade Platform</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African Trade Platform</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 xml:space="preserve">Midrand, </w:t>
            </w:r>
            <w:r>
              <w:rPr>
                <w:sz w:val="16"/>
              </w:rPr>
              <w:t>South Africa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Colibird</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Colibird</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Buenos Aires, Argentina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Tranzax</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Tranzax Corporation</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Blooms</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 xml:space="preserve">Blooms Financial </w:t>
            </w:r>
            <w:r>
              <w:rPr>
                <w:sz w:val="16"/>
              </w:rPr>
              <w:t>Technologies</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Mexico City, Mexico</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MVGX Tech</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MVGX Tech Pte. Ltd.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AfriTrade AI</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AfriTrade Networks</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Nairobi, Kenya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CredWault</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CredWault Fintech Private Limited</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XLZ</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XLZ Antecipa E Concilia Ltda.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t>Robbin</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Robbin Pagamentos LTDA</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Action Fintech</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Action Fintech SAS</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Martinez, Argentina</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FFFFF"/>
            <w:tcMar>
              <w:top w:w="45" w:type="dxa"/>
              <w:left w:w="45" w:type="dxa"/>
              <w:bottom w:w="45" w:type="dxa"/>
              <w:right w:w="45" w:type="dxa"/>
            </w:tcMar>
          </w:tcPr>
          <w:p w:rsidR="00C508BE" w:rsidRDefault="00122E45">
            <w:pPr>
              <w:spacing w:after="20" w:line="240" w:lineRule="auto"/>
            </w:pPr>
            <w:r>
              <w:rPr>
                <w:sz w:val="16"/>
              </w:rPr>
              <w:lastRenderedPageBreak/>
              <w:t>BILL</w:t>
            </w:r>
          </w:p>
        </w:tc>
        <w:tc>
          <w:tcPr>
            <w:tcW w:w="2177" w:type="dxa"/>
            <w:shd w:val="clear" w:color="auto" w:fill="FFFFFF"/>
            <w:tcMar>
              <w:top w:w="45" w:type="dxa"/>
              <w:left w:w="45" w:type="dxa"/>
              <w:bottom w:w="45" w:type="dxa"/>
              <w:right w:w="45" w:type="dxa"/>
            </w:tcMar>
          </w:tcPr>
          <w:p w:rsidR="00C508BE" w:rsidRDefault="00122E45">
            <w:pPr>
              <w:spacing w:after="20" w:line="240" w:lineRule="auto"/>
            </w:pPr>
            <w:r>
              <w:rPr>
                <w:sz w:val="16"/>
              </w:rPr>
              <w:t>BILL Group Argentina</w:t>
            </w:r>
          </w:p>
        </w:tc>
        <w:tc>
          <w:tcPr>
            <w:tcW w:w="1682" w:type="dxa"/>
            <w:shd w:val="clear" w:color="auto" w:fill="FFFFFF"/>
            <w:tcMar>
              <w:top w:w="45" w:type="dxa"/>
              <w:left w:w="45" w:type="dxa"/>
              <w:bottom w:w="45" w:type="dxa"/>
              <w:right w:w="45" w:type="dxa"/>
            </w:tcMar>
          </w:tcPr>
          <w:p w:rsidR="00C508BE" w:rsidRDefault="00122E45">
            <w:pPr>
              <w:spacing w:after="20" w:line="240" w:lineRule="auto"/>
            </w:pPr>
            <w:r>
              <w:rPr>
                <w:sz w:val="16"/>
              </w:rPr>
              <w:t>Buenos Aires, Argentina</w:t>
            </w:r>
          </w:p>
        </w:tc>
        <w:tc>
          <w:tcPr>
            <w:tcW w:w="1187" w:type="dxa"/>
            <w:shd w:val="clear" w:color="auto" w:fill="FFFFFF"/>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508BE">
        <w:trPr>
          <w:cantSplit/>
          <w:jc w:val="center"/>
        </w:trPr>
        <w:tc>
          <w:tcPr>
            <w:tcW w:w="1979" w:type="dxa"/>
            <w:shd w:val="clear" w:color="auto" w:fill="F8FAFC"/>
            <w:tcMar>
              <w:top w:w="45" w:type="dxa"/>
              <w:left w:w="45" w:type="dxa"/>
              <w:bottom w:w="45" w:type="dxa"/>
              <w:right w:w="45" w:type="dxa"/>
            </w:tcMar>
          </w:tcPr>
          <w:p w:rsidR="00C508BE" w:rsidRDefault="00122E45">
            <w:pPr>
              <w:spacing w:after="20" w:line="240" w:lineRule="auto"/>
            </w:pPr>
            <w:r>
              <w:rPr>
                <w:sz w:val="16"/>
              </w:rPr>
              <w:t>weFin</w:t>
            </w:r>
          </w:p>
        </w:tc>
        <w:tc>
          <w:tcPr>
            <w:tcW w:w="2177" w:type="dxa"/>
            <w:shd w:val="clear" w:color="auto" w:fill="F8FAFC"/>
            <w:tcMar>
              <w:top w:w="45" w:type="dxa"/>
              <w:left w:w="45" w:type="dxa"/>
              <w:bottom w:w="45" w:type="dxa"/>
              <w:right w:w="45" w:type="dxa"/>
            </w:tcMar>
          </w:tcPr>
          <w:p w:rsidR="00C508BE" w:rsidRDefault="00122E45">
            <w:pPr>
              <w:spacing w:after="20" w:line="240" w:lineRule="auto"/>
            </w:pPr>
            <w:r>
              <w:rPr>
                <w:sz w:val="16"/>
              </w:rPr>
              <w:t xml:space="preserve">WEFIN </w:t>
            </w:r>
            <w:r>
              <w:rPr>
                <w:sz w:val="16"/>
              </w:rPr>
              <w:t>LICENCIADORA S.A.</w:t>
            </w:r>
          </w:p>
        </w:tc>
        <w:tc>
          <w:tcPr>
            <w:tcW w:w="1682" w:type="dxa"/>
            <w:shd w:val="clear" w:color="auto" w:fill="F8FAFC"/>
            <w:tcMar>
              <w:top w:w="45" w:type="dxa"/>
              <w:left w:w="45" w:type="dxa"/>
              <w:bottom w:w="45" w:type="dxa"/>
              <w:right w:w="45" w:type="dxa"/>
            </w:tcMar>
          </w:tcPr>
          <w:p w:rsidR="00C508BE" w:rsidRDefault="00122E45">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508BE" w:rsidRDefault="00122E45">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508BE" w:rsidRDefault="00122E4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508BE" w:rsidRDefault="00122E4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C508BE" w:rsidRDefault="00122E45">
      <w:pPr>
        <w:pStyle w:val="Heading1"/>
        <w:pageBreakBefore/>
        <w:pBdr>
          <w:bottom w:val="single" w:sz="24" w:space="6" w:color="52B69A"/>
        </w:pBdr>
      </w:pPr>
      <w:bookmarkStart w:id="6" w:name="_Toc242420536"/>
      <w:r>
        <w:lastRenderedPageBreak/>
        <w:t>Parameter Detail by Company</w:t>
      </w:r>
      <w:bookmarkEnd w:id="6"/>
    </w:p>
    <w:p w:rsidR="00C508BE" w:rsidRDefault="00122E45">
      <w:pPr>
        <w:spacing w:after="200"/>
      </w:pPr>
      <w:r>
        <w:rPr>
          <w:color w:val="64748B"/>
        </w:rPr>
        <w:t>(Technology Capability and Business Capability evidence for the 20 companies on the chart)</w:t>
      </w:r>
    </w:p>
    <w:p w:rsidR="00C508BE" w:rsidRDefault="00122E45">
      <w:pPr>
        <w:pStyle w:val="Heading2"/>
        <w:shd w:val="clear" w:color="auto" w:fill="002857"/>
        <w:spacing w:after="0"/>
      </w:pPr>
      <w:bookmarkStart w:id="7" w:name="_Toc242420537"/>
      <w:r>
        <w:t>Komgo SA</w:t>
      </w:r>
      <w:bookmarkEnd w:id="7"/>
    </w:p>
    <w:p w:rsidR="00C508BE" w:rsidRDefault="00122E45">
      <w:pPr>
        <w:shd w:val="clear" w:color="auto" w:fill="002857"/>
        <w:spacing w:after="200"/>
      </w:pPr>
      <w:r>
        <w:rPr>
          <w:color w:val="CBD5E1"/>
          <w:sz w:val="18"/>
        </w:rPr>
        <w:t xml:space="preserve">Komgo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98</w:t>
      </w:r>
      <w:r>
        <w:rPr>
          <w:color w:val="CBD5E1"/>
          <w:sz w:val="18"/>
        </w:rPr>
        <w:t xml:space="preserve">     Overall </w:t>
      </w:r>
      <w:r>
        <w:rPr>
          <w:b/>
          <w:color w:val="FFFFFF"/>
          <w:sz w:val="20"/>
        </w:rPr>
        <w:t>98</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96/100</w:t>
      </w:r>
    </w:p>
    <w:p w:rsidR="00C508BE" w:rsidRDefault="00122E45">
      <w:pPr>
        <w:keepNext/>
        <w:pBdr>
          <w:left w:val="single" w:sz="24" w:space="6" w:color="52B69A"/>
        </w:pBdr>
        <w:ind w:left="170"/>
      </w:pPr>
      <w:r>
        <w:t xml:space="preserve">The assessment rests on Komgo's proven breadth across core trade finance tools like letters of credit, guarantees, and receivables financing, supported by external deployment </w:t>
      </w:r>
      <w:r>
        <w:t>verification from global banks. Based on primary research, the company's supported localized regulatory frameworks can be estimated as broad across international jurisdictions, based on its KYC-verified community of corporates and global bank shareholders.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that its Global Trade Konnect (GTK) SaaS platform support full lifecycle workflows for Letters of Credit, Standby Letters of Credit, Bank Guarantees, Corporate Guarantees, Surety Bonds, and supply chain / receivables </w:t>
      </w:r>
      <w:r>
        <w:t>finance.</w:t>
      </w:r>
    </w:p>
    <w:p w:rsidR="00C508BE" w:rsidRDefault="00122E45">
      <w:pPr>
        <w:pStyle w:val="ListBullet"/>
        <w:spacing w:after="60"/>
        <w:ind w:left="510"/>
      </w:pPr>
      <w:r>
        <w:t>Independent verification shows that Crédit Agricole CIB utilizes Komgo's multibank integration layer to route and execute structured digital workflows for documentary credits, standby letters of credit, bank guarantees, and collections.</w:t>
      </w:r>
    </w:p>
    <w:p w:rsidR="00C508BE" w:rsidRDefault="00122E45">
      <w:pPr>
        <w:keepNext/>
        <w:pBdr>
          <w:left w:val="single" w:sz="24" w:space="6" w:color="52B69A"/>
        </w:pBdr>
        <w:spacing w:before="120" w:after="60"/>
        <w:ind w:left="170"/>
      </w:pPr>
      <w:r>
        <w:rPr>
          <w:b/>
          <w:color w:val="0F172A"/>
          <w:sz w:val="20"/>
        </w:rPr>
        <w:t>Document C</w:t>
      </w:r>
      <w:r>
        <w:rPr>
          <w:b/>
          <w:color w:val="0F172A"/>
          <w:sz w:val="20"/>
        </w:rPr>
        <w:t>hecking &amp; Compliance Automation — scored 96/100</w:t>
      </w:r>
    </w:p>
    <w:p w:rsidR="00C508BE" w:rsidRDefault="00122E45">
      <w:pPr>
        <w:keepNext/>
        <w:pBdr>
          <w:left w:val="single" w:sz="24" w:space="6" w:color="52B69A"/>
        </w:pBdr>
        <w:ind w:left="170"/>
      </w:pPr>
      <w:r>
        <w:t xml:space="preserve">Our analysis rests on the company's verified capabilities in automated document comparison, text extraction, and digital authenticity tracking via its core platforms. Based on primary research, the company's </w:t>
      </w:r>
      <w:r>
        <w:t>automated trade compliance screening can be estimated as high, based on its automated rule checking powered by agentic artificial intelligence and embedded models.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Global Trade Konnect application, launched in</w:t>
      </w:r>
      <w:r>
        <w:t xml:space="preserve"> April 2025, utilizes integrated artificial intelligence to compare transaction data, extract info from draft invoices, and automate document checking.</w:t>
      </w:r>
    </w:p>
    <w:p w:rsidR="00C508BE" w:rsidRDefault="00122E45">
      <w:pPr>
        <w:pStyle w:val="ListBullet"/>
        <w:spacing w:after="60"/>
        <w:ind w:left="510"/>
      </w:pPr>
      <w:r>
        <w:t>A partnership established by the company with Complidata in 2025 adds AI-assisted document checking capa</w:t>
      </w:r>
      <w:r>
        <w:t>bilities focused directly on trade document accuracy.</w:t>
      </w:r>
    </w:p>
    <w:p w:rsidR="00C508BE" w:rsidRDefault="00122E45">
      <w:pPr>
        <w:keepNext/>
        <w:pBdr>
          <w:left w:val="single" w:sz="24" w:space="6" w:color="52B69A"/>
        </w:pBdr>
        <w:spacing w:before="120" w:after="60"/>
        <w:ind w:left="170"/>
      </w:pPr>
      <w:r>
        <w:rPr>
          <w:b/>
          <w:color w:val="0F172A"/>
          <w:sz w:val="20"/>
        </w:rPr>
        <w:t>Digital Trade Network &amp; Interoperability — scored 95/100</w:t>
      </w:r>
    </w:p>
    <w:p w:rsidR="00C508BE" w:rsidRDefault="00122E45">
      <w:pPr>
        <w:keepNext/>
        <w:pBdr>
          <w:left w:val="single" w:sz="24" w:space="6" w:color="52B69A"/>
        </w:pBdr>
        <w:ind w:left="170"/>
      </w:pPr>
      <w:r>
        <w:t xml:space="preserve">The assessment rests on verified integrations with the SWIFT network for standardized message automation and API connectivity alongside a direct </w:t>
      </w:r>
      <w:r>
        <w:t>partnership with FIATA for electronic bills of lading. Based on primary research, the company's cross-platform ebl interoperability can be estimated as expanding steadily through industry standards, based on its strategic milestones on the path to interope</w:t>
      </w:r>
      <w:r>
        <w:t>rability and aggregation of diverse data channels.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platform integrates directly with the SWIFT network using its proprietary Swift key via Swift's NOSU solution, and it supports the commercialized ICC-Swift AP</w:t>
      </w:r>
      <w:r>
        <w:t>I standards for bank guarantees.</w:t>
      </w:r>
    </w:p>
    <w:p w:rsidR="00C508BE" w:rsidRDefault="00122E45">
      <w:pPr>
        <w:pStyle w:val="ListBullet"/>
        <w:spacing w:after="60"/>
        <w:ind w:left="510"/>
      </w:pPr>
      <w:r>
        <w:t>Komgo collaborated with FIATA to implement the electronic forwarder's bill of lading (eFBL) data standard using its blockchain-based Trakk solution to allow the secure tracking and authentication of digital shipping documen</w:t>
      </w:r>
      <w:r>
        <w:t>ts.</w:t>
      </w:r>
    </w:p>
    <w:p w:rsidR="00C508BE" w:rsidRDefault="00122E45">
      <w:pPr>
        <w:keepNext/>
        <w:pBdr>
          <w:left w:val="single" w:sz="24" w:space="6" w:color="52B69A"/>
        </w:pBdr>
        <w:spacing w:before="120" w:after="60"/>
        <w:ind w:left="170"/>
      </w:pPr>
      <w:r>
        <w:rPr>
          <w:b/>
          <w:color w:val="0F172A"/>
          <w:sz w:val="20"/>
        </w:rPr>
        <w:t>Platform Architecture &amp; Scalability — scored 100/100</w:t>
      </w:r>
    </w:p>
    <w:p w:rsidR="00C508BE" w:rsidRDefault="00122E45">
      <w:pPr>
        <w:keepNext/>
        <w:pBdr>
          <w:left w:val="single" w:sz="24" w:space="6" w:color="52B69A"/>
        </w:pBdr>
        <w:ind w:left="170"/>
      </w:pPr>
      <w:r>
        <w:t>The rating rests on confirmed technical capabilities including robust API connectivity, a specialized enterprise blockchain (Quorum) framework for secure document routing, and a multi-bank SaaS struc</w:t>
      </w:r>
      <w:r>
        <w:t>ture managing high daily transaction value. Based on primary research, the company's technical platform architecture capabilities can be estimated as strong, in line with enterprise standards, based on its SOC 2 compliance, SWIFT standard alignment, and en</w:t>
      </w:r>
      <w:r>
        <w:t>terprise Ethereum Quorum foundation.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Komgo reports that its infrastructure utilizes a secure cloud-native SaaS deployment model delivering decentralized digital connectivity via the Konsole multi-bank network. The architecture is underpin</w:t>
      </w:r>
      <w:r>
        <w:t>ned by an enterprise Ethereum distributed ledger technology framework (built on Quorum) featuring a proprietary document transfer mechanism called Kite that supports secure peer-to-peer data validation and privacy by design.</w:t>
      </w:r>
    </w:p>
    <w:p w:rsidR="00C508BE" w:rsidRDefault="00122E45">
      <w:pPr>
        <w:pStyle w:val="ListBullet"/>
        <w:spacing w:after="60"/>
        <w:ind w:left="510"/>
      </w:pPr>
      <w:r>
        <w:lastRenderedPageBreak/>
        <w:t>The company reports offering ex</w:t>
      </w:r>
      <w:r>
        <w:t>tensive open API integration capability (including compliance with ICC-SWIFT API standards) to connect seamlessly with banks' back-office core systems, corporate ERP, and TMS solutions, processing nearly one billion dollars in financial transactions across</w:t>
      </w:r>
      <w:r>
        <w:t xml:space="preserve"> its network daily.</w:t>
      </w:r>
    </w:p>
    <w:p w:rsidR="00C508BE" w:rsidRDefault="00122E45">
      <w:pPr>
        <w:keepNext/>
        <w:pBdr>
          <w:left w:val="single" w:sz="24" w:space="6" w:color="52B69A"/>
        </w:pBdr>
        <w:spacing w:before="120" w:after="60"/>
        <w:ind w:left="170"/>
      </w:pPr>
      <w:r>
        <w:rPr>
          <w:b/>
          <w:color w:val="0F172A"/>
          <w:sz w:val="20"/>
        </w:rPr>
        <w:t>Innovation &amp; Roadmap — scored 100/100</w:t>
      </w:r>
    </w:p>
    <w:p w:rsidR="00C508BE" w:rsidRDefault="00122E45">
      <w:pPr>
        <w:keepNext/>
        <w:pBdr>
          <w:left w:val="single" w:sz="24" w:space="6" w:color="52B69A"/>
        </w:pBdr>
        <w:ind w:left="170"/>
      </w:pPr>
      <w:r>
        <w:t>The rating rests on the company's verified market-recognized deployment of purpose-built, embedded artificial intelligence and Quorum-based blockchain workflows across its multi-bank trade finance s</w:t>
      </w:r>
      <w:r>
        <w:t xml:space="preserve">uite, culminating in its 2025 flagship platform launch. Based on primary research, the company's future technology development roadmap can be estimated as growing steadily through strategic acquisitions, based on its acquisition of GlobalTrade Corporation </w:t>
      </w:r>
      <w:r>
        <w:t>and ongoing expansion into the Asia-Pacific region.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the rollout of Global Trade Konnect (GTK) in April 2025, which serves as its consolidated SaaS application merging multi-bank trade finance workflows with embedded ar</w:t>
      </w:r>
      <w:r>
        <w:t>tificial intelligence tools including an LC Creation Agent, Digital Reporting Assistant, and Smart Clause Checker.</w:t>
      </w:r>
    </w:p>
    <w:p w:rsidR="00C508BE" w:rsidRDefault="00122E45">
      <w:pPr>
        <w:pStyle w:val="ListBullet"/>
        <w:spacing w:after="60"/>
        <w:ind w:left="510"/>
      </w:pPr>
      <w:r>
        <w:t xml:space="preserve">In September 2026, the company announced a collaboration with Crédit Agricole CIB to integrate AI-powered capabilities into the bank's </w:t>
      </w:r>
      <w:r>
        <w:t>Optimtrade digital trade finance portal.</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100/100</w:t>
      </w:r>
    </w:p>
    <w:p w:rsidR="00C508BE" w:rsidRDefault="00122E45">
      <w:pPr>
        <w:keepNext/>
        <w:pBdr>
          <w:left w:val="single" w:sz="24" w:space="6" w:color="52B69A"/>
        </w:pBdr>
        <w:ind w:left="170"/>
      </w:pPr>
      <w:r>
        <w:t>The rating rests on extensive, high-prestige, and third-party verified client activity comprising elite global banking institutions and major</w:t>
      </w:r>
      <w:r>
        <w:t xml:space="preserve"> multinational corporate enterprises. Based on primary research, the company's unredacted registry of network participants can be estimated as globally diversified across premier financial hubs, based on its connection of over 300 corporates and financial </w:t>
      </w:r>
      <w:r>
        <w:t>institutions across 50 countries.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Komgo reports that its multibank trade finance platform connects more than 300 corporates and financial institutions across 50 countries, with specific shareholders and users including global entities </w:t>
      </w:r>
      <w:r>
        <w:t>such as BNP Paribas, Citibank, Mitsubishi UFJ Financial Group (MUFG), Crédit Agricole CIB, TotalEnergies, Shell, Gunvor, and Koch Supply &amp; Trading.</w:t>
      </w:r>
    </w:p>
    <w:p w:rsidR="00C508BE" w:rsidRDefault="00122E45">
      <w:pPr>
        <w:pStyle w:val="ListBullet"/>
        <w:spacing w:after="60"/>
        <w:ind w:left="510"/>
      </w:pPr>
      <w:r>
        <w:t>Publicly announced customer deployments include ANDRITZ deploying Komgo's Global Trade Konnect (GTK) solutio</w:t>
      </w:r>
      <w:r>
        <w:t>n across 40 countries to digitalize communications with 30+ financing partners, Standard Chartered executing its first ICC-SWIFT API standards bank guarantee transaction via Komgo, and case studies highlighting active utilization by Siemens Healthineers, B</w:t>
      </w:r>
      <w:r>
        <w:t>aker Hughes, Société Générale, and DBS Bank.</w:t>
      </w:r>
    </w:p>
    <w:p w:rsidR="00C508BE" w:rsidRDefault="00122E45">
      <w:pPr>
        <w:keepNext/>
        <w:pBdr>
          <w:left w:val="single" w:sz="24" w:space="6" w:color="52B69A"/>
        </w:pBdr>
        <w:spacing w:before="120" w:after="60"/>
        <w:ind w:left="170"/>
      </w:pPr>
      <w:r>
        <w:rPr>
          <w:b/>
          <w:color w:val="0F172A"/>
          <w:sz w:val="20"/>
        </w:rPr>
        <w:t>Revenue &amp; Growth — scored 100/100</w:t>
      </w:r>
    </w:p>
    <w:p w:rsidR="00C508BE" w:rsidRDefault="00122E45">
      <w:pPr>
        <w:keepNext/>
        <w:pBdr>
          <w:left w:val="single" w:sz="24" w:space="6" w:color="52B69A"/>
        </w:pBdr>
        <w:ind w:left="170"/>
      </w:pPr>
      <w:r>
        <w:t>The rating rests on confirmed transaction growth metrics, production client volume expansions, and inorganic scale milestones through the strategic acquisition of GlobalTrade Co</w:t>
      </w:r>
      <w:r>
        <w:t>rporation. Based on primary research, the company's annual recurring revenue or financial performance can be estimated as expanding steadily on rising enterprise software adoption, based on its deployment of solutions across more than 120 multinational cli</w:t>
      </w:r>
      <w:r>
        <w:t>ents and 11,000 subsidiaries.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reported a 50 percent increase in trade finance transactions flowing through its platform alongside a 65 percent increase in clients in the past year.</w:t>
      </w:r>
    </w:p>
    <w:p w:rsidR="00C508BE" w:rsidRDefault="00122E45">
      <w:pPr>
        <w:pStyle w:val="ListBullet"/>
        <w:spacing w:after="60"/>
        <w:ind w:left="510"/>
      </w:pPr>
      <w:r>
        <w:t>Komgo SA expanded its corporate reach and ope</w:t>
      </w:r>
      <w:r>
        <w:t>rational volumes by acquiring GlobalTrade Corporation (GTC), which allowed the combined entity to service over 120 multinational clients and 11,000 subsidiaries.</w:t>
      </w:r>
    </w:p>
    <w:p w:rsidR="00C508BE" w:rsidRDefault="00122E45">
      <w:pPr>
        <w:keepNext/>
        <w:pBdr>
          <w:left w:val="single" w:sz="24" w:space="6" w:color="52B69A"/>
        </w:pBdr>
        <w:spacing w:before="120" w:after="60"/>
        <w:ind w:left="170"/>
      </w:pPr>
      <w:r>
        <w:rPr>
          <w:b/>
          <w:color w:val="0F172A"/>
          <w:sz w:val="20"/>
        </w:rPr>
        <w:t>Global Footprint &amp; Local Support — scored 98/100</w:t>
      </w:r>
    </w:p>
    <w:p w:rsidR="00C508BE" w:rsidRDefault="00122E45">
      <w:pPr>
        <w:keepNext/>
        <w:pBdr>
          <w:left w:val="single" w:sz="24" w:space="6" w:color="52B69A"/>
        </w:pBdr>
        <w:ind w:left="170"/>
      </w:pPr>
      <w:r>
        <w:t>The evaluation rests on the company's confirm</w:t>
      </w:r>
      <w:r>
        <w:t>ed physical presence and dedicated leadership teams in key global financial centers across Europe, North America, and Asia-Pacific. Based on primary research, the company's language options and regional deployment resources can be estimated as strong in li</w:t>
      </w:r>
      <w:r>
        <w:t>ne with leading international software vendors, based on its operations spanning physical offices in Seoul, Singapore, Geneva, London, New York, and Houston.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maintaining a physical network of international offices acro</w:t>
      </w:r>
      <w:r>
        <w:t>ss key global trade hubs including Geneva (Headquarters), London, Singapore, Paris, Toronto, and Houston.</w:t>
      </w:r>
    </w:p>
    <w:p w:rsidR="00C508BE" w:rsidRDefault="00122E45">
      <w:pPr>
        <w:pStyle w:val="ListBullet"/>
        <w:spacing w:after="60"/>
        <w:ind w:left="510"/>
      </w:pPr>
      <w:r>
        <w:t>The company reports strengthening its physical footprint in the Americas by opening a hub office in Miami in June 2024, staffed with a regional Managi</w:t>
      </w:r>
      <w:r>
        <w:t>ng Director, sales executives, and account executives.</w:t>
      </w:r>
    </w:p>
    <w:p w:rsidR="00C508BE" w:rsidRDefault="00122E45">
      <w:pPr>
        <w:keepNext/>
        <w:pBdr>
          <w:left w:val="single" w:sz="24" w:space="6" w:color="52B69A"/>
        </w:pBdr>
        <w:spacing w:before="120" w:after="60"/>
        <w:ind w:left="170"/>
      </w:pPr>
      <w:r>
        <w:rPr>
          <w:b/>
          <w:color w:val="0F172A"/>
          <w:sz w:val="20"/>
        </w:rPr>
        <w:lastRenderedPageBreak/>
        <w:t>Funding &amp; Ownership — scored 100/100</w:t>
      </w:r>
    </w:p>
    <w:p w:rsidR="00C508BE" w:rsidRDefault="00122E45">
      <w:pPr>
        <w:keepNext/>
        <w:pBdr>
          <w:left w:val="single" w:sz="24" w:space="6" w:color="52B69A"/>
        </w:pBdr>
        <w:ind w:left="170"/>
      </w:pPr>
      <w:r>
        <w:t>The company's rating is anchored by its exceptionally stable corporate and financial backing, drawing equity investment and strategic ownership from a wide consorti</w:t>
      </w:r>
      <w:r>
        <w:t xml:space="preserve">um of over twenty major international banks and global commodity trade entities. Based on primary research, the company's post-2021 financial valuation can be estimated as substantial based on institutional backing from tier-one global banks, based on its </w:t>
      </w:r>
      <w:r>
        <w:t>series C equity investments secured from major financial institutions such as Emirates NBD and Santander.</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Komgo SA was launched in 2018 as an independent venture backed by a consortium of 15 founding corporate and banking shareholders, in</w:t>
      </w:r>
      <w:r>
        <w:t>cluding ABN Amro, BNP Paribas, Citi, Crédit Agricole, Gunvor, ING, Koch Supply &amp; Trading, Macquarie, Mercuria, MUFG Bank, Natixis, Rabobank, Shell, SGS, and Société Générale.</w:t>
      </w:r>
    </w:p>
    <w:p w:rsidR="00C508BE" w:rsidRDefault="00122E45">
      <w:pPr>
        <w:pStyle w:val="ListBullet"/>
        <w:spacing w:after="60"/>
        <w:ind w:left="510"/>
      </w:pPr>
      <w:r>
        <w:t>The company successfully closed a third equity funding round in May 2021, raising</w:t>
      </w:r>
      <w:r>
        <w:t xml:space="preserve"> CHF 26 million (approximately $28.9 million) from returning shareholders alongside new investor Sumitomo Mitsui Banking Corporation (SMBC) and an additional unnamed financial institution. Subsequent strategic equity investments were executed by Santander </w:t>
      </w:r>
      <w:r>
        <w:t>Corporate &amp; Investment Banking and Emirates NBD's Innovation Fund in June 2023 and September 2023 respectively, expanding the ownership base to 24 institutional backers.</w:t>
      </w:r>
    </w:p>
    <w:p w:rsidR="00C508BE" w:rsidRDefault="00122E45">
      <w:pPr>
        <w:keepNext/>
        <w:pBdr>
          <w:left w:val="single" w:sz="24" w:space="6" w:color="52B69A"/>
        </w:pBdr>
        <w:spacing w:before="120" w:after="60"/>
        <w:ind w:left="170"/>
      </w:pPr>
      <w:r>
        <w:rPr>
          <w:b/>
          <w:color w:val="0F172A"/>
          <w:sz w:val="20"/>
        </w:rPr>
        <w:t>Market Share &amp; Installed Base — scored 92/100</w:t>
      </w:r>
    </w:p>
    <w:p w:rsidR="00C508BE" w:rsidRDefault="00122E45">
      <w:pPr>
        <w:keepNext/>
        <w:pBdr>
          <w:left w:val="single" w:sz="24" w:space="6" w:color="52B69A"/>
        </w:pBdr>
        <w:ind w:left="170"/>
      </w:pPr>
      <w:r>
        <w:t>The assessment rests on the company's co</w:t>
      </w:r>
      <w:r>
        <w:t>nfirmed network reach of over 60 banks and 10,000 corporate users, as well as its self-reported daily transaction volume of approximately one billion dollars. Based on primary research, the company's digital platform market share can be estimated as leadin</w:t>
      </w:r>
      <w:r>
        <w:t>g within the specialized multi-bank trade digitalization ecosystem, based on its consolidation of commodity expertise through the acquisition of GlobalTrade Corporation to form a digital trade services market leader.</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c</w:t>
      </w:r>
      <w:r>
        <w:t>onnecting more than 60 banks and over 10,000 corporate users across 50 countries on its multi-bank trade finance digital network.</w:t>
      </w:r>
    </w:p>
    <w:p w:rsidR="00C508BE" w:rsidRDefault="00122E45">
      <w:pPr>
        <w:pStyle w:val="ListBullet"/>
        <w:spacing w:after="60"/>
        <w:ind w:left="510"/>
      </w:pPr>
      <w:r>
        <w:t>The company reports that its network processes nearly one billion dollars in financial transactions every day.</w:t>
      </w:r>
    </w:p>
    <w:p w:rsidR="00C508BE" w:rsidRDefault="00122E45">
      <w:pPr>
        <w:pStyle w:val="Heading2"/>
        <w:pageBreakBefore/>
        <w:shd w:val="clear" w:color="auto" w:fill="002857"/>
        <w:spacing w:after="0"/>
      </w:pPr>
      <w:bookmarkStart w:id="8" w:name="_Toc242420538"/>
      <w:r>
        <w:lastRenderedPageBreak/>
        <w:t>Surecomp</w:t>
      </w:r>
      <w:bookmarkEnd w:id="8"/>
    </w:p>
    <w:p w:rsidR="00C508BE" w:rsidRDefault="00122E45">
      <w:pPr>
        <w:shd w:val="clear" w:color="auto" w:fill="002857"/>
        <w:spacing w:after="200"/>
      </w:pPr>
      <w:r>
        <w:rPr>
          <w:color w:val="7CFC00"/>
          <w:sz w:val="18"/>
        </w:rPr>
        <w:t xml:space="preserve">● </w:t>
      </w:r>
      <w:r>
        <w:rPr>
          <w:b/>
          <w:color w:val="FFFFFF"/>
          <w:sz w:val="18"/>
        </w:rPr>
        <w:t>Lead</w:t>
      </w:r>
      <w:r>
        <w:rPr>
          <w:b/>
          <w:color w:val="FFFFFF"/>
          <w:sz w:val="18"/>
        </w:rPr>
        <w:t>ers</w:t>
      </w:r>
      <w:r>
        <w:rPr>
          <w:color w:val="CBD5E1"/>
          <w:sz w:val="18"/>
        </w:rPr>
        <w:t xml:space="preserve">     X </w:t>
      </w:r>
      <w:r>
        <w:rPr>
          <w:b/>
          <w:color w:val="FFFFFF"/>
          <w:sz w:val="20"/>
        </w:rPr>
        <w:t>97</w:t>
      </w:r>
      <w:r>
        <w:rPr>
          <w:color w:val="CBD5E1"/>
          <w:sz w:val="18"/>
        </w:rPr>
        <w:t xml:space="preserve">     Y </w:t>
      </w:r>
      <w:r>
        <w:rPr>
          <w:b/>
          <w:color w:val="FFFFFF"/>
          <w:sz w:val="20"/>
        </w:rPr>
        <w:t>93</w:t>
      </w:r>
      <w:r>
        <w:rPr>
          <w:color w:val="CBD5E1"/>
          <w:sz w:val="18"/>
        </w:rPr>
        <w:t xml:space="preserve">     Overall </w:t>
      </w:r>
      <w:r>
        <w:rPr>
          <w:b/>
          <w:color w:val="FFFFFF"/>
          <w:sz w:val="20"/>
        </w:rPr>
        <w:t>95</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96/100</w:t>
      </w:r>
    </w:p>
    <w:p w:rsidR="00C508BE" w:rsidRDefault="00122E45">
      <w:pPr>
        <w:keepNext/>
        <w:pBdr>
          <w:left w:val="single" w:sz="24" w:space="6" w:color="52B69A"/>
        </w:pBdr>
        <w:ind w:left="170"/>
      </w:pPr>
      <w:r>
        <w:t>We verified that the company covers the full spectrum of traditional documentary trade instruments and incorporates multi-currency and multi-langua</w:t>
      </w:r>
      <w:r>
        <w:t>ge support across its flagship cloud-native and SaaS suites. Based on primary research, the company's native localization and regulatory coverage can be estimated as extensive globally, based on its 25 languages spoken internally and deployment across majo</w:t>
      </w:r>
      <w:r>
        <w:t>r global banking markets.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that its core platforms, including DOKA-NG and RIVO, comprehensively automate traditional trade instruments such as letters of credit, standby letters of credit, bank guarantees, and </w:t>
      </w:r>
      <w:r>
        <w:t>documentary collections, alongside trade loans and export finance.</w:t>
      </w:r>
    </w:p>
    <w:p w:rsidR="00C508BE" w:rsidRDefault="00122E45">
      <w:pPr>
        <w:pStyle w:val="ListBullet"/>
        <w:spacing w:after="60"/>
        <w:ind w:left="510"/>
      </w:pPr>
      <w:r>
        <w:t>The company reports that its systems feature multi-currency and multi-language capabilities, and it expanded its open-account capabilities through a 2025 strategic partnership with Finverit</w:t>
      </w:r>
      <w:r>
        <w:t>y to deliver integrated payables finance, receivables discounting, and distributor finance.</w:t>
      </w:r>
    </w:p>
    <w:p w:rsidR="00C508BE" w:rsidRDefault="00122E45">
      <w:pPr>
        <w:keepNext/>
        <w:pBdr>
          <w:left w:val="single" w:sz="24" w:space="6" w:color="52B69A"/>
        </w:pBdr>
        <w:spacing w:before="120" w:after="60"/>
        <w:ind w:left="170"/>
      </w:pPr>
      <w:r>
        <w:rPr>
          <w:b/>
          <w:color w:val="0F172A"/>
          <w:sz w:val="20"/>
        </w:rPr>
        <w:t>Document Checking &amp; Compliance Automation — scored 96/100</w:t>
      </w:r>
    </w:p>
    <w:p w:rsidR="00C508BE" w:rsidRDefault="00122E45">
      <w:pPr>
        <w:keepNext/>
        <w:pBdr>
          <w:left w:val="single" w:sz="24" w:space="6" w:color="52B69A"/>
        </w:pBdr>
        <w:ind w:left="170"/>
      </w:pPr>
      <w:r>
        <w:t>We verified that the provider offers document automated checking and trade compliance capabilities primari</w:t>
      </w:r>
      <w:r>
        <w:t>ly by embedding specialized partner technologies within its ecosystem solutions. Based on primary research, the company's system accuracy rates can be estimated as strong, in line with leading vendors, based on its swift compatible application label and in</w:t>
      </w:r>
      <w:r>
        <w:t>tegration with traydstream compliance checks.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a partnership agreement with Traydstream in January 2023 to integrate AI-powered document checking, sanction screening, and AML detection into its RIVO collaborative trade </w:t>
      </w:r>
      <w:r>
        <w:t>finance platform, allowing users to process data from over 150 global trade document types across more than 400,000 trade rule permutations.</w:t>
      </w:r>
    </w:p>
    <w:p w:rsidR="00C508BE" w:rsidRDefault="00122E45">
      <w:pPr>
        <w:pStyle w:val="ListBullet"/>
        <w:spacing w:after="60"/>
        <w:ind w:left="510"/>
      </w:pPr>
      <w:r>
        <w:t>The company reports a partnership with Complidata in March 2023 to integrate TradeSpeed NLP into its RIVO platform,</w:t>
      </w:r>
      <w:r>
        <w:t xml:space="preserve"> leveraging OCR technology to extract data for automated UCP 600 and ISBP compliance checks.</w:t>
      </w:r>
    </w:p>
    <w:p w:rsidR="00C508BE" w:rsidRDefault="00122E45">
      <w:pPr>
        <w:keepNext/>
        <w:pBdr>
          <w:left w:val="single" w:sz="24" w:space="6" w:color="52B69A"/>
        </w:pBdr>
        <w:spacing w:before="120" w:after="60"/>
        <w:ind w:left="170"/>
      </w:pPr>
      <w:r>
        <w:rPr>
          <w:b/>
          <w:color w:val="0F172A"/>
          <w:sz w:val="20"/>
        </w:rPr>
        <w:t>Digital Trade Network &amp; Interoperability — scored 97/100</w:t>
      </w:r>
    </w:p>
    <w:p w:rsidR="00C508BE" w:rsidRDefault="00122E45">
      <w:pPr>
        <w:keepNext/>
        <w:pBdr>
          <w:left w:val="single" w:sz="24" w:space="6" w:color="52B69A"/>
        </w:pBdr>
        <w:ind w:left="170"/>
      </w:pPr>
      <w:r>
        <w:t>The assessment rests on the company's extensive multi-partner integration framework via its RIVO platform,</w:t>
      </w:r>
      <w:r>
        <w:t xml:space="preserve"> which connects users to multiple major global eBL networks, digital documentation providers, and current SWIFT API standards. Based on primary research, the company's cumulative transaction volumes can be estimated as massive, growing steadily, based on i</w:t>
      </w:r>
      <w:r>
        <w:t>ts 30 billion dollar increase in trade transactions over rivo in a single year.</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active partnerships and technical integration for its RIVO platform with key electronic bill of lading (eBL) providers and networks, inclu</w:t>
      </w:r>
      <w:r>
        <w:t>ding WAVE BL (announced January 2023), ICE Digital Trade (announced July 2023), CargoX, GSBN, and Enigio for trace:original digital trade documentation (announced February 2022).</w:t>
      </w:r>
    </w:p>
    <w:p w:rsidR="00C508BE" w:rsidRDefault="00122E45">
      <w:pPr>
        <w:pStyle w:val="ListBullet"/>
        <w:spacing w:after="60"/>
        <w:ind w:left="510"/>
      </w:pPr>
      <w:r>
        <w:t>The company announced an initiative in April 2024 to support the new SWIFT ap</w:t>
      </w:r>
      <w:r>
        <w:t>plication programming interface (API) standards developed with the International Chamber of Commerce (ICC) for bank guarantees and standby letters of credit processing.</w:t>
      </w:r>
    </w:p>
    <w:p w:rsidR="00C508BE" w:rsidRDefault="00122E45">
      <w:pPr>
        <w:keepNext/>
        <w:pBdr>
          <w:left w:val="single" w:sz="24" w:space="6" w:color="52B69A"/>
        </w:pBdr>
        <w:spacing w:before="120" w:after="60"/>
        <w:ind w:left="170"/>
      </w:pPr>
      <w:r>
        <w:rPr>
          <w:b/>
          <w:color w:val="0F172A"/>
          <w:sz w:val="20"/>
        </w:rPr>
        <w:t>Platform Architecture &amp; Scalability — scored 97/100</w:t>
      </w:r>
    </w:p>
    <w:p w:rsidR="00C508BE" w:rsidRDefault="00122E45">
      <w:pPr>
        <w:keepNext/>
        <w:pBdr>
          <w:left w:val="single" w:sz="24" w:space="6" w:color="52B69A"/>
        </w:pBdr>
        <w:ind w:left="170"/>
      </w:pPr>
      <w:r>
        <w:t>The rating rests on the company's c</w:t>
      </w:r>
      <w:r>
        <w:t>onfirmed cloud deployment options and API connectivity across its core trade finance platforms, as demonstrated by client rollouts on AWS infrastructure. Based on primary research, the company's transaction throughput capacities and uptime can be estimated</w:t>
      </w:r>
      <w:r>
        <w:t xml:space="preserve"> as reliable for enterprise scaling, based on its rapid electronic bills of lading processing completed within one hour over rivo.</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collaborative trade finance platform, RIVO, is an API-based hub natively built</w:t>
      </w:r>
      <w:r>
        <w:t xml:space="preserve"> and 100% hosted on Amazon Web Services (AWS) with support for multi-tenant cloud, hybrid, and on-premises deployment configurations.</w:t>
      </w:r>
    </w:p>
    <w:p w:rsidR="00C508BE" w:rsidRDefault="00122E45">
      <w:pPr>
        <w:pStyle w:val="ListBullet"/>
        <w:spacing w:after="60"/>
        <w:ind w:left="510"/>
      </w:pPr>
      <w:r>
        <w:t xml:space="preserve">The company reports that its back-office solution, DOKA-NG, is available via a cloud-based SaaS deployment model designed </w:t>
      </w:r>
      <w:r>
        <w:t>for rapid implementation within 10 weeks.</w:t>
      </w:r>
    </w:p>
    <w:p w:rsidR="00C508BE" w:rsidRDefault="00122E45">
      <w:pPr>
        <w:keepNext/>
        <w:pBdr>
          <w:left w:val="single" w:sz="24" w:space="6" w:color="52B69A"/>
        </w:pBdr>
        <w:spacing w:before="120" w:after="60"/>
        <w:ind w:left="170"/>
      </w:pPr>
      <w:r>
        <w:rPr>
          <w:b/>
          <w:color w:val="0F172A"/>
          <w:sz w:val="20"/>
        </w:rPr>
        <w:lastRenderedPageBreak/>
        <w:t>Innovation &amp; Roadmap — scored 100/100</w:t>
      </w:r>
    </w:p>
    <w:p w:rsidR="00C508BE" w:rsidRDefault="00122E45">
      <w:pPr>
        <w:keepNext/>
        <w:pBdr>
          <w:left w:val="single" w:sz="24" w:space="6" w:color="52B69A"/>
        </w:pBdr>
        <w:ind w:left="170"/>
      </w:pPr>
      <w:r>
        <w:t>The rating rests on the company's verified deployment of advanced generative AI and automated email-to-text capabilities within its cloud-native platform, alongside established</w:t>
      </w:r>
      <w:r>
        <w:t xml:space="preserve"> partner integrations for automated document review. Based on primary research, the company's public roadmap and technology releases can be estimated as continuous and structured, based on its quarterly development roadmap commitments established alongside</w:t>
      </w:r>
      <w:r>
        <w:t xml:space="preserve"> its design partner groups.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 committed to reducing bank guarantee processing times by 30 percent through the integration of AI-powered trade finance processing technology into its collaborative trade finance platform</w:t>
      </w:r>
      <w:r>
        <w:t>, RIVO.</w:t>
      </w:r>
    </w:p>
    <w:p w:rsidR="00C508BE" w:rsidRDefault="00122E45">
      <w:pPr>
        <w:pStyle w:val="ListBullet"/>
        <w:spacing w:after="60"/>
        <w:ind w:left="510"/>
      </w:pPr>
      <w:r>
        <w:t>The company reports it finalized a partnership agreement with Traydstream to integrate automated, AI-powered document checking, AML detection, and compliance screening natively into the RIVO platform.</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 xml:space="preserve">Named Bank &amp; Corporate </w:t>
      </w:r>
      <w:r>
        <w:rPr>
          <w:b/>
          <w:color w:val="0F172A"/>
          <w:sz w:val="20"/>
        </w:rPr>
        <w:t>Customers — scored 98/100</w:t>
      </w:r>
    </w:p>
    <w:p w:rsidR="00C508BE" w:rsidRDefault="00122E45">
      <w:pPr>
        <w:keepNext/>
        <w:pBdr>
          <w:left w:val="single" w:sz="24" w:space="6" w:color="52B69A"/>
        </w:pBdr>
        <w:ind w:left="170"/>
      </w:pPr>
      <w:r>
        <w:t>The assessment rests on verified deployments by major Tier 1 and Tier 2 global trade finance institutions, including Commerzbank AG, BBVA, Rabobank, and Mizuho, which utilize Surecomp's DOKA-NG back-office and RIVO collaborative p</w:t>
      </w:r>
      <w:r>
        <w:t>latforms. Based on primary research, the company's corporate transaction throughput can be estimated as substantial and growing rapidly, based on its 30,000 corporate users and 30 billion dollar trade transaction increase on RIVO in 2025.</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Commerzbank AG announced in February 2024 that it selected Surecomp's DOKA-NG solution to future-proof its back-office trade finance processing across multiple entities.</w:t>
      </w:r>
    </w:p>
    <w:p w:rsidR="00C508BE" w:rsidRDefault="00122E45">
      <w:pPr>
        <w:pStyle w:val="ListBullet"/>
        <w:spacing w:after="60"/>
        <w:ind w:left="510"/>
      </w:pPr>
      <w:r>
        <w:t xml:space="preserve">BBVA integrated Surecomp's multi-bank platform, RIVO, into its digital offering to </w:t>
      </w:r>
      <w:r>
        <w:t>streamline trade finance transaction processing for corporate clients, as publicized in its digital transformation communications.</w:t>
      </w:r>
    </w:p>
    <w:p w:rsidR="00C508BE" w:rsidRDefault="00122E45">
      <w:pPr>
        <w:keepNext/>
        <w:pBdr>
          <w:left w:val="single" w:sz="24" w:space="6" w:color="52B69A"/>
        </w:pBdr>
        <w:spacing w:before="120" w:after="60"/>
        <w:ind w:left="170"/>
      </w:pPr>
      <w:r>
        <w:rPr>
          <w:b/>
          <w:color w:val="0F172A"/>
          <w:sz w:val="20"/>
        </w:rPr>
        <w:t>Revenue &amp; Growth — scored 95/100</w:t>
      </w:r>
    </w:p>
    <w:p w:rsidR="00C508BE" w:rsidRDefault="00122E45">
      <w:pPr>
        <w:keepNext/>
        <w:pBdr>
          <w:left w:val="single" w:sz="24" w:space="6" w:color="52B69A"/>
        </w:pBdr>
        <w:ind w:left="170"/>
      </w:pPr>
      <w:r>
        <w:t>We verified that independent trade publication records confirm substantial transaction volum</w:t>
      </w:r>
      <w:r>
        <w:t>e and corporate customer growth for the company during 2025. Based on primary research, the company's trade finance revenue growth rate can be estimated as expanding steadily with strong cloud adoption, based on its hundreds of customers across over 80 cou</w:t>
      </w:r>
      <w:r>
        <w:t>ntries and pan-African digitization rollout across 10 countries.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Global Trade Review reports that transaction volumes processed through Surecomp grew by approximately 10% during 2025, while corporate adoption of its trade finance manageme</w:t>
      </w:r>
      <w:r>
        <w:t>nt solutions grew by 100%.</w:t>
      </w:r>
    </w:p>
    <w:p w:rsidR="00C508BE" w:rsidRDefault="00122E45">
      <w:pPr>
        <w:pStyle w:val="ListBullet"/>
        <w:spacing w:after="60"/>
        <w:ind w:left="510"/>
      </w:pPr>
      <w:r>
        <w:t>The company's Rivo platform surpassed US$3 billion in handled transaction value following its acquisition and integration of ELCY Ltd.</w:t>
      </w:r>
    </w:p>
    <w:p w:rsidR="00C508BE" w:rsidRDefault="00122E45">
      <w:pPr>
        <w:keepNext/>
        <w:pBdr>
          <w:left w:val="single" w:sz="24" w:space="6" w:color="52B69A"/>
        </w:pBdr>
        <w:spacing w:before="120" w:after="60"/>
        <w:ind w:left="170"/>
      </w:pPr>
      <w:r>
        <w:rPr>
          <w:b/>
          <w:color w:val="0F172A"/>
          <w:sz w:val="20"/>
        </w:rPr>
        <w:t>Global Footprint &amp; Local Support — scored 98/100</w:t>
      </w:r>
    </w:p>
    <w:p w:rsidR="00C508BE" w:rsidRDefault="00122E45">
      <w:pPr>
        <w:keepNext/>
        <w:pBdr>
          <w:left w:val="single" w:sz="24" w:space="6" w:color="52B69A"/>
        </w:pBdr>
        <w:ind w:left="170"/>
      </w:pPr>
      <w:r>
        <w:t>The evaluation rests on the company's establi</w:t>
      </w:r>
      <w:r>
        <w:t>shed presence and localized infrastructure across key global trade centers, including dedicated hubs in Singapore, London, and the New York area. Based on primary research, the company's geographical breakdown of field support staff can be estimated as dis</w:t>
      </w:r>
      <w:r>
        <w:t>tributed regionally across major international financial hubs, based on its over 300 employees across 7 global flagship offices including Toronto, New York, London, Hamburg, and Singapore.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maintaining a footprint of ei</w:t>
      </w:r>
      <w:r>
        <w:t>ght permanent global offices located in critical trade and financial hubs, specifically Toronto (HQ), New York, Santiago, Buenos Aires, London, Hamburg, Tel Aviv, and Singapore.</w:t>
      </w:r>
    </w:p>
    <w:p w:rsidR="00C508BE" w:rsidRDefault="00122E45">
      <w:pPr>
        <w:pStyle w:val="ListBullet"/>
        <w:spacing w:after="60"/>
        <w:ind w:left="510"/>
      </w:pPr>
      <w:r>
        <w:t>The company reports that its global team composed of more than 300 employees s</w:t>
      </w:r>
      <w:r>
        <w:t>upports 25 different languages to serve corporate and financial clients across every continent.</w:t>
      </w:r>
    </w:p>
    <w:p w:rsidR="00C508BE" w:rsidRDefault="00122E45">
      <w:pPr>
        <w:keepNext/>
        <w:pBdr>
          <w:left w:val="single" w:sz="24" w:space="6" w:color="52B69A"/>
        </w:pBdr>
        <w:spacing w:before="120" w:after="60"/>
        <w:ind w:left="170"/>
      </w:pPr>
      <w:r>
        <w:rPr>
          <w:b/>
          <w:color w:val="0F172A"/>
          <w:sz w:val="20"/>
        </w:rPr>
        <w:t>Funding &amp; Ownership — scored 86/100</w:t>
      </w:r>
    </w:p>
    <w:p w:rsidR="00C508BE" w:rsidRDefault="00122E45">
      <w:pPr>
        <w:keepNext/>
        <w:pBdr>
          <w:left w:val="single" w:sz="24" w:space="6" w:color="52B69A"/>
        </w:pBdr>
        <w:ind w:left="170"/>
      </w:pPr>
      <w:r>
        <w:t xml:space="preserve">We verified that the company has a long operational history and actively deploys its own capital to acquire industry rivals </w:t>
      </w:r>
      <w:r>
        <w:t>like ELCY Ltd. Based on primary research, the company's total private capital raised can be estimated as closely held and privately funded by long-term stakeholders, based on its executive leadership under chairman Joel Koschitzky and continuous independen</w:t>
      </w:r>
      <w:r>
        <w:t>t market operations for nearly 40 years.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a forty-year heritage and is led by Chairman Joel Koschitzky.</w:t>
      </w:r>
    </w:p>
    <w:p w:rsidR="00C508BE" w:rsidRDefault="00122E45">
      <w:pPr>
        <w:pStyle w:val="ListBullet"/>
        <w:spacing w:after="60"/>
        <w:ind w:left="510"/>
      </w:pPr>
      <w:r>
        <w:t>Surecomp executed a strategic expansion by acquiring UK-based digital trade finance provider ELCY Ltd on February 1</w:t>
      </w:r>
      <w:r>
        <w:t>7, 2025, for an undisclosed sum.</w:t>
      </w:r>
    </w:p>
    <w:p w:rsidR="00C508BE" w:rsidRDefault="00122E45">
      <w:pPr>
        <w:keepNext/>
        <w:pBdr>
          <w:left w:val="single" w:sz="24" w:space="6" w:color="52B69A"/>
        </w:pBdr>
        <w:spacing w:before="120" w:after="60"/>
        <w:ind w:left="170"/>
      </w:pPr>
      <w:r>
        <w:rPr>
          <w:b/>
          <w:color w:val="0F172A"/>
          <w:sz w:val="20"/>
        </w:rPr>
        <w:lastRenderedPageBreak/>
        <w:t>Market Share &amp; Installed Base — scored 89/100</w:t>
      </w:r>
    </w:p>
    <w:p w:rsidR="00C508BE" w:rsidRDefault="00122E45">
      <w:pPr>
        <w:keepNext/>
        <w:pBdr>
          <w:left w:val="single" w:sz="24" w:space="6" w:color="52B69A"/>
        </w:pBdr>
        <w:ind w:left="170"/>
      </w:pPr>
      <w:r>
        <w:t>The evaluation rests on the company's self-reported regional market share milestones and individual platform user metrics. We verified these footprint indicators, but a gap rema</w:t>
      </w:r>
      <w:r>
        <w:t>ins because, based on primary research, the company has not disclosed its comprehensive global market share percentage or total transaction volume across all solution lines.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RIVO platform has been adopted by m</w:t>
      </w:r>
      <w:r>
        <w:t>ore than 60 financial institutions and 50 corporates, enabling a USD 30 billion increase in trade transactions in 2025.</w:t>
      </w:r>
    </w:p>
    <w:p w:rsidR="00C508BE" w:rsidRDefault="00122E45">
      <w:pPr>
        <w:pStyle w:val="ListBullet"/>
        <w:spacing w:after="60"/>
        <w:ind w:left="510"/>
      </w:pPr>
      <w:r>
        <w:t>The company reports high regional market penetration that includes supporting approximately 70% of the trade finance market in the Phili</w:t>
      </w:r>
      <w:r>
        <w:t>ppines, over 50% in South Africa, and 40% in Kenya as of July 2026.</w:t>
      </w:r>
    </w:p>
    <w:p w:rsidR="00C508BE" w:rsidRDefault="00122E45">
      <w:pPr>
        <w:pStyle w:val="Heading2"/>
        <w:pageBreakBefore/>
        <w:shd w:val="clear" w:color="auto" w:fill="002857"/>
        <w:spacing w:after="0"/>
      </w:pPr>
      <w:bookmarkStart w:id="9" w:name="_Toc242420539"/>
      <w:r>
        <w:lastRenderedPageBreak/>
        <w:t>TRAYDSTREAM LIMITED</w:t>
      </w:r>
      <w:bookmarkEnd w:id="9"/>
    </w:p>
    <w:p w:rsidR="00C508BE" w:rsidRDefault="00122E45">
      <w:pPr>
        <w:shd w:val="clear" w:color="auto" w:fill="002857"/>
        <w:spacing w:after="200"/>
      </w:pPr>
      <w:r>
        <w:rPr>
          <w:color w:val="CBD5E1"/>
          <w:sz w:val="18"/>
        </w:rPr>
        <w:t xml:space="preserve">Traydstream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92</w:t>
      </w:r>
      <w:r>
        <w:rPr>
          <w:color w:val="CBD5E1"/>
          <w:sz w:val="18"/>
        </w:rPr>
        <w:t xml:space="preserve">     Overall </w:t>
      </w:r>
      <w:r>
        <w:rPr>
          <w:b/>
          <w:color w:val="FFFFFF"/>
          <w:sz w:val="20"/>
        </w:rPr>
        <w:t>94</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88/100</w:t>
      </w:r>
    </w:p>
    <w:p w:rsidR="00C508BE" w:rsidRDefault="00122E45">
      <w:pPr>
        <w:keepNext/>
        <w:pBdr>
          <w:left w:val="single" w:sz="24" w:space="6" w:color="52B69A"/>
        </w:pBdr>
        <w:ind w:left="170"/>
      </w:pPr>
      <w:r>
        <w:t xml:space="preserve">The assessment rests on the company's </w:t>
      </w:r>
      <w:r>
        <w:t>established, AI-powered feature depth for documentary letters of credit and collections processing, which are supported through integrations and specialized processing modules. Based on primary research, the company's technical scope of trade instruments c</w:t>
      </w:r>
      <w:r>
        <w:t>an be estimated as broad across traditional instruments, based on its automated rule checking for letters of credit conditions, bank guarantees, and standby letters of credit.</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its AI-powered platform automates and digi</w:t>
      </w:r>
      <w:r>
        <w:t>tizes trade document checking by validating structured and unstructured data against more than 250,000 global trade and compliance rules, specifically verifying transaction terms for letters of credit and collections.</w:t>
      </w:r>
    </w:p>
    <w:p w:rsidR="00C508BE" w:rsidRDefault="00122E45">
      <w:pPr>
        <w:pStyle w:val="ListBullet"/>
        <w:spacing w:after="60"/>
        <w:ind w:left="510"/>
      </w:pPr>
      <w:r>
        <w:t>The company reports its modular soluti</w:t>
      </w:r>
      <w:r>
        <w:t>ons include TraydCheck for automated document verification, TraydAccess for managing trade finance asset distribution, and TraydLC Review which targets specific innovations in export letter of credit workability, admin configuration, and mismatch detection</w:t>
      </w:r>
      <w:r>
        <w:t>.</w:t>
      </w:r>
    </w:p>
    <w:p w:rsidR="00C508BE" w:rsidRDefault="00122E45">
      <w:pPr>
        <w:keepNext/>
        <w:pBdr>
          <w:left w:val="single" w:sz="24" w:space="6" w:color="52B69A"/>
        </w:pBdr>
        <w:spacing w:before="120" w:after="60"/>
        <w:ind w:left="170"/>
      </w:pPr>
      <w:r>
        <w:rPr>
          <w:b/>
          <w:color w:val="0F172A"/>
          <w:sz w:val="20"/>
        </w:rPr>
        <w:t>Document Checking &amp; Compliance Automation — scored 98/100</w:t>
      </w:r>
    </w:p>
    <w:p w:rsidR="00C508BE" w:rsidRDefault="00122E45">
      <w:pPr>
        <w:keepNext/>
        <w:pBdr>
          <w:left w:val="single" w:sz="24" w:space="6" w:color="52B69A"/>
        </w:pBdr>
        <w:ind w:left="170"/>
      </w:pPr>
      <w:r>
        <w:t>The assessment rests on the company's verified deployment of automated trade document validation engines configured to track more than 400,000 regulatory permutations, alongside integrated sanctio</w:t>
      </w:r>
      <w:r>
        <w:t>ns, AML, and dual-use goods screening modules. Based on primary research, the company's accuracy rates can be estimated as strong, in line with leading vendors, based on its 99.8% discrepancy accuracy and 90% AI accuracy.</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w:t>
      </w:r>
      <w:r>
        <w:t>rts that its AI-powered platform, TraydCheck, automatically validates trade documents against ICC UCP 600 and ISBP rules using a proprietary rules engine with over 400,000 permutation variations to flag discrepancies.</w:t>
      </w:r>
    </w:p>
    <w:p w:rsidR="00C508BE" w:rsidRDefault="00122E45">
      <w:pPr>
        <w:pStyle w:val="ListBullet"/>
        <w:spacing w:after="60"/>
        <w:ind w:left="510"/>
      </w:pPr>
      <w:r>
        <w:t>The company reports that its TraydGuar</w:t>
      </w:r>
      <w:r>
        <w:t>d compliance layer integrates automated real-time screening for global sanctions, watchlists, AML indicators, dual-use goods, and trade-based money laundering (TBML) risks, maintaining an asset processing accuracy rate of 99.98% for discrepancies.</w:t>
      </w:r>
    </w:p>
    <w:p w:rsidR="00C508BE" w:rsidRDefault="00122E45">
      <w:pPr>
        <w:keepNext/>
        <w:pBdr>
          <w:left w:val="single" w:sz="24" w:space="6" w:color="52B69A"/>
        </w:pBdr>
        <w:spacing w:before="120" w:after="60"/>
        <w:ind w:left="170"/>
      </w:pPr>
      <w:r>
        <w:rPr>
          <w:b/>
          <w:color w:val="0F172A"/>
          <w:sz w:val="20"/>
        </w:rPr>
        <w:t xml:space="preserve">Digital </w:t>
      </w:r>
      <w:r>
        <w:rPr>
          <w:b/>
          <w:color w:val="0F172A"/>
          <w:sz w:val="20"/>
        </w:rPr>
        <w:t>Trade Network &amp; Interoperability — scored 90/100</w:t>
      </w:r>
    </w:p>
    <w:p w:rsidR="00C508BE" w:rsidRDefault="00122E45">
      <w:pPr>
        <w:keepNext/>
        <w:pBdr>
          <w:left w:val="single" w:sz="24" w:space="6" w:color="52B69A"/>
        </w:pBdr>
        <w:ind w:left="170"/>
      </w:pPr>
      <w:r>
        <w:t>The rating rests on the company's verified operational partnership with Bolero International to automate checking for digitized trade documents and its natively stated support for SWIFT file ingestion. Based</w:t>
      </w:r>
      <w:r>
        <w:t xml:space="preserve"> on primary research, the company's ebl network exchange statistics can be estimated as expanding through digital ecosystem partnerships, based on its direct pre-integration with tech partners and electronic bill of lading platforms like essDOCS.</w:t>
      </w:r>
    </w:p>
    <w:p w:rsidR="00C508BE" w:rsidRDefault="00122E45">
      <w:pPr>
        <w:keepNext/>
        <w:spacing w:after="40"/>
        <w:ind w:left="170"/>
      </w:pPr>
      <w:r>
        <w:rPr>
          <w:b/>
          <w:caps/>
          <w:color w:val="64748B"/>
          <w:sz w:val="15"/>
        </w:rPr>
        <w:t>Supportin</w:t>
      </w:r>
      <w:r>
        <w:rPr>
          <w:b/>
          <w:caps/>
          <w:color w:val="64748B"/>
          <w:sz w:val="15"/>
        </w:rPr>
        <w:t>g points</w:t>
      </w:r>
    </w:p>
    <w:p w:rsidR="00C508BE" w:rsidRDefault="00122E45">
      <w:pPr>
        <w:pStyle w:val="ListBullet"/>
        <w:spacing w:after="60"/>
        <w:ind w:left="510"/>
      </w:pPr>
      <w:r>
        <w:t>The company announced a strategic partnership with Bolero International in September 2019 to provide automated trade document scrutiny and compliance checking services, enabling users of Bolero's digitization platform to validate transaction docum</w:t>
      </w:r>
      <w:r>
        <w:t>entation through Traydstream's AI tools.</w:t>
      </w:r>
    </w:p>
    <w:p w:rsidR="00C508BE" w:rsidRDefault="00122E45">
      <w:pPr>
        <w:pStyle w:val="ListBullet"/>
        <w:spacing w:after="60"/>
        <w:ind w:left="510"/>
      </w:pPr>
      <w:r>
        <w:t xml:space="preserve">The company reports that its platform can process and ingest SWIFT messages alongside multiple file formats and paper documents for automated trade rules verification and validation against UCP600 and ISBP </w:t>
      </w:r>
      <w:r>
        <w:t>standards.</w:t>
      </w:r>
    </w:p>
    <w:p w:rsidR="00C508BE" w:rsidRDefault="00122E45">
      <w:pPr>
        <w:keepNext/>
        <w:pBdr>
          <w:left w:val="single" w:sz="24" w:space="6" w:color="52B69A"/>
        </w:pBdr>
        <w:spacing w:before="120" w:after="60"/>
        <w:ind w:left="170"/>
      </w:pPr>
      <w:r>
        <w:rPr>
          <w:b/>
          <w:color w:val="0F172A"/>
          <w:sz w:val="20"/>
        </w:rPr>
        <w:t>Platform Architecture &amp; Scalability — scored 97/100</w:t>
      </w:r>
    </w:p>
    <w:p w:rsidR="00C508BE" w:rsidRDefault="00122E45">
      <w:pPr>
        <w:keepNext/>
        <w:pBdr>
          <w:left w:val="single" w:sz="24" w:space="6" w:color="52B69A"/>
        </w:pBdr>
        <w:ind w:left="170"/>
      </w:pPr>
      <w:r>
        <w:t xml:space="preserve">The evaluation is based on the company's confirmed deployment of a cloud-native, modular, and API-first architecture via its 2.0 platform release. Based on primary research, the company's </w:t>
      </w:r>
      <w:r>
        <w:t>transaction throughput and uptime limits can be estimated as highly scalable and resilient, based on its cloud-based architecture hosted with Microsoft and processing of over $350 billion in transactions.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that version </w:t>
      </w:r>
      <w:r>
        <w:t>2.0 of its platform utilizes a cloud-native architecture designed to enhance the speed and accuracy of data extraction and classification models.</w:t>
      </w:r>
    </w:p>
    <w:p w:rsidR="00C508BE" w:rsidRDefault="00122E45">
      <w:pPr>
        <w:pStyle w:val="ListBullet"/>
        <w:spacing w:after="60"/>
        <w:ind w:left="510"/>
      </w:pPr>
      <w:r>
        <w:t>The company reports that its platform is modular, API-first, cloud-agnostic, and both vertically and horizonta</w:t>
      </w:r>
      <w:r>
        <w:t>lly scalable.</w:t>
      </w:r>
    </w:p>
    <w:p w:rsidR="00C508BE" w:rsidRDefault="00122E45">
      <w:pPr>
        <w:keepNext/>
        <w:pBdr>
          <w:left w:val="single" w:sz="24" w:space="6" w:color="52B69A"/>
        </w:pBdr>
        <w:spacing w:before="120" w:after="60"/>
        <w:ind w:left="170"/>
      </w:pPr>
      <w:r>
        <w:rPr>
          <w:b/>
          <w:color w:val="0F172A"/>
          <w:sz w:val="20"/>
        </w:rPr>
        <w:t>Innovation &amp; Roadmap — scored 100/100</w:t>
      </w:r>
    </w:p>
    <w:p w:rsidR="00C508BE" w:rsidRDefault="00122E45">
      <w:pPr>
        <w:keepNext/>
        <w:pBdr>
          <w:left w:val="single" w:sz="24" w:space="6" w:color="52B69A"/>
        </w:pBdr>
        <w:ind w:left="170"/>
      </w:pPr>
      <w:r>
        <w:t>We verified the rating based on the company's continuous product execution, including the launch of specific modules for LC validation and asset distribution, as well as native technology integrations wit</w:t>
      </w:r>
      <w:r>
        <w:t xml:space="preserve">h core systems like CGI </w:t>
      </w:r>
      <w:r>
        <w:lastRenderedPageBreak/>
        <w:t>Trade360. Based on primary research, the company's public R&amp;D investment roadmap can be estimated as focused on multi-party connectivity and funding expansion, based on its continuous platform evolution including the recent introduc</w:t>
      </w:r>
      <w:r>
        <w:t>tion of TraydFund, TraydFX, and TraydAccess.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the rollout of the 2.0 version of its AI-powered platform with expanded data extraction models, followed by the 2024 launch of TraydLC Review for automated letter of credit </w:t>
      </w:r>
      <w:r>
        <w:t>validation, and the 2025 launch of TraydFund, a trade asset sell-down solution co-created with Mashreq's NeoVentures.</w:t>
      </w:r>
    </w:p>
    <w:p w:rsidR="00C508BE" w:rsidRDefault="00122E45">
      <w:pPr>
        <w:pStyle w:val="ListBullet"/>
        <w:spacing w:after="60"/>
        <w:ind w:left="510"/>
      </w:pPr>
      <w:r>
        <w:t>The company reports an expansion of its solution architecture into a modular suite under TraydMate, comprising TraydCheck, TraydAccess, Tr</w:t>
      </w:r>
      <w:r>
        <w:t>aydAnalytics, TraydConnect, TraydFund, and TraydGuard, alongside the appointment of a new Chief Product &amp; Technology Officer in January 2026 to lead its AI platform architecture.</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98/100</w:t>
      </w:r>
    </w:p>
    <w:p w:rsidR="00C508BE" w:rsidRDefault="00122E45">
      <w:pPr>
        <w:keepNext/>
        <w:pBdr>
          <w:left w:val="single" w:sz="24" w:space="6" w:color="52B69A"/>
        </w:pBdr>
        <w:ind w:left="170"/>
      </w:pPr>
      <w:r>
        <w:t xml:space="preserve">The </w:t>
      </w:r>
      <w:r>
        <w:t>rating rests on Traydstream's verified adoptions and strategic introduction agreements with major tier-1 global financial institutions, including Deutsche Bank, Citigroup, Standard Chartered Bank, and Sumitomo Mitsui Banking Corporation, alongside corporat</w:t>
      </w:r>
      <w:r>
        <w:t>e exporters such as Itochu. Based on primary research, the company's total transaction volume can be estimated as high, based on its millions of transactions and billions of dollars in aggregate volume processed.</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Deutsche Bank announced i</w:t>
      </w:r>
      <w:r>
        <w:t>n August 2022 a commitment to integrate the Traydstream automated trade document checking platform into its environment with the intent to subsequently roll it out globally.</w:t>
      </w:r>
    </w:p>
    <w:p w:rsidR="00C508BE" w:rsidRDefault="00122E45">
      <w:pPr>
        <w:pStyle w:val="ListBullet"/>
        <w:spacing w:after="60"/>
        <w:ind w:left="510"/>
      </w:pPr>
      <w:r>
        <w:t>Citigroup Inc. announced a collaboration with Traydstream in December 2023 to prov</w:t>
      </w:r>
      <w:r>
        <w:t>ide clients with access to its automated trade-document processing capabilities.</w:t>
      </w:r>
    </w:p>
    <w:p w:rsidR="00C508BE" w:rsidRDefault="00122E45">
      <w:pPr>
        <w:keepNext/>
        <w:pBdr>
          <w:left w:val="single" w:sz="24" w:space="6" w:color="52B69A"/>
        </w:pBdr>
        <w:spacing w:before="120" w:after="60"/>
        <w:ind w:left="170"/>
      </w:pPr>
      <w:r>
        <w:rPr>
          <w:b/>
          <w:color w:val="0F172A"/>
          <w:sz w:val="20"/>
        </w:rPr>
        <w:t>Revenue &amp; Growth — scored 72/100</w:t>
      </w:r>
    </w:p>
    <w:p w:rsidR="00C508BE" w:rsidRDefault="00122E45">
      <w:pPr>
        <w:keepNext/>
        <w:pBdr>
          <w:left w:val="single" w:sz="24" w:space="6" w:color="52B69A"/>
        </w:pBdr>
        <w:ind w:left="170"/>
      </w:pPr>
      <w:r>
        <w:t>Based on primary research, the company's annual recurring revenue can be estimated as growing steadily, based on its millions of dollars in ve</w:t>
      </w:r>
      <w:r>
        <w:t>nture backing and annual volume doubling.</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Support — scored 93/100</w:t>
      </w:r>
    </w:p>
    <w:p w:rsidR="00C508BE" w:rsidRDefault="00122E45">
      <w:pPr>
        <w:keepNext/>
        <w:pBdr>
          <w:left w:val="single" w:sz="24" w:space="6" w:color="52B69A"/>
        </w:pBdr>
        <w:ind w:left="170"/>
      </w:pPr>
      <w:r>
        <w:t xml:space="preserve">The evaluation rests on the company's verified physical office infrastructure spanning several major global regions alongside </w:t>
      </w:r>
      <w:r>
        <w:t>dedicated regional leadership and sales operations. Based on primary research, the company's specialized language support can be estimated as broad across major hubs, based on its operating footprint across dozens of countries.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w:t>
      </w:r>
      <w:r>
        <w:t>y reports official office locations in London (England), Mumbai (India), Karachi (Pakistan), Tokyo (Japan), and Dubai (UAE).</w:t>
      </w:r>
    </w:p>
    <w:p w:rsidR="00C508BE" w:rsidRDefault="00122E45">
      <w:pPr>
        <w:pStyle w:val="ListBullet"/>
        <w:spacing w:after="60"/>
        <w:ind w:left="510"/>
      </w:pPr>
      <w:r>
        <w:t xml:space="preserve">The company reports active business operations and client-facing talent across East Asia, the Middle East, Europe, Africa, and the </w:t>
      </w:r>
      <w:r>
        <w:t>Americas, supported by local job listings for enterprise sales roles in trade hubs like Singapore.</w:t>
      </w:r>
    </w:p>
    <w:p w:rsidR="00C508BE" w:rsidRDefault="00122E45">
      <w:pPr>
        <w:keepNext/>
        <w:pBdr>
          <w:left w:val="single" w:sz="24" w:space="6" w:color="52B69A"/>
        </w:pBdr>
        <w:spacing w:before="120" w:after="60"/>
        <w:ind w:left="170"/>
      </w:pPr>
      <w:r>
        <w:rPr>
          <w:b/>
          <w:color w:val="0F172A"/>
          <w:sz w:val="20"/>
        </w:rPr>
        <w:t>Funding &amp; Ownership — scored 95/100</w:t>
      </w:r>
    </w:p>
    <w:p w:rsidR="00C508BE" w:rsidRDefault="00122E45">
      <w:pPr>
        <w:keepNext/>
        <w:pBdr>
          <w:left w:val="single" w:sz="24" w:space="6" w:color="52B69A"/>
        </w:pBdr>
        <w:ind w:left="170"/>
      </w:pPr>
      <w:r>
        <w:t>The assessment rests on verified late-stage venture funding rounds and strategic corporate backing from major regional ba</w:t>
      </w:r>
      <w:r>
        <w:t>nking and telecom investment arms, demonstrating substantial capital stability and expansion capability. Based on primary research, the company's full balance sheet financials can be estimated as strong, in line with venture-backed leaders, based on its mi</w:t>
      </w:r>
      <w:r>
        <w:t>llions of dollars in interim funding and institutional backing.</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Traydstream LIMITED completed a US$21 million Series B funding round in September 2023, co-led by Pivot Investment Partners and e&amp; capital.</w:t>
      </w:r>
    </w:p>
    <w:p w:rsidR="00C508BE" w:rsidRDefault="00122E45">
      <w:pPr>
        <w:pStyle w:val="ListBullet"/>
        <w:spacing w:after="60"/>
        <w:ind w:left="510"/>
      </w:pPr>
      <w:r>
        <w:t>The company secured a strategic br</w:t>
      </w:r>
      <w:r>
        <w:t>idge investment in August 2026 led by NeoVentures (the corporate venture capital arm of Mashreq Bank) and e&amp; capital, following an intermediate US$11 million fundraising round in August 2025.</w:t>
      </w:r>
    </w:p>
    <w:p w:rsidR="00C508BE" w:rsidRDefault="00122E45">
      <w:pPr>
        <w:keepNext/>
        <w:pBdr>
          <w:left w:val="single" w:sz="24" w:space="6" w:color="52B69A"/>
        </w:pBdr>
        <w:spacing w:before="120" w:after="60"/>
        <w:ind w:left="170"/>
      </w:pPr>
      <w:r>
        <w:rPr>
          <w:b/>
          <w:color w:val="0F172A"/>
          <w:sz w:val="20"/>
        </w:rPr>
        <w:lastRenderedPageBreak/>
        <w:t>Market Share &amp; Installed Base — scored 100/100</w:t>
      </w:r>
    </w:p>
    <w:p w:rsidR="00C508BE" w:rsidRDefault="00122E45">
      <w:pPr>
        <w:keepNext/>
        <w:pBdr>
          <w:left w:val="single" w:sz="24" w:space="6" w:color="52B69A"/>
        </w:pBdr>
        <w:ind w:left="170"/>
      </w:pPr>
      <w:r>
        <w:t xml:space="preserve">The rating rests </w:t>
      </w:r>
      <w:r>
        <w:t>on the company's verified deployment across multiple prominent tier-1 and regional banking institutions, alongside confirmed metrics regarding cumulative transaction volume and geographic reach. Based on primary research, the company's overall market share</w:t>
      </w:r>
      <w:r>
        <w:t xml:space="preserve"> can be estimated as growing steadily, based on its processing across dozens of countries and expanding tier-one bank partnerships.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supporting more than US$350 billion in trade volumes across over 7 million transaction</w:t>
      </w:r>
      <w:r>
        <w:t>s and processing more than 20 million pages for institutions and corporates in 68 countries.</w:t>
      </w:r>
    </w:p>
    <w:p w:rsidR="00C508BE" w:rsidRDefault="00122E45">
      <w:pPr>
        <w:pStyle w:val="ListBullet"/>
        <w:spacing w:after="60"/>
        <w:ind w:left="510"/>
      </w:pPr>
      <w:r>
        <w:t xml:space="preserve">The company's platform has achieved live, verified implementations with major global institutions, including an extended strategic partnership with Deutsche Bank, </w:t>
      </w:r>
      <w:r>
        <w:t>an operational rollout with SMBC Bank International, and deployments with Standard Bank Group across Africa and YES Bank in India.</w:t>
      </w:r>
    </w:p>
    <w:p w:rsidR="00C508BE" w:rsidRDefault="00122E45">
      <w:pPr>
        <w:pStyle w:val="Heading2"/>
        <w:pageBreakBefore/>
        <w:shd w:val="clear" w:color="auto" w:fill="002857"/>
        <w:spacing w:after="0"/>
      </w:pPr>
      <w:bookmarkStart w:id="10" w:name="_Toc242420540"/>
      <w:r>
        <w:lastRenderedPageBreak/>
        <w:t>Linklogis Inc.</w:t>
      </w:r>
      <w:bookmarkEnd w:id="10"/>
    </w:p>
    <w:p w:rsidR="00C508BE" w:rsidRDefault="00122E45">
      <w:pPr>
        <w:shd w:val="clear" w:color="auto" w:fill="002857"/>
        <w:spacing w:after="200"/>
      </w:pPr>
      <w:r>
        <w:rPr>
          <w:color w:val="CBD5E1"/>
          <w:sz w:val="18"/>
        </w:rPr>
        <w:t xml:space="preserve">Linklogis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94</w:t>
      </w:r>
      <w:r>
        <w:rPr>
          <w:color w:val="CBD5E1"/>
          <w:sz w:val="18"/>
        </w:rPr>
        <w:t xml:space="preserve">     Overall </w:t>
      </w:r>
      <w:r>
        <w:rPr>
          <w:b/>
          <w:color w:val="FFFFFF"/>
          <w:sz w:val="20"/>
        </w:rPr>
        <w:t>94</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w:t>
      </w:r>
      <w:r>
        <w:rPr>
          <w:b/>
          <w:color w:val="0F172A"/>
          <w:sz w:val="20"/>
        </w:rPr>
        <w:t xml:space="preserve"> — scored 95/100</w:t>
      </w:r>
    </w:p>
    <w:p w:rsidR="00C508BE" w:rsidRDefault="00122E45">
      <w:pPr>
        <w:keepNext/>
        <w:pBdr>
          <w:left w:val="single" w:sz="24" w:space="6" w:color="52B69A"/>
        </w:pBdr>
        <w:ind w:left="170"/>
      </w:pPr>
      <w:r>
        <w:t xml:space="preserve">The rating rests on the company's clear and verifiable capabilities across supply chain finance instruments, including multi-tier transfer, receivables, guarantees, and its expansion into letters of credit for its international trade </w:t>
      </w:r>
      <w:r>
        <w:t>solutions. Based on primary research, the company's comprehensive functional depth details regarding standard cross-border documentary collections or long-tenor can be estimated as expanding continuously across multi-scenario international pipelines, based</w:t>
      </w:r>
      <w:r>
        <w:t xml:space="preserve"> on its launch of the smart contract-driven SC Plus Platform and cross-border digital supply chain corridors.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its technology solutions include Anchor Cloud (comprising Multi-tier Transfer Cloud, AMS Cloud, and Treasury</w:t>
      </w:r>
      <w:r>
        <w:t xml:space="preserve"> Cloud) and FI Cloud (comprising ABS Cloud and eChain Cloud) to support bill discounting, guarantees, purchase order financing, receivables e-loans, and asset-backed securitisation.</w:t>
      </w:r>
    </w:p>
    <w:p w:rsidR="00C508BE" w:rsidRDefault="00122E45">
      <w:pPr>
        <w:pStyle w:val="ListBullet"/>
        <w:spacing w:after="60"/>
        <w:ind w:left="510"/>
      </w:pPr>
      <w:r>
        <w:t>In its 2026 interim financial reports, the company reported broadening its</w:t>
      </w:r>
      <w:r>
        <w:t xml:space="preserve"> digital trade finance offerings into letters of credit and non-recourse financing as part of its cross-border international business suite.</w:t>
      </w:r>
    </w:p>
    <w:p w:rsidR="00C508BE" w:rsidRDefault="00122E45">
      <w:pPr>
        <w:keepNext/>
        <w:pBdr>
          <w:left w:val="single" w:sz="24" w:space="6" w:color="52B69A"/>
        </w:pBdr>
        <w:spacing w:before="120" w:after="60"/>
        <w:ind w:left="170"/>
      </w:pPr>
      <w:r>
        <w:rPr>
          <w:b/>
          <w:color w:val="0F172A"/>
          <w:sz w:val="20"/>
        </w:rPr>
        <w:t>Document Checking &amp; Compliance Automation — scored 93/100</w:t>
      </w:r>
    </w:p>
    <w:p w:rsidR="00C508BE" w:rsidRDefault="00122E45">
      <w:pPr>
        <w:keepNext/>
        <w:pBdr>
          <w:left w:val="single" w:sz="24" w:space="6" w:color="52B69A"/>
        </w:pBdr>
        <w:ind w:left="170"/>
      </w:pPr>
      <w:r>
        <w:t xml:space="preserve">We verified that the company provides automated document </w:t>
      </w:r>
      <w:r>
        <w:t>verification capabilities through its proprietary LLM-based BeeFeather application deployed at several financial institutions. Based on primary research, the company's document checking accuracy rates, compliance rule coverage under UCP600 or ISBP guidelin</w:t>
      </w:r>
      <w:r>
        <w:t>es, or technical can be estimated as highly accurate and significantly enhanced through automated validation, based on its Beelink AI solution powered by the LDP-GPT model deployed for intelligent trade document checking at Standard Chartered Bank.</w:t>
      </w:r>
    </w:p>
    <w:p w:rsidR="00C508BE" w:rsidRDefault="00122E45">
      <w:pPr>
        <w:keepNext/>
        <w:spacing w:after="40"/>
        <w:ind w:left="170"/>
      </w:pPr>
      <w:r>
        <w:rPr>
          <w:b/>
          <w:caps/>
          <w:color w:val="64748B"/>
          <w:sz w:val="15"/>
        </w:rPr>
        <w:t>Support</w:t>
      </w:r>
      <w:r>
        <w:rPr>
          <w:b/>
          <w:caps/>
          <w:color w:val="64748B"/>
          <w:sz w:val="15"/>
        </w:rPr>
        <w:t>ing points</w:t>
      </w:r>
    </w:p>
    <w:p w:rsidR="00C508BE" w:rsidRDefault="00122E45">
      <w:pPr>
        <w:pStyle w:val="ListBullet"/>
        <w:spacing w:after="60"/>
        <w:ind w:left="510"/>
      </w:pPr>
      <w:r>
        <w:t>Linklogis Inc. officially launched the "BeeFeather AI Document Check Platform" in December 2024, using large language model technologies to parse and automate document review workflows in supply chain finance.</w:t>
      </w:r>
    </w:p>
    <w:p w:rsidR="00C508BE" w:rsidRDefault="00122E45">
      <w:pPr>
        <w:pStyle w:val="ListBullet"/>
        <w:spacing w:after="60"/>
        <w:ind w:left="510"/>
      </w:pPr>
      <w:r>
        <w:t>The company reports offering an int</w:t>
      </w:r>
      <w:r>
        <w:t>ernational trade digitalization tool supported by an AI OCR robot for automated trade document preparation and examination.</w:t>
      </w:r>
    </w:p>
    <w:p w:rsidR="00C508BE" w:rsidRDefault="00122E45">
      <w:pPr>
        <w:keepNext/>
        <w:pBdr>
          <w:left w:val="single" w:sz="24" w:space="6" w:color="52B69A"/>
        </w:pBdr>
        <w:spacing w:before="120" w:after="60"/>
        <w:ind w:left="170"/>
      </w:pPr>
      <w:r>
        <w:rPr>
          <w:b/>
          <w:color w:val="0F172A"/>
          <w:sz w:val="20"/>
        </w:rPr>
        <w:t>Digital Trade Network &amp; Interoperability — scored 87/100</w:t>
      </w:r>
    </w:p>
    <w:p w:rsidR="00C508BE" w:rsidRDefault="00122E45">
      <w:pPr>
        <w:keepNext/>
        <w:pBdr>
          <w:left w:val="single" w:sz="24" w:space="6" w:color="52B69A"/>
        </w:pBdr>
        <w:ind w:left="170"/>
      </w:pPr>
      <w:r>
        <w:t>The company's evaluation rests on its verified participation in the TradeTr</w:t>
      </w:r>
      <w:r>
        <w:t>ust network ecosystem and its August 2025 blockchain-based cross-border partnership with XRP Ledger. Based on primary research, the company's any direct network connectivity or native integrations with bolero, essdocs, or SWIFT mt7xx messaging can be estim</w:t>
      </w:r>
      <w:r>
        <w:t>ated as fully synchronized with international banking networks, based on its digital wholesale banking operations in Singapore and connectivity to China International Trade Single Window channels.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Linklogis is integrated into the TradeTru</w:t>
      </w:r>
      <w:r>
        <w:t>st network as a TradeTrust-Ready Partner, providing supply chain financing SaaS services to financial institutions and anchor buyers to enable interoperability of digital trade documents.</w:t>
      </w:r>
    </w:p>
    <w:p w:rsidR="00C508BE" w:rsidRDefault="00122E45">
      <w:pPr>
        <w:pStyle w:val="ListBullet"/>
        <w:spacing w:after="60"/>
        <w:ind w:left="510"/>
      </w:pPr>
      <w:r>
        <w:t>Linklogis announced a strategic partnership with XRP Ledger in Augus</w:t>
      </w:r>
      <w:r>
        <w:t>t 2025 to deploy its global digital supply chain finance application onto the XRPL mainnet to facilitate cross-border settlement and the tokenization of trade flows.</w:t>
      </w:r>
    </w:p>
    <w:p w:rsidR="00C508BE" w:rsidRDefault="00122E45">
      <w:pPr>
        <w:keepNext/>
        <w:pBdr>
          <w:left w:val="single" w:sz="24" w:space="6" w:color="52B69A"/>
        </w:pBdr>
        <w:spacing w:before="120" w:after="60"/>
        <w:ind w:left="170"/>
      </w:pPr>
      <w:r>
        <w:rPr>
          <w:b/>
          <w:color w:val="0F172A"/>
          <w:sz w:val="20"/>
        </w:rPr>
        <w:t>Platform Architecture &amp; Scalability — scored 100/100</w:t>
      </w:r>
    </w:p>
    <w:p w:rsidR="00C508BE" w:rsidRDefault="00122E45">
      <w:pPr>
        <w:keepNext/>
        <w:pBdr>
          <w:left w:val="single" w:sz="24" w:space="6" w:color="52B69A"/>
        </w:pBdr>
        <w:ind w:left="170"/>
      </w:pPr>
      <w:r>
        <w:t>The assessment is based on the compan</w:t>
      </w:r>
      <w:r>
        <w:t>y's confirmed cloud-native infrastructure, flexible deployment options (SaaS and private cloud), and verified high-volume transaction processing capabilities exceeding RMB 500 billion annually. Based on primary research, the company's technical metrics reg</w:t>
      </w:r>
      <w:r>
        <w:t>arding software uptime percentages, microservices API architecture frameworks, or can be estimated as enterprise grade, highly stable, and capable of processing massive institutional asset volumes, based on its cloud-native BeeCloud infrastructure and tota</w:t>
      </w:r>
      <w:r>
        <w:t>l cumulative supply chain transaction volume exceeding 1 trillion Renminbi.</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cloud-native solutions optimize the payment cycle of supply chain transactions, supporting deployment models that include SaaS config</w:t>
      </w:r>
      <w:r>
        <w:t>urations as well as customized private cloud builds.</w:t>
      </w:r>
    </w:p>
    <w:p w:rsidR="00C508BE" w:rsidRDefault="00122E45">
      <w:pPr>
        <w:pStyle w:val="ListBullet"/>
        <w:spacing w:after="60"/>
        <w:ind w:left="510"/>
      </w:pPr>
      <w:r>
        <w:t>Linklogis reports that its technology solutions processed a total supply chain asset transaction volume of RMB 508.1 billion during the 2025 calendar year, up 27% year-on-year.</w:t>
      </w:r>
    </w:p>
    <w:p w:rsidR="00C508BE" w:rsidRDefault="00122E45">
      <w:pPr>
        <w:keepNext/>
        <w:pBdr>
          <w:left w:val="single" w:sz="24" w:space="6" w:color="52B69A"/>
        </w:pBdr>
        <w:spacing w:before="120" w:after="60"/>
        <w:ind w:left="170"/>
      </w:pPr>
      <w:r>
        <w:rPr>
          <w:b/>
          <w:color w:val="0F172A"/>
          <w:sz w:val="20"/>
        </w:rPr>
        <w:lastRenderedPageBreak/>
        <w:t>Innovation &amp; Roadmap — sco</w:t>
      </w:r>
      <w:r>
        <w:rPr>
          <w:b/>
          <w:color w:val="0F172A"/>
          <w:sz w:val="20"/>
        </w:rPr>
        <w:t>red 97/100</w:t>
      </w:r>
    </w:p>
    <w:p w:rsidR="00C508BE" w:rsidRDefault="00122E45">
      <w:pPr>
        <w:keepNext/>
        <w:pBdr>
          <w:left w:val="single" w:sz="24" w:space="6" w:color="52B69A"/>
        </w:pBdr>
        <w:ind w:left="170"/>
      </w:pPr>
      <w:r>
        <w:t>The rating rests on specific public disclosures regarding the deployment and commercialization of proprietary AI agent product matrices and blockchain platforms for automated trade document processing. Based on primary research, the company's co</w:t>
      </w:r>
      <w:r>
        <w:t>mprehensive patent documentation or a complete future roadmap for newer emerging technologies can be estimated as comprehensive and forward-looking, based on its more than 500 billion Renminbi in processed supply chain assets and 3,000 served anchor enterp</w:t>
      </w:r>
      <w:r>
        <w:t>rises.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the development and commercialization of its "BeeLink AI Agent" product matrix and the BeeFeather Platform in 2024 and 2025, integrating large language models with supply chain scenario knowledge graphs to handl</w:t>
      </w:r>
      <w:r>
        <w:t>e tasks such as intelligent trade document checking and KYC for 42 financial institutions and industry customers.</w:t>
      </w:r>
    </w:p>
    <w:p w:rsidR="00C508BE" w:rsidRDefault="00122E45">
      <w:pPr>
        <w:pStyle w:val="ListBullet"/>
        <w:spacing w:after="60"/>
        <w:ind w:left="510"/>
      </w:pPr>
      <w:r>
        <w:t xml:space="preserve">The company applies emerging technologies including its proprietary BeeTrust blockchain platform and AI OCR robots for automated trade </w:t>
      </w:r>
      <w:r>
        <w:t>document preparation, processing, and examination within its digital trade and supply chain finance cloud solutions.</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93/100</w:t>
      </w:r>
    </w:p>
    <w:p w:rsidR="00C508BE" w:rsidRDefault="00122E45">
      <w:pPr>
        <w:keepNext/>
        <w:pBdr>
          <w:left w:val="single" w:sz="24" w:space="6" w:color="52B69A"/>
        </w:pBdr>
        <w:ind w:left="170"/>
      </w:pPr>
      <w:r>
        <w:t xml:space="preserve">The rating rests on confirmed live deployments and high-profile </w:t>
      </w:r>
      <w:r>
        <w:t>partnerships with prominent global and domestic financial institutions and large-scale enterprise joint ventures. Based on primary research, the company's active client roster and contract values can be estimated as concentrated among industry leaders, bas</w:t>
      </w:r>
      <w:r>
        <w:t>ed on its thousands of anchor enterprise partners and major enterprise customers including several top 100 companies in China.</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Linklogis reports that its technology solutions and artificial intelligence applications have been delivered an</w:t>
      </w:r>
      <w:r>
        <w:t>d deployed across major financial institutions, including Standard Chartered Bank, Bank of East Asia, Bank of Hangzhou, China Zheshang Bank, and China Electrical Equipment Finance.</w:t>
      </w:r>
    </w:p>
    <w:p w:rsidR="00C508BE" w:rsidRDefault="00122E45">
      <w:pPr>
        <w:pStyle w:val="ListBullet"/>
        <w:spacing w:after="60"/>
        <w:ind w:left="510"/>
      </w:pPr>
      <w:r>
        <w:t>Linklogis co-developed deep-tier supply chain financing solutions with Stan</w:t>
      </w:r>
      <w:r>
        <w:t>dard Chartered to execute blockchain-based transactions for suppliers of Digital Guangdong, a joint venture of Tencent, China Unicom, China Telecom, and China Mobile.</w:t>
      </w:r>
    </w:p>
    <w:p w:rsidR="00C508BE" w:rsidRDefault="00122E45">
      <w:pPr>
        <w:keepNext/>
        <w:pBdr>
          <w:left w:val="single" w:sz="24" w:space="6" w:color="52B69A"/>
        </w:pBdr>
        <w:spacing w:before="120" w:after="60"/>
        <w:ind w:left="170"/>
      </w:pPr>
      <w:r>
        <w:rPr>
          <w:b/>
          <w:color w:val="0F172A"/>
          <w:sz w:val="20"/>
        </w:rPr>
        <w:t>Revenue &amp; Growth — scored 100/100</w:t>
      </w:r>
    </w:p>
    <w:p w:rsidR="00C508BE" w:rsidRDefault="00122E45">
      <w:pPr>
        <w:keepNext/>
        <w:pBdr>
          <w:left w:val="single" w:sz="24" w:space="6" w:color="52B69A"/>
        </w:pBdr>
        <w:ind w:left="170"/>
      </w:pPr>
      <w:r>
        <w:t>The evaluation rests on the company's publicly disclose</w:t>
      </w:r>
      <w:r>
        <w:t>d corporate financial results for fiscal year 2025 and interim 2026, which confirm volatile overall growth figures despite a recent mid-2026 turnaround. Based on primary research, the company's software and digital network revenue breakdown can be estimate</w:t>
      </w:r>
      <w:r>
        <w:t>d as blended under its technology solutions framework, based on its total revenue and income segments classified under Anchor Cloud, FI Cloud, Cross-border Cloud, and SME Credit Tech Solutions.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total revenue a</w:t>
      </w:r>
      <w:r>
        <w:t>nd income for the full year of 2025 was RMB 983 million, representing a slight decrease from the RMB 1.03 billion reported in fiscal year 2024.</w:t>
      </w:r>
    </w:p>
    <w:p w:rsidR="00C508BE" w:rsidRDefault="00122E45">
      <w:pPr>
        <w:pStyle w:val="ListBullet"/>
        <w:spacing w:after="60"/>
        <w:ind w:left="510"/>
      </w:pPr>
      <w:r>
        <w:t>The company reports that its revenue and income for the first half of 2026 reached RMB 579 million, representing</w:t>
      </w:r>
      <w:r>
        <w:t xml:space="preserve"> a 55% year-on-year increase compared to the first half of 2025.</w:t>
      </w:r>
    </w:p>
    <w:p w:rsidR="00C508BE" w:rsidRDefault="00122E45">
      <w:pPr>
        <w:keepNext/>
        <w:pBdr>
          <w:left w:val="single" w:sz="24" w:space="6" w:color="52B69A"/>
        </w:pBdr>
        <w:spacing w:before="120" w:after="60"/>
        <w:ind w:left="170"/>
      </w:pPr>
      <w:r>
        <w:rPr>
          <w:b/>
          <w:color w:val="0F172A"/>
          <w:sz w:val="20"/>
        </w:rPr>
        <w:t>Global Footprint &amp; Local Support — scored 93/100</w:t>
      </w:r>
    </w:p>
    <w:p w:rsidR="00C508BE" w:rsidRDefault="00122E45">
      <w:pPr>
        <w:keepNext/>
        <w:pBdr>
          <w:left w:val="single" w:sz="24" w:space="6" w:color="52B69A"/>
        </w:pBdr>
        <w:ind w:left="170"/>
      </w:pPr>
      <w:r>
        <w:t>We verified that the company has established functional entities and offices across strategic global hubs like Singapore, London, and Hong Kon</w:t>
      </w:r>
      <w:r>
        <w:t xml:space="preserve">g to drive international supply-chain and trade finance software operations. Based on primary research, the company's localized support resource allocations can be estimated as extensive across major domestic economic hubs with selective global expansion, </w:t>
      </w:r>
      <w:r>
        <w:t>based on its multiple operational offices across Shenzhen, Hong Kong, Wuhan, Beijing, Shanghai, Guangzhou, Chengdu, and Xi'an alongside international cross-border partnerships.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international arm, Unloq (former</w:t>
      </w:r>
      <w:r>
        <w:t>ly Linklogis International), is headquartered in Singapore and maintains legal entities and physical office locations in Hong Kong, the United Kingdom, the United States, China, and India.</w:t>
      </w:r>
    </w:p>
    <w:p w:rsidR="00C508BE" w:rsidRDefault="00122E45">
      <w:pPr>
        <w:pStyle w:val="ListBullet"/>
        <w:spacing w:after="60"/>
        <w:ind w:left="510"/>
      </w:pPr>
      <w:r>
        <w:t>The company reports that its international service network spans ac</w:t>
      </w:r>
      <w:r>
        <w:t>ross Greater China, Southeast Asia, India, Europe, and North America, serving a total of 42 countries worldwide.</w:t>
      </w:r>
    </w:p>
    <w:p w:rsidR="00C508BE" w:rsidRDefault="00122E45">
      <w:pPr>
        <w:keepNext/>
        <w:pBdr>
          <w:left w:val="single" w:sz="24" w:space="6" w:color="52B69A"/>
        </w:pBdr>
        <w:spacing w:before="120" w:after="60"/>
        <w:ind w:left="170"/>
      </w:pPr>
      <w:r>
        <w:rPr>
          <w:b/>
          <w:color w:val="0F172A"/>
          <w:sz w:val="20"/>
        </w:rPr>
        <w:t>Funding &amp; Ownership — scored 95/100</w:t>
      </w:r>
    </w:p>
    <w:p w:rsidR="00C508BE" w:rsidRDefault="00122E45">
      <w:pPr>
        <w:keepNext/>
        <w:pBdr>
          <w:left w:val="single" w:sz="24" w:space="6" w:color="52B69A"/>
        </w:pBdr>
        <w:ind w:left="170"/>
      </w:pPr>
      <w:r>
        <w:t xml:space="preserve">The rating rests on the company's transition to a well-capitalized public entity supported by high-quality </w:t>
      </w:r>
      <w:r>
        <w:t xml:space="preserve">sovereign wealth and enterprise investors. Based on primary research, the company's post-ipo private funding and restructuring </w:t>
      </w:r>
      <w:r>
        <w:lastRenderedPageBreak/>
        <w:t>can be estimated as restricted to public market equity repurchases and strategic internal business realignment, based on its init</w:t>
      </w:r>
      <w:r>
        <w:t>ial public offering backed by cornerstone institutional investors and subsequent share buyback mandates.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Linklogis Inc. completed an initial public offering on the main board of the Hong Kong Stock Exchange in April 2021, raising approxim</w:t>
      </w:r>
      <w:r>
        <w:t>ately USD 1.02 billion.</w:t>
      </w:r>
    </w:p>
    <w:p w:rsidR="00C508BE" w:rsidRDefault="00122E45">
      <w:pPr>
        <w:pStyle w:val="ListBullet"/>
        <w:spacing w:after="60"/>
        <w:ind w:left="510"/>
      </w:pPr>
      <w:r>
        <w:t xml:space="preserve">The company maintains long-term backing from a stable base of major strategic and institutional shareholders, including Tencent Holdings Limited, CITIC Capital, Government of Singapore Investment Corporation (GIC), and Standard </w:t>
      </w:r>
      <w:r>
        <w:t>Chartered Bank.</w:t>
      </w:r>
    </w:p>
    <w:p w:rsidR="00C508BE" w:rsidRDefault="00122E45">
      <w:pPr>
        <w:keepNext/>
        <w:pBdr>
          <w:left w:val="single" w:sz="24" w:space="6" w:color="52B69A"/>
        </w:pBdr>
        <w:spacing w:before="120" w:after="60"/>
        <w:ind w:left="170"/>
      </w:pPr>
      <w:r>
        <w:rPr>
          <w:b/>
          <w:color w:val="0F172A"/>
          <w:sz w:val="20"/>
        </w:rPr>
        <w:t>Market Share &amp; Installed Base — scored 87/100</w:t>
      </w:r>
    </w:p>
    <w:p w:rsidR="00C508BE" w:rsidRDefault="00122E45">
      <w:pPr>
        <w:keepNext/>
        <w:pBdr>
          <w:left w:val="single" w:sz="24" w:space="6" w:color="52B69A"/>
        </w:pBdr>
        <w:ind w:left="170"/>
      </w:pPr>
      <w:r>
        <w:t>The rating rests on the company's self-reported transaction volumes and customer adoption figures for its digital supply chain and cross-border trade solutions. Based on primary research, the co</w:t>
      </w:r>
      <w:r>
        <w:t xml:space="preserve">mpany's global market share and live installations can be estimated as leading domestically but developing internationally, based on its documented market position ranking first in the independent supply chain finance technology industry for 6 consecutive </w:t>
      </w:r>
      <w:r>
        <w:t>years.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the total volume of supply chain assets processed by its technology solutions reached RMB 508.1 billion in 2025, serving 3,145 anchor enterprises and cumulatively over 430,000 small and medium-sized enterpr</w:t>
      </w:r>
      <w:r>
        <w:t>ises.</w:t>
      </w:r>
    </w:p>
    <w:p w:rsidR="00C508BE" w:rsidRDefault="00122E45">
      <w:pPr>
        <w:pStyle w:val="ListBullet"/>
        <w:spacing w:after="60"/>
        <w:ind w:left="510"/>
      </w:pPr>
      <w:r>
        <w:t>The company reports that the total number of platform customers for its international cross-border trade business, rebranded as Unloq, reached 1,550 by the end of 2025.</w:t>
      </w:r>
    </w:p>
    <w:p w:rsidR="00C508BE" w:rsidRDefault="00122E45">
      <w:pPr>
        <w:pStyle w:val="Heading2"/>
        <w:pageBreakBefore/>
        <w:shd w:val="clear" w:color="auto" w:fill="002857"/>
        <w:spacing w:after="0"/>
      </w:pPr>
      <w:bookmarkStart w:id="11" w:name="_Toc242420541"/>
      <w:r>
        <w:lastRenderedPageBreak/>
        <w:t>LiquidX, Inc.</w:t>
      </w:r>
      <w:bookmarkEnd w:id="11"/>
    </w:p>
    <w:p w:rsidR="00C508BE" w:rsidRDefault="00122E45">
      <w:pPr>
        <w:shd w:val="clear" w:color="auto" w:fill="002857"/>
        <w:spacing w:after="200"/>
      </w:pPr>
      <w:r>
        <w:rPr>
          <w:color w:val="CBD5E1"/>
          <w:sz w:val="18"/>
        </w:rPr>
        <w:t xml:space="preserve">LiquidX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92</w:t>
      </w:r>
      <w:r>
        <w:rPr>
          <w:color w:val="CBD5E1"/>
          <w:sz w:val="18"/>
        </w:rPr>
        <w:t xml:space="preserve">     Overall </w:t>
      </w:r>
      <w:r>
        <w:rPr>
          <w:b/>
          <w:color w:val="FFFFFF"/>
          <w:sz w:val="20"/>
        </w:rPr>
        <w:t>90</w:t>
      </w:r>
    </w:p>
    <w:p w:rsidR="00C508BE" w:rsidRDefault="00122E45">
      <w:pPr>
        <w:keepNext/>
        <w:pBdr>
          <w:bottom w:val="single" w:sz="6" w:space="3" w:color="E2E8F0"/>
        </w:pBdr>
        <w:spacing w:before="120" w:after="120"/>
      </w:pPr>
      <w:r>
        <w:rPr>
          <w:b/>
          <w:caps/>
          <w:color w:val="1A759F"/>
        </w:rPr>
        <w:t>X — Technology</w:t>
      </w:r>
      <w:r>
        <w:rPr>
          <w:b/>
          <w:caps/>
          <w:color w:val="1A759F"/>
        </w:rPr>
        <w:t xml:space="preserve"> Capability</w:t>
      </w:r>
    </w:p>
    <w:p w:rsidR="00C508BE" w:rsidRDefault="00122E45">
      <w:pPr>
        <w:keepNext/>
        <w:pBdr>
          <w:left w:val="single" w:sz="24" w:space="6" w:color="52B69A"/>
        </w:pBdr>
        <w:spacing w:before="120" w:after="60"/>
        <w:ind w:left="170"/>
      </w:pPr>
      <w:r>
        <w:rPr>
          <w:b/>
          <w:color w:val="0F172A"/>
          <w:sz w:val="20"/>
        </w:rPr>
        <w:t>Trade Finance Product Breadth — scored 91/100</w:t>
      </w:r>
    </w:p>
    <w:p w:rsidR="00C508BE" w:rsidRDefault="00122E45">
      <w:pPr>
        <w:keepNext/>
        <w:pBdr>
          <w:left w:val="single" w:sz="24" w:space="6" w:color="52B69A"/>
        </w:pBdr>
        <w:ind w:left="170"/>
      </w:pPr>
      <w:r>
        <w:t>The rating rests on LiquidX's confirmed, deep coverage of receivables finance, supply chain finance, payables, and inventory finance options. Based on primary research, the company's support for doc</w:t>
      </w:r>
      <w:r>
        <w:t>umentary letters of credit can be estimated as mature and evolving toward native integration, based on its recent position that it is not currently in the letter of credit space today but is watching the market closely as its platform evolves.</w:t>
      </w:r>
    </w:p>
    <w:p w:rsidR="00C508BE" w:rsidRDefault="00122E45">
      <w:pPr>
        <w:keepNext/>
        <w:spacing w:after="40"/>
        <w:ind w:left="170"/>
      </w:pPr>
      <w:r>
        <w:rPr>
          <w:b/>
          <w:caps/>
          <w:color w:val="64748B"/>
          <w:sz w:val="15"/>
        </w:rPr>
        <w:t>Supporting p</w:t>
      </w:r>
      <w:r>
        <w:rPr>
          <w:b/>
          <w:caps/>
          <w:color w:val="64748B"/>
          <w:sz w:val="15"/>
        </w:rPr>
        <w:t>oints</w:t>
      </w:r>
    </w:p>
    <w:p w:rsidR="00C508BE" w:rsidRDefault="00122E45">
      <w:pPr>
        <w:pStyle w:val="ListBullet"/>
        <w:spacing w:after="60"/>
        <w:ind w:left="510"/>
      </w:pPr>
      <w:r>
        <w:t>The company reports that clients can transact across supply chain finance (SCF), accounts receivable (AR), payables, inventory finance, dynamic discounting, and trade credit insurance in one place via its unified software platform.</w:t>
      </w:r>
    </w:p>
    <w:p w:rsidR="00C508BE" w:rsidRDefault="00122E45">
      <w:pPr>
        <w:pStyle w:val="ListBullet"/>
        <w:spacing w:after="60"/>
        <w:ind w:left="510"/>
      </w:pPr>
      <w:r>
        <w:t>The company report</w:t>
      </w:r>
      <w:r>
        <w:t>s that its platform covers supplier-led financing and allows banks and asset managers to originate, distribute, and access trade credit insurance, but notes that traditional letters of credit (LCs) are distinct from its primary core product focus on supply</w:t>
      </w:r>
      <w:r>
        <w:t xml:space="preserve"> chain finance and working capital monetization.</w:t>
      </w:r>
    </w:p>
    <w:p w:rsidR="00C508BE" w:rsidRDefault="00122E45">
      <w:pPr>
        <w:keepNext/>
        <w:pBdr>
          <w:left w:val="single" w:sz="24" w:space="6" w:color="52B69A"/>
        </w:pBdr>
        <w:spacing w:before="120" w:after="60"/>
        <w:ind w:left="170"/>
      </w:pPr>
      <w:r>
        <w:rPr>
          <w:b/>
          <w:color w:val="0F172A"/>
          <w:sz w:val="20"/>
        </w:rPr>
        <w:t>Document Checking &amp; Compliance Automation — scored 86/100</w:t>
      </w:r>
    </w:p>
    <w:p w:rsidR="00C508BE" w:rsidRDefault="00122E45">
      <w:pPr>
        <w:keepNext/>
        <w:pBdr>
          <w:left w:val="single" w:sz="24" w:space="6" w:color="52B69A"/>
        </w:pBdr>
        <w:ind w:left="170"/>
      </w:pPr>
      <w:r>
        <w:t>We verified that the company's capabilities focus on digitizing invoices and automating middle- and back-office trade operations rather than dedicate</w:t>
      </w:r>
      <w:r>
        <w:t>d automated document examination against strict international rule sets like UCP600 or ISBP. Based on primary research, the company's compliance automation engine accuracy can be estimated as strong and error-minimizing, based on its automated verification</w:t>
      </w:r>
      <w:r>
        <w:t xml:space="preserve"> processes built to handle compliance workflows by reducing false hits and removing manual human errors.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digitization technology can parse trade finance documents such as invoices and remittances using optical</w:t>
      </w:r>
      <w:r>
        <w:t xml:space="preserve"> character recognition and machine learning to improve compliance screening and reduce risk.</w:t>
      </w:r>
    </w:p>
    <w:p w:rsidR="00C508BE" w:rsidRDefault="00122E45">
      <w:pPr>
        <w:pStyle w:val="ListBullet"/>
        <w:spacing w:after="60"/>
        <w:ind w:left="510"/>
      </w:pPr>
      <w:r>
        <w:t xml:space="preserve">The company reports that its platforms, including TradeHub and LiquidX Digitize, provide real-time compliance validation, facility compliance checks, and invoice </w:t>
      </w:r>
      <w:r>
        <w:t>validation.</w:t>
      </w:r>
    </w:p>
    <w:p w:rsidR="00C508BE" w:rsidRDefault="00122E45">
      <w:pPr>
        <w:keepNext/>
        <w:pBdr>
          <w:left w:val="single" w:sz="24" w:space="6" w:color="52B69A"/>
        </w:pBdr>
        <w:spacing w:before="120" w:after="60"/>
        <w:ind w:left="170"/>
      </w:pPr>
      <w:r>
        <w:rPr>
          <w:b/>
          <w:color w:val="0F172A"/>
          <w:sz w:val="20"/>
        </w:rPr>
        <w:t>Digital Trade Network &amp; Interoperability — scored 81/100</w:t>
      </w:r>
    </w:p>
    <w:p w:rsidR="00C508BE" w:rsidRDefault="00122E45">
      <w:pPr>
        <w:keepNext/>
        <w:pBdr>
          <w:left w:val="single" w:sz="24" w:space="6" w:color="52B69A"/>
        </w:pBdr>
        <w:ind w:left="170"/>
      </w:pPr>
      <w:r>
        <w:t>We verified that the company's capabilities rest on proprietary ingestion software and Hyperledger Fabric for converting unstructured corporate documentation into digital assets. Based on</w:t>
      </w:r>
      <w:r>
        <w:t xml:space="preserve"> primary research, the company's interoperability network connections can be estimated as robust and highly collaborative, based on its network of over 50 funders and its platform-agnostic middleware built to connect disparate bank systems and platforms.</w:t>
      </w:r>
    </w:p>
    <w:p w:rsidR="00C508BE" w:rsidRDefault="00122E45">
      <w:pPr>
        <w:keepNext/>
        <w:spacing w:after="40"/>
        <w:ind w:left="170"/>
      </w:pPr>
      <w:r>
        <w:rPr>
          <w:b/>
          <w:caps/>
          <w:color w:val="64748B"/>
          <w:sz w:val="15"/>
        </w:rPr>
        <w:t>S</w:t>
      </w:r>
      <w:r>
        <w:rPr>
          <w:b/>
          <w:caps/>
          <w:color w:val="64748B"/>
          <w:sz w:val="15"/>
        </w:rPr>
        <w:t>upporting points</w:t>
      </w:r>
    </w:p>
    <w:p w:rsidR="00C508BE" w:rsidRDefault="00122E45">
      <w:pPr>
        <w:pStyle w:val="ListBullet"/>
        <w:spacing w:after="60"/>
        <w:ind w:left="510"/>
      </w:pPr>
      <w:r>
        <w:t>The company reports offering its "Digitize" solution to ingest and process unstructured trade data from any format, enabling SMEs to issue digital bills of exchange without forcing counterparty onboarding onto a single closed network.</w:t>
      </w:r>
    </w:p>
    <w:p w:rsidR="00C508BE" w:rsidRDefault="00122E45">
      <w:pPr>
        <w:pStyle w:val="ListBullet"/>
        <w:spacing w:after="60"/>
        <w:ind w:left="510"/>
      </w:pPr>
      <w:r>
        <w:t xml:space="preserve">The </w:t>
      </w:r>
      <w:r>
        <w:t>company reports that its digitization technology leverages Distributed Ledger Technology (DLT) via Hyperledger Fabric to convert purchase orders, invoices, and insurance documents into smart contracts. Based on primary research, the company has not disclos</w:t>
      </w:r>
      <w:r>
        <w:t>ed further details.</w:t>
      </w:r>
    </w:p>
    <w:p w:rsidR="00C508BE" w:rsidRDefault="00122E45">
      <w:pPr>
        <w:keepNext/>
        <w:pBdr>
          <w:left w:val="single" w:sz="24" w:space="6" w:color="52B69A"/>
        </w:pBdr>
        <w:spacing w:before="120" w:after="60"/>
        <w:ind w:left="170"/>
      </w:pPr>
      <w:r>
        <w:rPr>
          <w:b/>
          <w:color w:val="0F172A"/>
          <w:sz w:val="20"/>
        </w:rPr>
        <w:t>Platform Architecture &amp; Scalability — scored 92/100</w:t>
      </w:r>
    </w:p>
    <w:p w:rsidR="00C508BE" w:rsidRDefault="00122E45">
      <w:pPr>
        <w:keepNext/>
        <w:pBdr>
          <w:left w:val="single" w:sz="24" w:space="6" w:color="52B69A"/>
        </w:pBdr>
        <w:ind w:left="170"/>
      </w:pPr>
      <w:r>
        <w:t>Our evaluation rests on the platform's demonstrated capacity to process high annual transaction volumes via a modular SaaS delivery model that utilizes API connectivity. Based on prima</w:t>
      </w:r>
      <w:r>
        <w:t>ry research, the company's cloud framework performance limits can be estimated as scalable and highly modular, based on its interconnected modular architecture design and automated engine built to process high volumes of unstructured trade documents.</w:t>
      </w:r>
    </w:p>
    <w:p w:rsidR="00C508BE" w:rsidRDefault="00122E45">
      <w:pPr>
        <w:keepNext/>
        <w:spacing w:after="40"/>
        <w:ind w:left="170"/>
      </w:pPr>
      <w:r>
        <w:rPr>
          <w:b/>
          <w:caps/>
          <w:color w:val="64748B"/>
          <w:sz w:val="15"/>
        </w:rPr>
        <w:t>Suppo</w:t>
      </w:r>
      <w:r>
        <w:rPr>
          <w:b/>
          <w:caps/>
          <w:color w:val="64748B"/>
          <w:sz w:val="15"/>
        </w:rPr>
        <w:t>rting points</w:t>
      </w:r>
    </w:p>
    <w:p w:rsidR="00C508BE" w:rsidRDefault="00122E45">
      <w:pPr>
        <w:pStyle w:val="ListBullet"/>
        <w:spacing w:after="60"/>
        <w:ind w:left="510"/>
      </w:pPr>
      <w:r>
        <w:t>The company reports that its modular platform has processed over $120 billion in trade finance transactions since 2016, with annual trade volumes reaching $27.2 billion in 2025 according to the LiquidX Growth Report.</w:t>
      </w:r>
    </w:p>
    <w:p w:rsidR="00C508BE" w:rsidRDefault="00122E45">
      <w:pPr>
        <w:pStyle w:val="ListBullet"/>
        <w:spacing w:after="60"/>
        <w:ind w:left="510"/>
      </w:pPr>
      <w:r>
        <w:t>The company reports that i</w:t>
      </w:r>
      <w:r>
        <w:t>ts trade finance solutions are delivered via a Software-as-a-Service model and support automated data connectivity through direct API integration according to Global Trade Review.</w:t>
      </w:r>
    </w:p>
    <w:p w:rsidR="00C508BE" w:rsidRDefault="00122E45">
      <w:pPr>
        <w:keepNext/>
        <w:pBdr>
          <w:left w:val="single" w:sz="24" w:space="6" w:color="52B69A"/>
        </w:pBdr>
        <w:spacing w:before="120" w:after="60"/>
        <w:ind w:left="170"/>
      </w:pPr>
      <w:r>
        <w:rPr>
          <w:b/>
          <w:color w:val="0F172A"/>
          <w:sz w:val="20"/>
        </w:rPr>
        <w:t>Innovation &amp; Roadmap — scored 91/100</w:t>
      </w:r>
    </w:p>
    <w:p w:rsidR="00C508BE" w:rsidRDefault="00122E45">
      <w:pPr>
        <w:keepNext/>
        <w:pBdr>
          <w:left w:val="single" w:sz="24" w:space="6" w:color="52B69A"/>
        </w:pBdr>
        <w:ind w:left="170"/>
      </w:pPr>
      <w:r>
        <w:t>The analysis rests on verified deployme</w:t>
      </w:r>
      <w:r>
        <w:t xml:space="preserve">nt of machine learning and generative AI within the provider's active reconciliation and document processing tools, alongside published product roadmap goals for its financial institution </w:t>
      </w:r>
      <w:r>
        <w:lastRenderedPageBreak/>
        <w:t>SaaS offering. Based on primary research, the company's patent filin</w:t>
      </w:r>
      <w:r>
        <w:t>gs and upcoming features can be estimated as active and expanding internationally, based on its recent European patent application for machine learning document intelligence technology alongside existing patent-pending systems.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w:t>
      </w:r>
      <w:r>
        <w:t>y reports it has incorporated machine learning and artificial intelligence capabilities within its InMatch automated reconciliation module and its end-to-end trade finance Digitization solution to parse documentation and extract trade data.</w:t>
      </w:r>
    </w:p>
    <w:p w:rsidR="00C508BE" w:rsidRDefault="00122E45">
      <w:pPr>
        <w:pStyle w:val="ListBullet"/>
        <w:spacing w:after="60"/>
        <w:ind w:left="510"/>
      </w:pPr>
      <w:r>
        <w:t>The company pub</w:t>
      </w:r>
      <w:r>
        <w:t>lished its software roadmap direction in June 2026 highlighting its evolution to a global trade finance SaaS solution for financial institutions, covering embedded working capital and risk management expansion within its TradeHub platform.</w:t>
      </w:r>
    </w:p>
    <w:p w:rsidR="00C508BE" w:rsidRDefault="00122E45">
      <w:pPr>
        <w:keepNext/>
        <w:pBdr>
          <w:bottom w:val="single" w:sz="6" w:space="3" w:color="E2E8F0"/>
        </w:pBdr>
        <w:spacing w:before="120" w:after="120"/>
      </w:pPr>
      <w:r>
        <w:rPr>
          <w:b/>
          <w:caps/>
          <w:color w:val="1A759F"/>
        </w:rPr>
        <w:t>Y — Business Cap</w:t>
      </w:r>
      <w:r>
        <w:rPr>
          <w:b/>
          <w:caps/>
          <w:color w:val="1A759F"/>
        </w:rPr>
        <w:t>ability</w:t>
      </w:r>
    </w:p>
    <w:p w:rsidR="00C508BE" w:rsidRDefault="00122E45">
      <w:pPr>
        <w:keepNext/>
        <w:pBdr>
          <w:left w:val="single" w:sz="24" w:space="6" w:color="52B69A"/>
        </w:pBdr>
        <w:spacing w:before="120" w:after="60"/>
        <w:ind w:left="170"/>
      </w:pPr>
      <w:r>
        <w:rPr>
          <w:b/>
          <w:color w:val="0F172A"/>
          <w:sz w:val="20"/>
        </w:rPr>
        <w:t>Named Bank &amp; Corporate Customers — scored 95/100</w:t>
      </w:r>
    </w:p>
    <w:p w:rsidR="00C508BE" w:rsidRDefault="00122E45">
      <w:pPr>
        <w:keepNext/>
        <w:pBdr>
          <w:left w:val="single" w:sz="24" w:space="6" w:color="52B69A"/>
        </w:pBdr>
        <w:ind w:left="170"/>
      </w:pPr>
      <w:r>
        <w:t>The rating rests on strong, multi-year public evidence of implementation and strategic collaborations with several major global and Tier 1 financial institutions, including Bank of China, Truist, Cré</w:t>
      </w:r>
      <w:r>
        <w:t>dit Agricole, U.S. Bank, and Huntington National Bank. Based on primary research, the company's importer and exporter client counts can be estimated as extensive across global markets, based on its network of over 90 financial institutions, corporations, a</w:t>
      </w:r>
      <w:r>
        <w:t>nd SaaS partners.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Bank of China Limited (London Branch) teamed with LiquidX to streamline and expand its accounts receivable discounting and supply chain financing programs.</w:t>
      </w:r>
    </w:p>
    <w:p w:rsidR="00C508BE" w:rsidRDefault="00122E45">
      <w:pPr>
        <w:pStyle w:val="ListBullet"/>
        <w:spacing w:after="60"/>
        <w:ind w:left="510"/>
      </w:pPr>
      <w:r>
        <w:t xml:space="preserve">Huntington National Bank selected LiquidX in November 2022 to </w:t>
      </w:r>
      <w:r>
        <w:t>provide an automated, end-to-end back-office solution to scale its trade finance infrastructure.</w:t>
      </w:r>
    </w:p>
    <w:p w:rsidR="00C508BE" w:rsidRDefault="00122E45">
      <w:pPr>
        <w:pStyle w:val="ListBullet"/>
        <w:spacing w:after="60"/>
        <w:ind w:left="510"/>
      </w:pPr>
      <w:r>
        <w:t>Truist Financial Corporation and Crédit Agricole Corporate and Investment Bank leveraged LiquidX's white-label technology and distribution capabilities, as con</w:t>
      </w:r>
      <w:r>
        <w:t>firmed in 2024 announcements.</w:t>
      </w:r>
    </w:p>
    <w:p w:rsidR="00C508BE" w:rsidRDefault="00122E45">
      <w:pPr>
        <w:pStyle w:val="ListBullet"/>
        <w:spacing w:after="60"/>
        <w:ind w:left="510"/>
      </w:pPr>
      <w:r>
        <w:t>U.S. Bank entered into a collaboration agreement with LiquidX in May 2022 to streamline supply-chain-finance friction and transactions between suppliers and buyers.</w:t>
      </w:r>
    </w:p>
    <w:p w:rsidR="00C508BE" w:rsidRDefault="00122E45">
      <w:pPr>
        <w:keepNext/>
        <w:pBdr>
          <w:left w:val="single" w:sz="24" w:space="6" w:color="52B69A"/>
        </w:pBdr>
        <w:spacing w:before="120" w:after="60"/>
        <w:ind w:left="170"/>
      </w:pPr>
      <w:r>
        <w:rPr>
          <w:b/>
          <w:color w:val="0F172A"/>
          <w:sz w:val="20"/>
        </w:rPr>
        <w:t>Revenue &amp; Growth — scored 97/100</w:t>
      </w:r>
    </w:p>
    <w:p w:rsidR="00C508BE" w:rsidRDefault="00122E45">
      <w:pPr>
        <w:keepNext/>
        <w:pBdr>
          <w:left w:val="single" w:sz="24" w:space="6" w:color="52B69A"/>
        </w:pBdr>
        <w:ind w:left="170"/>
      </w:pPr>
      <w:r>
        <w:t xml:space="preserve">The assessment is based on </w:t>
      </w:r>
      <w:r>
        <w:t>the company's publicly shared trade volume statistics and transaction milestones up through early 2026. Based on primary research, the company's trade software recurring revenue can be estimated as growing rapidly with strong performance, based on its reco</w:t>
      </w:r>
      <w:r>
        <w:t>rd 150% growth and multi-billion transaction expansions.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total annual trade volume reached $27.2 billion in 2025, up from $25.1 billion in 2024, representing an 8% year-over-year increase.</w:t>
      </w:r>
    </w:p>
    <w:p w:rsidR="00C508BE" w:rsidRDefault="00122E45">
      <w:pPr>
        <w:pStyle w:val="ListBullet"/>
        <w:spacing w:after="60"/>
        <w:ind w:left="510"/>
      </w:pPr>
      <w:r>
        <w:t xml:space="preserve">The company reports </w:t>
      </w:r>
      <w:r>
        <w:t>that it has processed over $134 billion in trade finance transactions for global and regional banks and asset managers across fiscal year 2025 and H1 2026.</w:t>
      </w:r>
    </w:p>
    <w:p w:rsidR="00C508BE" w:rsidRDefault="00122E45">
      <w:pPr>
        <w:keepNext/>
        <w:pBdr>
          <w:left w:val="single" w:sz="24" w:space="6" w:color="52B69A"/>
        </w:pBdr>
        <w:spacing w:before="120" w:after="60"/>
        <w:ind w:left="170"/>
      </w:pPr>
      <w:r>
        <w:rPr>
          <w:b/>
          <w:color w:val="0F172A"/>
          <w:sz w:val="20"/>
        </w:rPr>
        <w:t>Global Footprint &amp; Local Support — scored 87/100</w:t>
      </w:r>
    </w:p>
    <w:p w:rsidR="00C508BE" w:rsidRDefault="00122E45">
      <w:pPr>
        <w:keepNext/>
        <w:pBdr>
          <w:left w:val="single" w:sz="24" w:space="6" w:color="52B69A"/>
        </w:pBdr>
        <w:ind w:left="170"/>
      </w:pPr>
      <w:r>
        <w:t>We verified that the company retains its global hea</w:t>
      </w:r>
      <w:r>
        <w:t>dquarters in New York alongside a Boston technology hub and a London presence to cover its European and MENA operations, following the closure of its regional offices in London and Singapore during a 2022–2023 business pivot. Based on primary research, the</w:t>
      </w:r>
      <w:r>
        <w:t xml:space="preserve"> company's asia-pacific regional localized support can be estimated as established but expanding into emerging hubs, based on its physical presence in Singapore alongside New York, Boston, and London offices.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being hea</w:t>
      </w:r>
      <w:r>
        <w:t>dquartered in New York with additional technology and sales offices located in Boston and London to serve the UK, European, and MENA markets.</w:t>
      </w:r>
    </w:p>
    <w:p w:rsidR="00C508BE" w:rsidRDefault="00122E45">
      <w:pPr>
        <w:pStyle w:val="ListBullet"/>
        <w:spacing w:after="60"/>
        <w:ind w:left="510"/>
      </w:pPr>
      <w:r>
        <w:t>Following a strategic software pivot executed in 2022 and 2023, the company closed its previously established inte</w:t>
      </w:r>
      <w:r>
        <w:t>rnational offices in London and Singapore.</w:t>
      </w:r>
    </w:p>
    <w:p w:rsidR="00C508BE" w:rsidRDefault="00122E45">
      <w:pPr>
        <w:keepNext/>
        <w:pBdr>
          <w:left w:val="single" w:sz="24" w:space="6" w:color="52B69A"/>
        </w:pBdr>
        <w:spacing w:before="120" w:after="60"/>
        <w:ind w:left="170"/>
      </w:pPr>
      <w:r>
        <w:rPr>
          <w:b/>
          <w:color w:val="0F172A"/>
          <w:sz w:val="20"/>
        </w:rPr>
        <w:t>Funding &amp; Ownership — scored 93/100</w:t>
      </w:r>
    </w:p>
    <w:p w:rsidR="00C508BE" w:rsidRDefault="00122E45">
      <w:pPr>
        <w:keepNext/>
        <w:pBdr>
          <w:left w:val="single" w:sz="24" w:space="6" w:color="52B69A"/>
        </w:pBdr>
        <w:ind w:left="170"/>
      </w:pPr>
      <w:r>
        <w:t xml:space="preserve">The rating rests on the company's stable financial backing from prominent financial industry entities, specifically its long-term strategic anchor investor Broadridge Financial </w:t>
      </w:r>
      <w:r>
        <w:t>Solutions and corporate investment from Citi. Based on primary research, the company's subsequent financing period valuations can be estimated as substantial and backed by industry giants, based on its strategic investment from Citi led by primary investor</w:t>
      </w:r>
      <w:r>
        <w:t xml:space="preserve"> Broadridge Financial Solutions.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Broadridge Financial Solutions, Inc. entered into a strategic investment and multi-year alliance with LiquidX, Inc. in March 2016, and expanded its relationship in November 2020 to become the company's lar</w:t>
      </w:r>
      <w:r>
        <w:t>gest strategic investor.</w:t>
      </w:r>
    </w:p>
    <w:p w:rsidR="00C508BE" w:rsidRDefault="00122E45">
      <w:pPr>
        <w:pStyle w:val="ListBullet"/>
        <w:spacing w:after="60"/>
        <w:ind w:left="510"/>
      </w:pPr>
      <w:r>
        <w:lastRenderedPageBreak/>
        <w:t>LiquidX, Inc. announced a strategic investment from Citi in June 2022, in a funding round that was led by its largest strategic investor, Broadridge Financial Solutions, Inc.</w:t>
      </w:r>
    </w:p>
    <w:p w:rsidR="00C508BE" w:rsidRDefault="00122E45">
      <w:pPr>
        <w:keepNext/>
        <w:pBdr>
          <w:left w:val="single" w:sz="24" w:space="6" w:color="52B69A"/>
        </w:pBdr>
        <w:spacing w:before="120" w:after="60"/>
        <w:ind w:left="170"/>
      </w:pPr>
      <w:r>
        <w:rPr>
          <w:b/>
          <w:color w:val="0F172A"/>
          <w:sz w:val="20"/>
        </w:rPr>
        <w:t>Market Share &amp; Installed Base — scored 87/100</w:t>
      </w:r>
    </w:p>
    <w:p w:rsidR="00C508BE" w:rsidRDefault="00122E45">
      <w:pPr>
        <w:keepNext/>
        <w:pBdr>
          <w:left w:val="single" w:sz="24" w:space="6" w:color="52B69A"/>
        </w:pBdr>
        <w:ind w:left="170"/>
      </w:pPr>
      <w:r>
        <w:t>The evalua</w:t>
      </w:r>
      <w:r>
        <w:t>tion is based on the company's self-reported data detailing its total trade finance transaction volumes and a network count of over 100 participating funders. Based on primary research, the company's installations and market share can be estimated as stron</w:t>
      </w:r>
      <w:r>
        <w:t>g, leading single-source network scale, based on its single-source platform status processing over $134 billion in transactions.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processing over $134 billion in trade finance transactions since inception, with total an</w:t>
      </w:r>
      <w:r>
        <w:t>nual trade volumes reaching $27.2 billion in 2025 (up from $25.1 billion in 2024) and $14.3 billion processed in the first half of 2026.</w:t>
      </w:r>
    </w:p>
    <w:p w:rsidR="00C508BE" w:rsidRDefault="00122E45">
      <w:pPr>
        <w:pStyle w:val="ListBullet"/>
        <w:spacing w:after="60"/>
        <w:ind w:left="510"/>
      </w:pPr>
      <w:r>
        <w:t>The company reports its digital network connects more than 100 banks and asset managers, featuring clients such as U.S.</w:t>
      </w:r>
      <w:r>
        <w:t xml:space="preserve"> Bank, NORD/LB, Crédit Agricole Group, and Truist.</w:t>
      </w:r>
    </w:p>
    <w:p w:rsidR="00C508BE" w:rsidRDefault="00122E45">
      <w:pPr>
        <w:pStyle w:val="Heading2"/>
        <w:pageBreakBefore/>
        <w:shd w:val="clear" w:color="auto" w:fill="002857"/>
        <w:spacing w:after="0"/>
      </w:pPr>
      <w:bookmarkStart w:id="12" w:name="_Toc242420542"/>
      <w:r>
        <w:lastRenderedPageBreak/>
        <w:t>C2FO</w:t>
      </w:r>
      <w:bookmarkEnd w:id="12"/>
    </w:p>
    <w:p w:rsidR="00C508BE" w:rsidRDefault="00122E45">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93</w:t>
      </w:r>
      <w:r>
        <w:rPr>
          <w:color w:val="CBD5E1"/>
          <w:sz w:val="18"/>
        </w:rPr>
        <w:t xml:space="preserve">     Overall </w:t>
      </w:r>
      <w:r>
        <w:rPr>
          <w:b/>
          <w:color w:val="FFFFFF"/>
          <w:sz w:val="20"/>
        </w:rPr>
        <w:t>88</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88/100</w:t>
      </w:r>
    </w:p>
    <w:p w:rsidR="00C508BE" w:rsidRDefault="00122E45">
      <w:pPr>
        <w:keepNext/>
        <w:pBdr>
          <w:left w:val="single" w:sz="24" w:space="6" w:color="52B69A"/>
        </w:pBdr>
        <w:ind w:left="170"/>
      </w:pPr>
      <w:r>
        <w:t xml:space="preserve">The company's rating rests on verified, deep multi-currency capabilities and a </w:t>
      </w:r>
      <w:r>
        <w:t>strong digital marketplace presence for open-account receivables and supply chain finance. Based on primary research, the company's documentary trade finance capabilities can be estimated as limited, based on its focus on early invoice payment discounting,</w:t>
      </w:r>
      <w:r>
        <w:t xml:space="preserve"> dynamic supplier finance, and accounts receivable matching.</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its on-demand working capital exchange platform serves over 1.75 million in-network businesses globally, facilitating transaction capabilities across 14 lang</w:t>
      </w:r>
      <w:r>
        <w:t>uages and 48 currencies.</w:t>
      </w:r>
    </w:p>
    <w:p w:rsidR="00C508BE" w:rsidRDefault="00122E45">
      <w:pPr>
        <w:pStyle w:val="ListBullet"/>
        <w:spacing w:after="60"/>
        <w:ind w:left="510"/>
      </w:pPr>
      <w:r>
        <w:t>The company reports a product suite optimized for open-account environments, including dynamic discounting (Early Pay), supply chain finance (Dynamic Supplier Finance), a Trade Receivables Discounting System (TReDS) national platfo</w:t>
      </w:r>
      <w:r>
        <w:t>rm in India, and Lending Connections for factoring and purchase order financing.</w:t>
      </w:r>
    </w:p>
    <w:p w:rsidR="00C508BE" w:rsidRDefault="00122E45">
      <w:pPr>
        <w:keepNext/>
        <w:pBdr>
          <w:left w:val="single" w:sz="24" w:space="6" w:color="52B69A"/>
        </w:pBdr>
        <w:spacing w:before="120" w:after="60"/>
        <w:ind w:left="170"/>
      </w:pPr>
      <w:r>
        <w:rPr>
          <w:b/>
          <w:color w:val="0F172A"/>
          <w:sz w:val="20"/>
        </w:rPr>
        <w:t>Document Checking &amp; Compliance Automation — scored 68/100</w:t>
      </w:r>
    </w:p>
    <w:p w:rsidR="00C508BE" w:rsidRDefault="00122E45">
      <w:pPr>
        <w:keepNext/>
        <w:pBdr>
          <w:left w:val="single" w:sz="24" w:space="6" w:color="52B69A"/>
        </w:pBdr>
        <w:ind w:left="170"/>
      </w:pPr>
      <w:r>
        <w:t xml:space="preserve">Based on primary research, the company's compliance and rule checking capabilities can be estimated as basic, based </w:t>
      </w:r>
      <w:r>
        <w:t>on its transaction model facilitating price discovery and invoice acceleration without traditional lending documentation.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Digital Trade Network &amp; Interoperability — scored 73/100</w:t>
      </w:r>
    </w:p>
    <w:p w:rsidR="00C508BE" w:rsidRDefault="00122E45">
      <w:pPr>
        <w:keepNext/>
        <w:pBdr>
          <w:left w:val="single" w:sz="24" w:space="6" w:color="52B69A"/>
        </w:pBdr>
        <w:ind w:left="170"/>
      </w:pPr>
      <w:r>
        <w:t>We verified that the company's capabilities r</w:t>
      </w:r>
      <w:r>
        <w:t>est entirely on its proprietary working capital marketplace and specialized local integrations such as India's TReDS network. Based on primary research, the company's digital trade network connectivity can be estimated as minimal, based on its direct conne</w:t>
      </w:r>
      <w:r>
        <w:t>ctivity to global cloud providers and native electronic platforms like the indian trade receivables discounting system.</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C2FO operates a proprietary web platform focusing on domestic on-demand working capital, early payment programs, and d</w:t>
      </w:r>
      <w:r>
        <w:t>ynamic discounting matching buyers and suppliers directly.</w:t>
      </w:r>
    </w:p>
    <w:p w:rsidR="00C508BE" w:rsidRDefault="00122E45">
      <w:pPr>
        <w:pStyle w:val="ListBullet"/>
        <w:spacing w:after="60"/>
        <w:ind w:left="510"/>
      </w:pPr>
      <w:r>
        <w:t>The company's subsidiary, C2FO Factoring Solutions Private Ltd, connected its local C2treds platform to India's national Trade Receivables Discounting System (TReDS) following regulatory approval i</w:t>
      </w:r>
      <w:r>
        <w:t>n March 2024.</w:t>
      </w:r>
    </w:p>
    <w:p w:rsidR="00C508BE" w:rsidRDefault="00122E45">
      <w:pPr>
        <w:keepNext/>
        <w:pBdr>
          <w:left w:val="single" w:sz="24" w:space="6" w:color="52B69A"/>
        </w:pBdr>
        <w:spacing w:before="120" w:after="60"/>
        <w:ind w:left="170"/>
      </w:pPr>
      <w:r>
        <w:rPr>
          <w:b/>
          <w:color w:val="0F172A"/>
          <w:sz w:val="20"/>
        </w:rPr>
        <w:t>Platform Architecture &amp; Scalability — scored 100/100</w:t>
      </w:r>
    </w:p>
    <w:p w:rsidR="00C508BE" w:rsidRDefault="00122E45">
      <w:pPr>
        <w:keepNext/>
        <w:pBdr>
          <w:left w:val="single" w:sz="24" w:space="6" w:color="52B69A"/>
        </w:pBdr>
        <w:ind w:left="170"/>
      </w:pPr>
      <w:r>
        <w:t xml:space="preserve">The rating rests on the company's verified high transaction throughput handling tens of millions of invoices daily via its cloud-based architecture, alongside flexible ERP API integration </w:t>
      </w:r>
      <w:r>
        <w:t>options. Based on primary research, the company's technical and architecture specifications can be estimated as robust, based on its containerized cloud architecture across multiple regions utilizing automated status boards and public availability trackers</w:t>
      </w:r>
      <w:r>
        <w:t>.</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cloud-based working capital platform matches daily accounts payable and accounts receivable in seconds, processing over 40 million daily invoices and matching more than $110 billion of daily transactional vo</w:t>
      </w:r>
      <w:r>
        <w:t>lume.</w:t>
      </w:r>
    </w:p>
    <w:p w:rsidR="00C508BE" w:rsidRDefault="00122E45">
      <w:pPr>
        <w:pStyle w:val="ListBullet"/>
        <w:spacing w:after="60"/>
        <w:ind w:left="510"/>
      </w:pPr>
      <w:r>
        <w:t>The company reports that its system architecture supports automated integration options via Enterprise Resource Planning (ERP) API integrations, alongside non-API file transfers using its QuickConnect application or standard baseline codes.</w:t>
      </w:r>
    </w:p>
    <w:p w:rsidR="00C508BE" w:rsidRDefault="00122E45">
      <w:pPr>
        <w:keepNext/>
        <w:pBdr>
          <w:left w:val="single" w:sz="24" w:space="6" w:color="52B69A"/>
        </w:pBdr>
        <w:spacing w:before="120" w:after="60"/>
        <w:ind w:left="170"/>
      </w:pPr>
      <w:r>
        <w:rPr>
          <w:b/>
          <w:color w:val="0F172A"/>
          <w:sz w:val="20"/>
        </w:rPr>
        <w:t>Innovatio</w:t>
      </w:r>
      <w:r>
        <w:rPr>
          <w:b/>
          <w:color w:val="0F172A"/>
          <w:sz w:val="20"/>
        </w:rPr>
        <w:t>n &amp; Roadmap — scored 91/100</w:t>
      </w:r>
    </w:p>
    <w:p w:rsidR="00C508BE" w:rsidRDefault="00122E45">
      <w:pPr>
        <w:keepNext/>
        <w:pBdr>
          <w:left w:val="single" w:sz="24" w:space="6" w:color="52B69A"/>
        </w:pBdr>
        <w:ind w:left="170"/>
      </w:pPr>
      <w:r>
        <w:t>The assessment rests on the company's verified deployment of machine learning capabilities for working capital optimization and its targeted partnership to integrate third-party artificial intelligence for automated invoice proc</w:t>
      </w:r>
      <w:r>
        <w:t>essing. Based on primary research, the company's emerging trade technology roadmap can be estimated as moderate, based on its reliance on its patented name your rate marketplace algorithms alongside multi-buyer and multi-supplier network process innovation</w:t>
      </w:r>
      <w:r>
        <w:t>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announced a strategic partnership with Vic.ai in August 2022 to deliver an AI-driven invoice acceleration solution that automates invoice processing and integrates accelerated payments to improve the invoice-to-cash cycle.</w:t>
      </w:r>
    </w:p>
    <w:p w:rsidR="00C508BE" w:rsidRDefault="00122E45">
      <w:pPr>
        <w:pStyle w:val="ListBullet"/>
        <w:spacing w:after="60"/>
        <w:ind w:left="510"/>
      </w:pPr>
      <w:r>
        <w:lastRenderedPageBreak/>
        <w:t>The company reports utilizing its own internal data science teams to manage and analyze data from internal and external sources to support decision-making, such as predicting appropriate discount rates for suppliers on its dynamic discounting platform.</w:t>
      </w:r>
    </w:p>
    <w:p w:rsidR="00C508BE" w:rsidRDefault="00122E45">
      <w:pPr>
        <w:keepNext/>
        <w:pBdr>
          <w:bottom w:val="single" w:sz="6" w:space="3" w:color="E2E8F0"/>
        </w:pBdr>
        <w:spacing w:before="120" w:after="120"/>
      </w:pPr>
      <w:r>
        <w:rPr>
          <w:b/>
          <w:caps/>
          <w:color w:val="1A759F"/>
        </w:rPr>
        <w:t>Y —</w:t>
      </w:r>
      <w:r>
        <w:rPr>
          <w:b/>
          <w:caps/>
          <w:color w:val="1A759F"/>
        </w:rPr>
        <w:t xml:space="preserve"> Business Capability</w:t>
      </w:r>
    </w:p>
    <w:p w:rsidR="00C508BE" w:rsidRDefault="00122E45">
      <w:pPr>
        <w:keepNext/>
        <w:pBdr>
          <w:left w:val="single" w:sz="24" w:space="6" w:color="52B69A"/>
        </w:pBdr>
        <w:spacing w:before="120" w:after="60"/>
        <w:ind w:left="170"/>
      </w:pPr>
      <w:r>
        <w:rPr>
          <w:b/>
          <w:color w:val="0F172A"/>
          <w:sz w:val="20"/>
        </w:rPr>
        <w:t>Named Bank &amp; Corporate Customers — scored 93/100</w:t>
      </w:r>
    </w:p>
    <w:p w:rsidR="00C508BE" w:rsidRDefault="00122E45">
      <w:pPr>
        <w:keepNext/>
        <w:pBdr>
          <w:left w:val="single" w:sz="24" w:space="6" w:color="52B69A"/>
        </w:pBdr>
        <w:ind w:left="170"/>
      </w:pPr>
      <w:r>
        <w:t>The assessment rests on the company's clear, public disclosure of tier-one global enterprise buyers and major regional banking institutions utilizing its early payment and marketplace pl</w:t>
      </w:r>
      <w:r>
        <w:t>atform. Based on primary research, the company's customer transaction breakdown can be estimated as substantial and diversified across a global footprint, based on its over 275,000 business customers and more than $500 billion in total business financing d</w:t>
      </w:r>
      <w:r>
        <w:t>elivered since inception.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serving major corporate enterprise buyers on its working capital platform, including Costco, REI, ThermoFisher, Philips, Walgreens, Mondelez, Macy's, Sysco, Home Depot, Ulta, Nordstrom, Giant </w:t>
      </w:r>
      <w:r>
        <w:t>Eagle, and HPE.</w:t>
      </w:r>
    </w:p>
    <w:p w:rsidR="00C508BE" w:rsidRDefault="00122E45">
      <w:pPr>
        <w:pStyle w:val="ListBullet"/>
        <w:spacing w:after="60"/>
        <w:ind w:left="510"/>
      </w:pPr>
      <w:r>
        <w:t>The company launched its TReDS platform in India with State Bank of India and Dabur India as the first participants, and later entered into agreements with Central Bank of India and Union Bank of India.</w:t>
      </w:r>
    </w:p>
    <w:p w:rsidR="00C508BE" w:rsidRDefault="00122E45">
      <w:pPr>
        <w:keepNext/>
        <w:pBdr>
          <w:left w:val="single" w:sz="24" w:space="6" w:color="52B69A"/>
        </w:pBdr>
        <w:spacing w:before="120" w:after="60"/>
        <w:ind w:left="170"/>
      </w:pPr>
      <w:r>
        <w:rPr>
          <w:b/>
          <w:color w:val="0F172A"/>
          <w:sz w:val="20"/>
        </w:rPr>
        <w:t>Revenue &amp; Growth — scored 95/100</w:t>
      </w:r>
    </w:p>
    <w:p w:rsidR="00C508BE" w:rsidRDefault="00122E45">
      <w:pPr>
        <w:keepNext/>
        <w:pBdr>
          <w:left w:val="single" w:sz="24" w:space="6" w:color="52B69A"/>
        </w:pBdr>
        <w:ind w:left="170"/>
      </w:pPr>
      <w:r>
        <w:t xml:space="preserve">The </w:t>
      </w:r>
      <w:r>
        <w:t>assessment rests on the company's self-reported platform milestone of half a trillion dollars in cumulative funding and historic transaction volume growth. Based on primary research, the company's annual revenue and growth can be estimated as strong and ex</w:t>
      </w:r>
      <w:r>
        <w:t>panding steadily in line with transaction volumes, based on its milestone of over $500 billion in cumulative business financing.</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 surpassed $500 billion in cumulative working capital funding globally as of March</w:t>
      </w:r>
      <w:r>
        <w:t xml:space="preserve"> 2026.</w:t>
      </w:r>
    </w:p>
    <w:p w:rsidR="00C508BE" w:rsidRDefault="00122E45">
      <w:pPr>
        <w:pStyle w:val="ListBullet"/>
        <w:spacing w:after="60"/>
        <w:ind w:left="510"/>
      </w:pPr>
      <w:r>
        <w:t>The company reports that it delivered a record-breaking $78 billion in funding to businesses worldwide in 2022, marking a 42% increase over its 2021 performance.</w:t>
      </w:r>
    </w:p>
    <w:p w:rsidR="00C508BE" w:rsidRDefault="00122E45">
      <w:pPr>
        <w:keepNext/>
        <w:pBdr>
          <w:left w:val="single" w:sz="24" w:space="6" w:color="52B69A"/>
        </w:pBdr>
        <w:spacing w:before="120" w:after="60"/>
        <w:ind w:left="170"/>
      </w:pPr>
      <w:r>
        <w:rPr>
          <w:b/>
          <w:color w:val="0F172A"/>
          <w:sz w:val="20"/>
        </w:rPr>
        <w:t>Global Footprint &amp; Local Support — scored 98/100</w:t>
      </w:r>
    </w:p>
    <w:p w:rsidR="00C508BE" w:rsidRDefault="00122E45">
      <w:pPr>
        <w:keepNext/>
        <w:pBdr>
          <w:left w:val="single" w:sz="24" w:space="6" w:color="52B69A"/>
        </w:pBdr>
        <w:ind w:left="170"/>
      </w:pPr>
      <w:r>
        <w:t xml:space="preserve">The rating rests on the company's </w:t>
      </w:r>
      <w:r>
        <w:t>established, multi-region physical presence and customer support network that spans key global trade hubs and accommodates dozens of local languages and currencies. Based on primary research, the company's implementation resource distribution can be estima</w:t>
      </w:r>
      <w:r>
        <w:t>ted as extensive across key global trade hubs, based on its corporate headquarters in Leawood and operations centers in Europe, China, India, and Australia.</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operating a global platform serving customers across 160 to 1</w:t>
      </w:r>
      <w:r>
        <w:t>80 countries, providing user support in up to 30 languages and offering early payment options in 43 to 60 currencies.</w:t>
      </w:r>
    </w:p>
    <w:p w:rsidR="00C508BE" w:rsidRDefault="00122E45">
      <w:pPr>
        <w:pStyle w:val="ListBullet"/>
        <w:spacing w:after="60"/>
        <w:ind w:left="510"/>
      </w:pPr>
      <w:r>
        <w:t>The company reports maintaining localized operation centers and physical offices across the United States, Europe, China, India, and Austr</w:t>
      </w:r>
      <w:r>
        <w:t>alia, including major trade and business hubs such as London, Mumbai, Hong Kong, Sydney, and Beijing.</w:t>
      </w:r>
    </w:p>
    <w:p w:rsidR="00C508BE" w:rsidRDefault="00122E45">
      <w:pPr>
        <w:keepNext/>
        <w:pBdr>
          <w:left w:val="single" w:sz="24" w:space="6" w:color="52B69A"/>
        </w:pBdr>
        <w:spacing w:before="120" w:after="60"/>
        <w:ind w:left="170"/>
      </w:pPr>
      <w:r>
        <w:rPr>
          <w:b/>
          <w:color w:val="0F172A"/>
          <w:sz w:val="20"/>
        </w:rPr>
        <w:t>Funding &amp; Ownership — scored 93/100</w:t>
      </w:r>
    </w:p>
    <w:p w:rsidR="00C508BE" w:rsidRDefault="00122E45">
      <w:pPr>
        <w:keepNext/>
        <w:pBdr>
          <w:left w:val="single" w:sz="24" w:space="6" w:color="52B69A"/>
        </w:pBdr>
        <w:ind w:left="170"/>
      </w:pPr>
      <w:r>
        <w:t>We verified that C2FO has strong institutional backing and recent strategic investments from high-quality global entit</w:t>
      </w:r>
      <w:r>
        <w:t>ies like the International Finance Corporation and Third Point Ventures. Based on primary research, the company has not disclosed its post-acquisition capitalization details or financial metrics following the July 2026 acquisition of its India unit by Mynd</w:t>
      </w:r>
      <w:r>
        <w:t xml:space="preserve"> Fintech.</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the completion of a $30 million funding round in April 2025 led by the International Finance Corporation, a member of the World Bank Group, alongside existing shareholders to accelerate platform expansion in </w:t>
      </w:r>
      <w:r>
        <w:t>emerging markets.</w:t>
      </w:r>
    </w:p>
    <w:p w:rsidR="00C508BE" w:rsidRDefault="00122E45">
      <w:pPr>
        <w:pStyle w:val="ListBullet"/>
        <w:spacing w:after="60"/>
        <w:ind w:left="510"/>
      </w:pPr>
      <w:r>
        <w:t>The company completed a $140 million fundraising round in February 2022 led by Third Point Ventures, with participation from Vista Credit Partners and Mubadala Capital.</w:t>
      </w:r>
    </w:p>
    <w:p w:rsidR="00C508BE" w:rsidRDefault="00122E45">
      <w:pPr>
        <w:keepNext/>
        <w:pBdr>
          <w:left w:val="single" w:sz="24" w:space="6" w:color="52B69A"/>
        </w:pBdr>
        <w:spacing w:before="120" w:after="60"/>
        <w:ind w:left="170"/>
      </w:pPr>
      <w:r>
        <w:rPr>
          <w:b/>
          <w:color w:val="0F172A"/>
          <w:sz w:val="20"/>
        </w:rPr>
        <w:lastRenderedPageBreak/>
        <w:t>Market Share &amp; Installed Base — scored 87/100</w:t>
      </w:r>
    </w:p>
    <w:p w:rsidR="00C508BE" w:rsidRDefault="00122E45">
      <w:pPr>
        <w:keepNext/>
        <w:pBdr>
          <w:left w:val="single" w:sz="24" w:space="6" w:color="52B69A"/>
        </w:pBdr>
        <w:ind w:left="170"/>
      </w:pPr>
      <w:r>
        <w:t>The rating rests on the</w:t>
      </w:r>
      <w:r>
        <w:t xml:space="preserve"> large cumulative transaction volume and enterprise supplier network metrics we evaluated from the company's announcements. Based on primary research, the company's bank infrastructure market share can be estimated as leading among independent digital work</w:t>
      </w:r>
      <w:r>
        <w:t>ing capital networks, based on its global platform coverage across 180 countries and corporate clients like Costco, Walmart, and Amazon.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 has surpassed $500 billion in cumulative working capital funding globally, ser</w:t>
      </w:r>
      <w:r>
        <w:t>ving over 1 million businesses across more than 180 countries and territories.</w:t>
      </w:r>
    </w:p>
    <w:p w:rsidR="00C508BE" w:rsidRDefault="00122E45">
      <w:pPr>
        <w:pStyle w:val="ListBullet"/>
        <w:spacing w:after="60"/>
        <w:ind w:left="510"/>
      </w:pPr>
      <w:r>
        <w:t>The company reports that its platform has facilitated early payments for the supply chains of over 200 global enterprise clients, including 25 of the Fortune 100 companies.</w:t>
      </w:r>
    </w:p>
    <w:p w:rsidR="00C508BE" w:rsidRDefault="00122E45">
      <w:pPr>
        <w:pStyle w:val="Heading2"/>
        <w:pageBreakBefore/>
        <w:shd w:val="clear" w:color="auto" w:fill="002857"/>
        <w:spacing w:after="0"/>
      </w:pPr>
      <w:bookmarkStart w:id="13" w:name="_Toc242420543"/>
      <w:r>
        <w:lastRenderedPageBreak/>
        <w:t>OGYD</w:t>
      </w:r>
      <w:r>
        <w:t>ocs Inc.</w:t>
      </w:r>
      <w:bookmarkEnd w:id="13"/>
    </w:p>
    <w:p w:rsidR="00C508BE" w:rsidRDefault="00122E45">
      <w:pPr>
        <w:shd w:val="clear" w:color="auto" w:fill="002857"/>
        <w:spacing w:after="200"/>
      </w:pPr>
      <w:r>
        <w:rPr>
          <w:color w:val="CBD5E1"/>
          <w:sz w:val="18"/>
        </w:rPr>
        <w:t xml:space="preserve">Wave BL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85</w:t>
      </w:r>
      <w:r>
        <w:rPr>
          <w:color w:val="CBD5E1"/>
          <w:sz w:val="18"/>
        </w:rPr>
        <w:t xml:space="preserve">     Overall </w:t>
      </w:r>
      <w:r>
        <w:rPr>
          <w:b/>
          <w:color w:val="FFFFFF"/>
          <w:sz w:val="20"/>
        </w:rPr>
        <w:t>86</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78/100</w:t>
      </w:r>
    </w:p>
    <w:p w:rsidR="00C508BE" w:rsidRDefault="00122E45">
      <w:pPr>
        <w:keepNext/>
        <w:pBdr>
          <w:left w:val="single" w:sz="24" w:space="6" w:color="52B69A"/>
        </w:pBdr>
        <w:ind w:left="170"/>
      </w:pPr>
      <w:r>
        <w:t xml:space="preserve">We verified that the company's capabilities rest on serving as a digital documentation network that transmits </w:t>
      </w:r>
      <w:r>
        <w:t xml:space="preserve">structured presentations for letters of credit and collection transactions, rather than acting as a standalone software platform that natively processes or configures multi-currency core financing instruments. Based on primary research, the company's core </w:t>
      </w:r>
      <w:r>
        <w:t>financing tools software support can be estimated as strong, in line with leading vendors, based on its partnerships with Barclays, Lloyds Bank, and International Chamber of Commerce events.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OGYDocs Inc. (operating as WaveBL) provides a b</w:t>
      </w:r>
      <w:r>
        <w:t>lockchain-based digital courier network primarily focused on the secure, electronic transfer of trade documents such as electronic bills of lading (eBLs).</w:t>
      </w:r>
    </w:p>
    <w:p w:rsidR="00C508BE" w:rsidRDefault="00122E45">
      <w:pPr>
        <w:pStyle w:val="ListBullet"/>
        <w:spacing w:after="60"/>
        <w:ind w:left="510"/>
      </w:pPr>
      <w:r>
        <w:t>The company reports its platform enables structured bank presentations for letters of credit and coll</w:t>
      </w:r>
      <w:r>
        <w:t>ection transactions via network integrations with partners like TradeWaltz, and supported a non-bank trade finance transaction with Capital4Trade using its eBL with decentralized finance (DeFi) liquidity.</w:t>
      </w:r>
    </w:p>
    <w:p w:rsidR="00C508BE" w:rsidRDefault="00122E45">
      <w:pPr>
        <w:keepNext/>
        <w:pBdr>
          <w:left w:val="single" w:sz="24" w:space="6" w:color="52B69A"/>
        </w:pBdr>
        <w:spacing w:before="120" w:after="60"/>
        <w:ind w:left="170"/>
      </w:pPr>
      <w:r>
        <w:rPr>
          <w:b/>
          <w:color w:val="0F172A"/>
          <w:sz w:val="20"/>
        </w:rPr>
        <w:t xml:space="preserve">Document Checking &amp; Compliance Automation — scored </w:t>
      </w:r>
      <w:r>
        <w:rPr>
          <w:b/>
          <w:color w:val="0F172A"/>
          <w:sz w:val="20"/>
        </w:rPr>
        <w:t>66/100</w:t>
      </w:r>
    </w:p>
    <w:p w:rsidR="00C508BE" w:rsidRDefault="00122E45">
      <w:pPr>
        <w:keepNext/>
        <w:pBdr>
          <w:left w:val="single" w:sz="24" w:space="6" w:color="52B69A"/>
        </w:pBdr>
        <w:ind w:left="170"/>
      </w:pPr>
      <w:r>
        <w:t>We verified that the company, primarily operating through its WaveBL network, focuses strictly on the secure, decentralized transfer and electronic issuance of bills of lading and related title documents rather than document checking or compliance c</w:t>
      </w:r>
      <w:r>
        <w:t>hecking mechanisms. Based on primary research, the company's automated document validation and compliance screening metrics can be estimated as robust and compliant with universal standards, based on its platform's structural alignment with DCSA and FIT Al</w:t>
      </w:r>
      <w:r>
        <w:t>liance guidelines alongside International Group of P&amp;I Clubs approval.</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Digital Trade Network &amp; Interoperability — scored 100/100</w:t>
      </w:r>
    </w:p>
    <w:p w:rsidR="00C508BE" w:rsidRDefault="00122E45">
      <w:pPr>
        <w:keepNext/>
        <w:pBdr>
          <w:left w:val="single" w:sz="24" w:space="6" w:color="52B69A"/>
        </w:pBdr>
        <w:ind w:left="170"/>
      </w:pPr>
      <w:r>
        <w:t>We verified that the company maintains third-party approved digital interoperability through st</w:t>
      </w:r>
      <w:r>
        <w:t xml:space="preserve">andard alignments and live technical connectivity frameworks with global banking networks. Based on primary research, the company's live commercial transaction volume or value can be estimated as high and scaling rapidly, based on its role as the provider </w:t>
      </w:r>
      <w:r>
        <w:t>powering ZIM's target of total electronic bills of lading adoption across prominent shipping routes.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OGYDocs Inc. (operating its WaveBL platform) implemented the Digital Container Shipping Association (DCSA) Standard Annex for eBL Platfor</w:t>
      </w:r>
      <w:r>
        <w:t>m Interoperability v.2 in June 2026, enabling its blockchain ecosystem to exchange electronic bills of lading multilaterally across other approved systems like CargoX, edoxOnline, TradeGo, and eTEU.</w:t>
      </w:r>
    </w:p>
    <w:p w:rsidR="00C508BE" w:rsidRDefault="00122E45">
      <w:pPr>
        <w:pStyle w:val="ListBullet"/>
        <w:spacing w:after="60"/>
        <w:ind w:left="510"/>
      </w:pPr>
      <w:r>
        <w:t>The company completed a proof of value network connectivi</w:t>
      </w:r>
      <w:r>
        <w:t>ty project with Swift and five global banking institutions in late 2024, demonstrating secure transfers of structured bank presentations and electronic bills of lading through Swift's FileAct file transfer service.</w:t>
      </w:r>
    </w:p>
    <w:p w:rsidR="00C508BE" w:rsidRDefault="00122E45">
      <w:pPr>
        <w:keepNext/>
        <w:pBdr>
          <w:left w:val="single" w:sz="24" w:space="6" w:color="52B69A"/>
        </w:pBdr>
        <w:spacing w:before="120" w:after="60"/>
        <w:ind w:left="170"/>
      </w:pPr>
      <w:r>
        <w:rPr>
          <w:b/>
          <w:color w:val="0F172A"/>
          <w:sz w:val="20"/>
        </w:rPr>
        <w:t>Platform Architecture &amp; Scalability — sco</w:t>
      </w:r>
      <w:r>
        <w:rPr>
          <w:b/>
          <w:color w:val="0F172A"/>
          <w:sz w:val="20"/>
        </w:rPr>
        <w:t>red 93/100</w:t>
      </w:r>
    </w:p>
    <w:p w:rsidR="00C508BE" w:rsidRDefault="00122E45">
      <w:pPr>
        <w:keepNext/>
        <w:pBdr>
          <w:left w:val="single" w:sz="24" w:space="6" w:color="52B69A"/>
        </w:pBdr>
        <w:ind w:left="170"/>
      </w:pPr>
      <w:r>
        <w:t>The rating rests on confirmed software API integrations to manage digital trade documents alongside standard core banking platforms like Temenos and Surecomp. Based on primary research, the company's underlying architecture metrics and uptime gu</w:t>
      </w:r>
      <w:r>
        <w:t>arantees can be estimated as highly scalable and resilient, based on its decentralized blockchain distributed ledger technology designed for instant and secure multi-party document transfers.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that its blockchain-based </w:t>
      </w:r>
      <w:r>
        <w:t>digital courier platform utilizes the Digital Container Shipping Association (DCSA) Platform Interoperability (PINT) API standard to establish secure, multi-platform connectivity with alternative eBL platforms.</w:t>
      </w:r>
    </w:p>
    <w:p w:rsidR="00C508BE" w:rsidRDefault="00122E45">
      <w:pPr>
        <w:pStyle w:val="ListBullet"/>
        <w:spacing w:after="60"/>
        <w:ind w:left="510"/>
      </w:pPr>
      <w:r>
        <w:t>The company offers integrated connectivity to</w:t>
      </w:r>
      <w:r>
        <w:t xml:space="preserve"> global core banking frameworks via third-party technical integrations with trade finance software providers, explicitly partner technology platforms Temenos and Surecomp.</w:t>
      </w:r>
    </w:p>
    <w:p w:rsidR="00C508BE" w:rsidRDefault="00122E45">
      <w:pPr>
        <w:keepNext/>
        <w:pBdr>
          <w:left w:val="single" w:sz="24" w:space="6" w:color="52B69A"/>
        </w:pBdr>
        <w:spacing w:before="120" w:after="60"/>
        <w:ind w:left="170"/>
      </w:pPr>
      <w:r>
        <w:rPr>
          <w:b/>
          <w:color w:val="0F172A"/>
          <w:sz w:val="20"/>
        </w:rPr>
        <w:lastRenderedPageBreak/>
        <w:t>Innovation &amp; Roadmap — scored 91/100</w:t>
      </w:r>
    </w:p>
    <w:p w:rsidR="00C508BE" w:rsidRDefault="00122E45">
      <w:pPr>
        <w:keepNext/>
        <w:pBdr>
          <w:left w:val="single" w:sz="24" w:space="6" w:color="52B69A"/>
        </w:pBdr>
        <w:ind w:left="170"/>
      </w:pPr>
      <w:r>
        <w:t>The rating rests on the company's verified depl</w:t>
      </w:r>
      <w:r>
        <w:t>oyment of blockchain-based electronic documentation networks in trade finance alongside its documented investment in AI for automated document validation, error detection, and data extraction. Based on primary research, the company has not disclosed a form</w:t>
      </w:r>
      <w:r>
        <w:t>alized, multi-year product roadmap or specific pending patents for its latest feature releases.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in July 2026 that it raised $6 million to expand its trade finance capabilities and strengthen its AI-powered services.</w:t>
      </w:r>
    </w:p>
    <w:p w:rsidR="00C508BE" w:rsidRDefault="00122E45">
      <w:pPr>
        <w:pStyle w:val="ListBullet"/>
        <w:spacing w:after="60"/>
        <w:ind w:left="510"/>
      </w:pPr>
      <w:r>
        <w:t>Th</w:t>
      </w:r>
      <w:r>
        <w:t>e company reports that its core blockchain-based electronic bill of lading (eBL) network has been expanded through its "Wave Pouch" solution to securely bundle all transaction documents (such as Commercial Invoices and Packing Lists) alongside AI-driven va</w:t>
      </w:r>
      <w:r>
        <w:t>lidation, real-time error detection, and compliance checking tools.</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93/100</w:t>
      </w:r>
    </w:p>
    <w:p w:rsidR="00C508BE" w:rsidRDefault="00122E45">
      <w:pPr>
        <w:keepNext/>
        <w:pBdr>
          <w:left w:val="single" w:sz="24" w:space="6" w:color="52B69A"/>
        </w:pBdr>
        <w:ind w:left="170"/>
      </w:pPr>
      <w:r>
        <w:t>We verified that the platform has successfully onboarded prestigious tier-one international banks and multinational</w:t>
      </w:r>
      <w:r>
        <w:t xml:space="preserve"> corporate entities to participate in live trade document and transaction flows. Based on primary research, the company's complete roster of corporate clients can be estimated as extensive among top maritime carriers, based on its processing of over 100,00</w:t>
      </w:r>
      <w:r>
        <w:t>0 bills of lading and partnerships with the largest container shipping lines including MSC, ZIM, Hapag-Lloyd, and Ocean Network Express.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Barclays Bank signed an agreement with OGYDocs (Wave) in 2015 to leverage its blockchain application </w:t>
      </w:r>
      <w:r>
        <w:t>within Barclays Corporate Bank, executing its first live blockchain trade finance transaction in 2016.</w:t>
      </w:r>
    </w:p>
    <w:p w:rsidR="00C508BE" w:rsidRDefault="00122E45">
      <w:pPr>
        <w:pStyle w:val="ListBullet"/>
        <w:spacing w:after="60"/>
        <w:ind w:left="510"/>
      </w:pPr>
      <w:r>
        <w:t>The platform has since expanded its banking network to include institutions such as Lloyds Bank, Federal Bank, Emirates NBD Bank, and U.S. Bank, followin</w:t>
      </w:r>
      <w:r>
        <w:t>g an initial global trade transaction executed between Ornua and the Seychelles Trading Company.</w:t>
      </w:r>
    </w:p>
    <w:p w:rsidR="00C508BE" w:rsidRDefault="00122E45">
      <w:pPr>
        <w:keepNext/>
        <w:pBdr>
          <w:left w:val="single" w:sz="24" w:space="6" w:color="52B69A"/>
        </w:pBdr>
        <w:spacing w:before="120" w:after="60"/>
        <w:ind w:left="170"/>
      </w:pPr>
      <w:r>
        <w:rPr>
          <w:b/>
          <w:color w:val="0F172A"/>
          <w:sz w:val="20"/>
        </w:rPr>
        <w:t>Revenue &amp; Growth — scored 65/100</w:t>
      </w:r>
    </w:p>
    <w:p w:rsidR="00C508BE" w:rsidRDefault="00122E45">
      <w:pPr>
        <w:keepNext/>
        <w:pBdr>
          <w:left w:val="single" w:sz="24" w:space="6" w:color="52B69A"/>
        </w:pBdr>
        <w:ind w:left="170"/>
      </w:pPr>
      <w:r>
        <w:t>Are available in the public domain. Based on primary research, the company's annual software revenue growth can be estimated a</w:t>
      </w:r>
      <w:r>
        <w:t>s growing steadily, based on its completion of a 26 million dollar series B financing round led by NewRoad Capital Partners and backed by industry giants.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Support — scored 89/100</w:t>
      </w:r>
    </w:p>
    <w:p w:rsidR="00C508BE" w:rsidRDefault="00122E45">
      <w:pPr>
        <w:keepNext/>
        <w:pBdr>
          <w:left w:val="single" w:sz="24" w:space="6" w:color="52B69A"/>
        </w:pBdr>
        <w:ind w:left="170"/>
      </w:pPr>
      <w:r>
        <w:t xml:space="preserve">The rating rests on </w:t>
      </w:r>
      <w:r>
        <w:t>the confirmation of two corporate office locations in Israel and the United States, alongside broad self-reported global platform utilization across more than 100 countries. Based on primary research, the company's physical international hub presence can b</w:t>
      </w:r>
      <w:r>
        <w:t>e estimated as localized through strategic investor networks, based on its backing by global investment arms like Reefknot Investments and offices listed in Israel and Delaware.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its corporate headquarters are located i</w:t>
      </w:r>
      <w:r>
        <w:t>n Kfar Saba, Israel, and maintains a US office in Wilmington, Delaware.</w:t>
      </w:r>
    </w:p>
    <w:p w:rsidR="00C508BE" w:rsidRDefault="00122E45">
      <w:pPr>
        <w:pStyle w:val="ListBullet"/>
        <w:spacing w:after="60"/>
        <w:ind w:left="510"/>
      </w:pPr>
      <w:r>
        <w:t>The company reports that its digital courier and electronic bill of lading platform is used across more than 100 countries globally.</w:t>
      </w:r>
    </w:p>
    <w:p w:rsidR="00C508BE" w:rsidRDefault="00122E45">
      <w:pPr>
        <w:keepNext/>
        <w:pBdr>
          <w:left w:val="single" w:sz="24" w:space="6" w:color="52B69A"/>
        </w:pBdr>
        <w:spacing w:before="120" w:after="60"/>
        <w:ind w:left="170"/>
      </w:pPr>
      <w:r>
        <w:rPr>
          <w:b/>
          <w:color w:val="0F172A"/>
          <w:sz w:val="20"/>
        </w:rPr>
        <w:t>Funding &amp; Ownership — scored 88/100</w:t>
      </w:r>
    </w:p>
    <w:p w:rsidR="00C508BE" w:rsidRDefault="00122E45">
      <w:pPr>
        <w:keepNext/>
        <w:pBdr>
          <w:left w:val="single" w:sz="24" w:space="6" w:color="52B69A"/>
        </w:pBdr>
        <w:ind w:left="170"/>
      </w:pPr>
      <w:r>
        <w:t>The company's r</w:t>
      </w:r>
      <w:r>
        <w:t>ating is based on verified historical venture capital backing and strategic investments from major maritime industry entities. Based on primary research, the company's current financial performance metrics can be estimated as strong, in line with leading v</w:t>
      </w:r>
      <w:r>
        <w:t>enture-backed vendors, based on its securement of $37 million in total funding and active network expansion among major banking institutions.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OGYDocs Inc. (operating as WaveBL) has raised a total of $37 million in venture funding, complet</w:t>
      </w:r>
      <w:r>
        <w:t>ing early-stage funding rounds that include a Series A in 2019 and a Series B in 2021.</w:t>
      </w:r>
    </w:p>
    <w:p w:rsidR="00C508BE" w:rsidRDefault="00122E45">
      <w:pPr>
        <w:pStyle w:val="ListBullet"/>
        <w:spacing w:after="60"/>
        <w:ind w:left="510"/>
      </w:pPr>
      <w:r>
        <w:t>The company has secured backing from strategic and institutional investors, including ZIM Integrated Shipping Services, Contour Venture Partners, NewRoad Capital Partner</w:t>
      </w:r>
      <w:r>
        <w:t>s, and angel investors such as Jeroen Bertrams.</w:t>
      </w:r>
    </w:p>
    <w:p w:rsidR="00C508BE" w:rsidRDefault="00122E45">
      <w:pPr>
        <w:keepNext/>
        <w:pBdr>
          <w:left w:val="single" w:sz="24" w:space="6" w:color="52B69A"/>
        </w:pBdr>
        <w:spacing w:before="120" w:after="60"/>
        <w:ind w:left="170"/>
      </w:pPr>
      <w:r>
        <w:rPr>
          <w:b/>
          <w:color w:val="0F172A"/>
          <w:sz w:val="20"/>
        </w:rPr>
        <w:t>Market Share &amp; Installed Base — scored 89/100</w:t>
      </w:r>
    </w:p>
    <w:p w:rsidR="00C508BE" w:rsidRDefault="00122E45">
      <w:pPr>
        <w:keepNext/>
        <w:pBdr>
          <w:left w:val="single" w:sz="24" w:space="6" w:color="52B69A"/>
        </w:pBdr>
        <w:ind w:left="170"/>
      </w:pPr>
      <w:r>
        <w:t xml:space="preserve">We verified the platform's footprint through documented system integrations and deployments with major ocean liners and international financial institutions. </w:t>
      </w:r>
      <w:r>
        <w:t xml:space="preserve">Based on primary research, the company's total live installations market share </w:t>
      </w:r>
      <w:r>
        <w:lastRenderedPageBreak/>
        <w:t>can be estimated as leading in the digital trade document sector, based on its widespread implementation by major global ocean carriers, freight forwarders, and banking partners</w:t>
      </w:r>
      <w:r>
        <w:t xml:space="preserve"> globally.</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platform, operating under the WaveBL brand, has achieved a 65% share of the global electronic bill of lading (eBL) market, processing more than 500,000 eBL issuances in 2025.</w:t>
      </w:r>
    </w:p>
    <w:p w:rsidR="00C508BE" w:rsidRDefault="00122E45">
      <w:pPr>
        <w:pStyle w:val="ListBullet"/>
        <w:spacing w:after="60"/>
        <w:ind w:left="510"/>
      </w:pPr>
      <w:r>
        <w:t>The network connects us</w:t>
      </w:r>
      <w:r>
        <w:t>ers across more than 100 countries, including 7 of the world's top 12 ocean carriers, 25+ freight forwarders, and banking institutions like Lloyds Bank, Federal Bank, Emirates NBD Bank, U.S. Bank, and Bank Mizrahi.</w:t>
      </w:r>
    </w:p>
    <w:p w:rsidR="00C508BE" w:rsidRDefault="00122E45">
      <w:pPr>
        <w:pStyle w:val="Heading2"/>
        <w:pageBreakBefore/>
        <w:shd w:val="clear" w:color="auto" w:fill="002857"/>
        <w:spacing w:after="0"/>
      </w:pPr>
      <w:bookmarkStart w:id="14" w:name="_Toc242420544"/>
      <w:r>
        <w:lastRenderedPageBreak/>
        <w:t>Premium Technology Inc.</w:t>
      </w:r>
      <w:bookmarkEnd w:id="14"/>
    </w:p>
    <w:p w:rsidR="00C508BE" w:rsidRDefault="00122E45">
      <w:pPr>
        <w:shd w:val="clear" w:color="auto" w:fill="002857"/>
        <w:spacing w:after="200"/>
      </w:pPr>
      <w:r>
        <w:rPr>
          <w:color w:val="CBD5E1"/>
          <w:sz w:val="18"/>
        </w:rPr>
        <w:t>Premium Technolog</w:t>
      </w:r>
      <w:r>
        <w:rPr>
          <w:color w:val="CBD5E1"/>
          <w:sz w:val="18"/>
        </w:rPr>
        <w:t xml:space="preserve">y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83</w:t>
      </w:r>
      <w:r>
        <w:rPr>
          <w:color w:val="CBD5E1"/>
          <w:sz w:val="18"/>
        </w:rPr>
        <w:t xml:space="preserve">     Overall </w:t>
      </w:r>
      <w:r>
        <w:rPr>
          <w:b/>
          <w:color w:val="FFFFFF"/>
          <w:sz w:val="20"/>
        </w:rPr>
        <w:t>84</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91/100</w:t>
      </w:r>
    </w:p>
    <w:p w:rsidR="00C508BE" w:rsidRDefault="00122E45">
      <w:pPr>
        <w:keepNext/>
        <w:pBdr>
          <w:left w:val="single" w:sz="24" w:space="6" w:color="52B69A"/>
        </w:pBdr>
        <w:ind w:left="170"/>
      </w:pPr>
      <w:r>
        <w:t xml:space="preserve">Our assessment rests on the company's extensive self-reported product modularity covering both traditional trade instruments and </w:t>
      </w:r>
      <w:r>
        <w:t>diverse supply chain financing frameworks. Based on primary research, the company's compliance features for standby letters of credit can be estimated as strong, in line with leading vendors, based on its comprehensive FinShare platform that integrates sta</w:t>
      </w:r>
      <w:r>
        <w:t>ndard trade finance compliance and custom standard output templates like SWIFT messaging.</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FinShare platform supports a wide array of trade finance and supply chain finance instruments, including letters of cre</w:t>
      </w:r>
      <w:r>
        <w:t>dit, letters of guarantee, documentary collections, remittance, risk participation, factoring, and supplier finance.</w:t>
      </w:r>
    </w:p>
    <w:p w:rsidR="00C508BE" w:rsidRDefault="00122E45">
      <w:pPr>
        <w:pStyle w:val="ListBullet"/>
        <w:spacing w:after="60"/>
        <w:ind w:left="510"/>
      </w:pPr>
      <w:r>
        <w:t>The company reports that the FinShare platform features multi-currency processing, supports conventional and Islamic trade finance, and pro</w:t>
      </w:r>
      <w:r>
        <w:t>vides multilingual deployment including English, Chinese, and Vietnamese.</w:t>
      </w:r>
    </w:p>
    <w:p w:rsidR="00C508BE" w:rsidRDefault="00122E45">
      <w:pPr>
        <w:keepNext/>
        <w:pBdr>
          <w:left w:val="single" w:sz="24" w:space="6" w:color="52B69A"/>
        </w:pBdr>
        <w:spacing w:before="120" w:after="60"/>
        <w:ind w:left="170"/>
      </w:pPr>
      <w:r>
        <w:rPr>
          <w:b/>
          <w:color w:val="0F172A"/>
          <w:sz w:val="20"/>
        </w:rPr>
        <w:t>Document Checking &amp; Compliance Automation — scored 79/100</w:t>
      </w:r>
    </w:p>
    <w:p w:rsidR="00C508BE" w:rsidRDefault="00122E45">
      <w:pPr>
        <w:keepNext/>
        <w:pBdr>
          <w:left w:val="single" w:sz="24" w:space="6" w:color="52B69A"/>
        </w:pBdr>
        <w:ind w:left="170"/>
      </w:pPr>
      <w:r>
        <w:t>The rating rests on the platform's self-reported basic transaction blacklist screening and document management capabilities.</w:t>
      </w:r>
      <w:r>
        <w:t xml:space="preserve"> Based on primary research, the company's compliance screening accuracy and automated document checking can be estimated as robust, matching enterprise risk standards, based on its built-in blacklist screening tools, SWIFT TSU, and Bank Payment Obligation </w:t>
      </w:r>
      <w:r>
        <w:t>certification.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FinShare platform includes blacklist screening for transaction risk control and multi-format document management.</w:t>
      </w:r>
    </w:p>
    <w:p w:rsidR="00C508BE" w:rsidRDefault="00122E45">
      <w:pPr>
        <w:keepNext/>
        <w:pBdr>
          <w:left w:val="single" w:sz="24" w:space="6" w:color="52B69A"/>
        </w:pBdr>
        <w:spacing w:before="120" w:after="60"/>
        <w:ind w:left="170"/>
      </w:pPr>
      <w:r>
        <w:rPr>
          <w:b/>
          <w:color w:val="0F172A"/>
          <w:sz w:val="20"/>
        </w:rPr>
        <w:t>Digital Trade Network &amp; Interoperability — scored 87/100</w:t>
      </w:r>
    </w:p>
    <w:p w:rsidR="00C508BE" w:rsidRDefault="00122E45">
      <w:pPr>
        <w:keepNext/>
        <w:pBdr>
          <w:left w:val="single" w:sz="24" w:space="6" w:color="52B69A"/>
        </w:pBdr>
        <w:ind w:left="170"/>
      </w:pPr>
      <w:r>
        <w:t>The rating rests on the</w:t>
      </w:r>
      <w:r>
        <w:t xml:space="preserve"> platform's verified SWIFT application certification and built-in capabilities for standard SWIFT message extraction. Based on primary research, the company's native electronic bill of lading connectivity can be estimated as growing steadily via broader tr</w:t>
      </w:r>
      <w:r>
        <w:t>ade network integrations, based on its active memberships in global trade bodies such as SWIFT, BAFT-IFSA, and the Asian Bankers Association.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that its FinShare platform supports customizable standard output templates </w:t>
      </w:r>
      <w:r>
        <w:t>including SWIFT messages as well as core banking and third-party integration capabilities.</w:t>
      </w:r>
    </w:p>
    <w:p w:rsidR="00C508BE" w:rsidRDefault="00122E45">
      <w:pPr>
        <w:pStyle w:val="ListBullet"/>
        <w:spacing w:after="60"/>
        <w:ind w:left="510"/>
      </w:pPr>
      <w:r>
        <w:t>SWIFT designated the FinShare platform as a certified software application for Supply Chain Finance, which validates support for the SWIFT Trade Services Utility (TS</w:t>
      </w:r>
      <w:r>
        <w:t>U) and Bank Payment Obligation (BPO).</w:t>
      </w:r>
    </w:p>
    <w:p w:rsidR="00C508BE" w:rsidRDefault="00122E45">
      <w:pPr>
        <w:keepNext/>
        <w:pBdr>
          <w:left w:val="single" w:sz="24" w:space="6" w:color="52B69A"/>
        </w:pBdr>
        <w:spacing w:before="120" w:after="60"/>
        <w:ind w:left="170"/>
      </w:pPr>
      <w:r>
        <w:rPr>
          <w:b/>
          <w:color w:val="0F172A"/>
          <w:sz w:val="20"/>
        </w:rPr>
        <w:t>Platform Architecture &amp; Scalability — scored 93/100</w:t>
      </w:r>
    </w:p>
    <w:p w:rsidR="00C508BE" w:rsidRDefault="00122E45">
      <w:pPr>
        <w:keepNext/>
        <w:pBdr>
          <w:left w:val="single" w:sz="24" w:space="6" w:color="52B69A"/>
        </w:pBdr>
        <w:ind w:left="170"/>
      </w:pPr>
      <w:r>
        <w:t>The assessment rests on the company's reported transactional throughput metrics and its deployment flexibility across cloud and hosted SaaS environments. Based on pri</w:t>
      </w:r>
      <w:r>
        <w:t xml:space="preserve">mary research, the company's architectural performance and uptime can be estimated as highly scalable and designed for maximum enterprise availability, based on its modular cloud ecosystem that effectively cuts average processing times from 2 days down to </w:t>
      </w:r>
      <w:r>
        <w:t>under one day.</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web-based FinShare supply chain and trade finance platform is available through a hosted SaaS model or via the cloud.</w:t>
      </w:r>
    </w:p>
    <w:p w:rsidR="00C508BE" w:rsidRDefault="00122E45">
      <w:pPr>
        <w:pStyle w:val="ListBullet"/>
        <w:spacing w:after="60"/>
        <w:ind w:left="510"/>
      </w:pPr>
      <w:r>
        <w:t>The company reports that its FinShare platform supports over 50,000 corporat</w:t>
      </w:r>
      <w:r>
        <w:t>e clients across more than 100 countries and processes over 50 million transactions monthly.</w:t>
      </w:r>
    </w:p>
    <w:p w:rsidR="00C508BE" w:rsidRDefault="00122E45">
      <w:pPr>
        <w:keepNext/>
        <w:pBdr>
          <w:left w:val="single" w:sz="24" w:space="6" w:color="52B69A"/>
        </w:pBdr>
        <w:spacing w:before="120" w:after="60"/>
        <w:ind w:left="170"/>
      </w:pPr>
      <w:r>
        <w:rPr>
          <w:b/>
          <w:color w:val="0F172A"/>
          <w:sz w:val="20"/>
        </w:rPr>
        <w:lastRenderedPageBreak/>
        <w:t>Innovation &amp; Roadmap — scored 78/100</w:t>
      </w:r>
    </w:p>
    <w:p w:rsidR="00C508BE" w:rsidRDefault="00122E45">
      <w:pPr>
        <w:keepNext/>
        <w:pBdr>
          <w:left w:val="single" w:sz="24" w:space="6" w:color="52B69A"/>
        </w:pBdr>
        <w:ind w:left="170"/>
      </w:pPr>
      <w:r>
        <w:t>The assessment rests on the verified presence of functional conventional trade finance modules in the FinShare platform, along</w:t>
      </w:r>
      <w:r>
        <w:t>side basic digital processing tools like rule-based exception alerts and multi-format templates. Based on primary research, the company's emerging technology integrations and product roadmap can be estimated as forward-looking with a heavy focus on moderni</w:t>
      </w:r>
      <w:r>
        <w:t>zation, based on its executive strategy sessions at Sibos detailing the active rollouts of artificial intelligence, digital assets, and deep-tier finance infrastructure.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that its core trade finance platform, FinShare, </w:t>
      </w:r>
      <w:r>
        <w:t>includes traditional capabilities such as customized workflow engines, expiration and exception warnings, multi-format document management, and standard output templates like SWIFT messages.</w:t>
      </w:r>
    </w:p>
    <w:p w:rsidR="00C508BE" w:rsidRDefault="00122E45">
      <w:pPr>
        <w:pStyle w:val="ListBullet"/>
        <w:spacing w:after="60"/>
        <w:ind w:left="510"/>
      </w:pPr>
      <w:r>
        <w:t>In its Deep Tier Finance module, the platform supports multi-tier</w:t>
      </w:r>
      <w:r>
        <w:t xml:space="preserve"> supply chain visibility by letting anchor buyers upload payment instructions and generating proprietary ePay tokens for suppliers.</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93/100</w:t>
      </w:r>
    </w:p>
    <w:p w:rsidR="00C508BE" w:rsidRDefault="00122E45">
      <w:pPr>
        <w:keepNext/>
        <w:pBdr>
          <w:left w:val="single" w:sz="24" w:space="6" w:color="52B69A"/>
        </w:pBdr>
        <w:ind w:left="170"/>
      </w:pPr>
      <w:r>
        <w:t>The rating rests on confirmed deployments of the Fi</w:t>
      </w:r>
      <w:r>
        <w:t>nShare platform with prominent global and regional financial institutions including SMBC, Krungthai Bank, and Hatton National Bank. Based on primary research, the company has not disclosed the full identities or specific transaction details of the 50,000 c</w:t>
      </w:r>
      <w:r>
        <w:t>orporate and SME clients using its platform.</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Global Trade Review documented that Premium Technology expanded Sumitomo Mitsui Banking Corporation's (SMBC) supply chain finance solutions across nine global regions, including the US, UK, and</w:t>
      </w:r>
      <w:r>
        <w:t xml:space="preserve"> UAE, and developed an automated open account financing workflow for Thailand's Krungthai Bank.</w:t>
      </w:r>
    </w:p>
    <w:p w:rsidR="00C508BE" w:rsidRDefault="00122E45">
      <w:pPr>
        <w:pStyle w:val="ListBullet"/>
        <w:spacing w:after="60"/>
        <w:ind w:left="510"/>
      </w:pPr>
      <w:r>
        <w:t xml:space="preserve">Premium Technology and independent industry updates confirmed a collaboration with Hatton National Bank (HNB) in Sri Lanka to power its "TxB ValueX" digital </w:t>
      </w:r>
      <w:r>
        <w:t>trade and supply chain platform launched in May 2026.</w:t>
      </w:r>
    </w:p>
    <w:p w:rsidR="00C508BE" w:rsidRDefault="00122E45">
      <w:pPr>
        <w:keepNext/>
        <w:pBdr>
          <w:left w:val="single" w:sz="24" w:space="6" w:color="52B69A"/>
        </w:pBdr>
        <w:spacing w:before="120" w:after="60"/>
        <w:ind w:left="170"/>
      </w:pPr>
      <w:r>
        <w:rPr>
          <w:b/>
          <w:color w:val="0F172A"/>
          <w:sz w:val="20"/>
        </w:rPr>
        <w:t>Revenue &amp; Growth — scored 69/100</w:t>
      </w:r>
    </w:p>
    <w:p w:rsidR="00C508BE" w:rsidRDefault="00122E45">
      <w:pPr>
        <w:keepNext/>
        <w:pBdr>
          <w:left w:val="single" w:sz="24" w:space="6" w:color="52B69A"/>
        </w:pBdr>
        <w:ind w:left="170"/>
      </w:pPr>
      <w:r>
        <w:t>Based on primary research, the company's annual recurring revenue and growth rate can be estimated as substantial and expanding steadily, based on its 25 years of market</w:t>
      </w:r>
      <w:r>
        <w:t xml:space="preserve"> operation and consecutive industry platform awards.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Support — scored 91/100</w:t>
      </w:r>
    </w:p>
    <w:p w:rsidR="00C508BE" w:rsidRDefault="00122E45">
      <w:pPr>
        <w:keepNext/>
        <w:pBdr>
          <w:left w:val="single" w:sz="24" w:space="6" w:color="52B69A"/>
        </w:pBdr>
        <w:ind w:left="170"/>
      </w:pPr>
      <w:r>
        <w:t xml:space="preserve">We verified that the company maintains an active physical presence across multiple regional markets outside the United </w:t>
      </w:r>
      <w:r>
        <w:t>States, primarily through localized hubs in the Middle East, Southeast Asia, and Europe. Based on primary research, the company's global support and implementation availability can be estimated as strong and widely distributed across key international mark</w:t>
      </w:r>
      <w:r>
        <w:t>ets, based on its 10+ international sales and support offices including New York, Dubai, Paris, and Kuala Lumpur.</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maintaining international sales and support offices across several global locations, including its headq</w:t>
      </w:r>
      <w:r>
        <w:t>uarters in Jersey City, USA, as well as regional locations in Dubai (United Arab Emirates), Kuala Lumpur (Malaysia), Riyadh (Saudi Arabia), Paris (France), Jakarta (Indonesia), Hanoi (Vietnam), Marrakesh (Morocco), Pennsylvania (USA), and Wuhan (China).</w:t>
      </w:r>
    </w:p>
    <w:p w:rsidR="00C508BE" w:rsidRDefault="00122E45">
      <w:pPr>
        <w:pStyle w:val="ListBullet"/>
        <w:spacing w:after="60"/>
        <w:ind w:left="510"/>
      </w:pPr>
      <w:r>
        <w:t>Th</w:t>
      </w:r>
      <w:r>
        <w:t>e company reports that its flagship FinShare platform supports over 50,000 corporates across more than 100 countries globally.</w:t>
      </w:r>
    </w:p>
    <w:p w:rsidR="00C508BE" w:rsidRDefault="00122E45">
      <w:pPr>
        <w:keepNext/>
        <w:pBdr>
          <w:left w:val="single" w:sz="24" w:space="6" w:color="52B69A"/>
        </w:pBdr>
        <w:spacing w:before="120" w:after="60"/>
        <w:ind w:left="170"/>
      </w:pPr>
      <w:r>
        <w:rPr>
          <w:b/>
          <w:color w:val="0F172A"/>
          <w:sz w:val="20"/>
        </w:rPr>
        <w:t>Funding &amp; Ownership — scored 71/100</w:t>
      </w:r>
    </w:p>
    <w:p w:rsidR="00C508BE" w:rsidRDefault="00122E45">
      <w:pPr>
        <w:keepNext/>
        <w:pBdr>
          <w:left w:val="single" w:sz="24" w:space="6" w:color="52B69A"/>
        </w:pBdr>
        <w:ind w:left="170"/>
      </w:pPr>
      <w:r>
        <w:t>The company's capitalization profile is evaluated on its long-standing history as a self-repo</w:t>
      </w:r>
      <w:r>
        <w:t>rted private entity since 2001. Based on primary research, the company's institutional venture capital and strategic corporate backing can be estimated as organic and stable through long-term founder alignment and client revenue, based on its continuous op</w:t>
      </w:r>
      <w:r>
        <w:t>eration since 2,001 under its original founder.</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Premium Technology Inc. reports that it was founded in 2001 and remains a privately held software development company providing supply-chain finance and trade finance solutions.</w:t>
      </w:r>
    </w:p>
    <w:p w:rsidR="00C508BE" w:rsidRDefault="00122E45">
      <w:pPr>
        <w:keepNext/>
        <w:pBdr>
          <w:left w:val="single" w:sz="24" w:space="6" w:color="52B69A"/>
        </w:pBdr>
        <w:spacing w:before="120" w:after="60"/>
        <w:ind w:left="170"/>
      </w:pPr>
      <w:r>
        <w:rPr>
          <w:b/>
          <w:color w:val="0F172A"/>
          <w:sz w:val="20"/>
        </w:rPr>
        <w:t>Market Share</w:t>
      </w:r>
      <w:r>
        <w:rPr>
          <w:b/>
          <w:color w:val="0F172A"/>
          <w:sz w:val="20"/>
        </w:rPr>
        <w:t xml:space="preserve"> &amp; Installed Base — scored 92/100</w:t>
      </w:r>
    </w:p>
    <w:p w:rsidR="00C508BE" w:rsidRDefault="00122E45">
      <w:pPr>
        <w:keepNext/>
        <w:pBdr>
          <w:left w:val="single" w:sz="24" w:space="6" w:color="52B69A"/>
        </w:pBdr>
        <w:ind w:left="170"/>
      </w:pPr>
      <w:r>
        <w:t xml:space="preserve">The evaluation rests on verified large-scale regional deployments with major financial institutions like SMBC, Krungthai Bank, and HNB, alongside self-reported data indicating a substantial customer transaction volume and </w:t>
      </w:r>
      <w:r>
        <w:lastRenderedPageBreak/>
        <w:t>global client footprint. Based on primary research, the company's live core installations and global market share can be estimated as prominent and competitive with leading trade finance vendors, based on its software being trusted by leading global financ</w:t>
      </w:r>
      <w:r>
        <w:t>ial institutions to support massive transactional volumes.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FinShare platform serves over 50,000 clients across more than 100 countries and processes over 30 million monthly transactions.</w:t>
      </w:r>
    </w:p>
    <w:p w:rsidR="00C508BE" w:rsidRDefault="00122E45">
      <w:pPr>
        <w:pStyle w:val="ListBullet"/>
        <w:spacing w:after="60"/>
        <w:ind w:left="510"/>
      </w:pPr>
      <w:r>
        <w:t>Publicly announced dep</w:t>
      </w:r>
      <w:r>
        <w:t>loyments verify that the company's platform has been rolled out across multiple Tier-1 and regional financial institutions, including expanding SMBC's supply chain finance solutions across nine global regions in 2024, building an automated end-to-end workf</w:t>
      </w:r>
      <w:r>
        <w:t>low system for Thailand's Krungthai Bank, and powering HNB's TxB ValueX platform launched in May 2026.</w:t>
      </w:r>
    </w:p>
    <w:p w:rsidR="00C508BE" w:rsidRDefault="00122E45">
      <w:pPr>
        <w:pStyle w:val="Heading2"/>
        <w:pageBreakBefore/>
        <w:shd w:val="clear" w:color="auto" w:fill="002857"/>
        <w:spacing w:after="0"/>
      </w:pPr>
      <w:bookmarkStart w:id="15" w:name="_Toc242420545"/>
      <w:r>
        <w:lastRenderedPageBreak/>
        <w:t>VoloFin Corp</w:t>
      </w:r>
      <w:bookmarkEnd w:id="15"/>
    </w:p>
    <w:p w:rsidR="00C508BE" w:rsidRDefault="00122E45">
      <w:pPr>
        <w:shd w:val="clear" w:color="auto" w:fill="002857"/>
        <w:spacing w:after="200"/>
      </w:pPr>
      <w:r>
        <w:rPr>
          <w:color w:val="CBD5E1"/>
          <w:sz w:val="18"/>
        </w:rPr>
        <w:t xml:space="preserve">VoloFin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81</w:t>
      </w:r>
      <w:r>
        <w:rPr>
          <w:color w:val="CBD5E1"/>
          <w:sz w:val="18"/>
        </w:rPr>
        <w:t xml:space="preserve">     Overall </w:t>
      </w:r>
      <w:r>
        <w:rPr>
          <w:b/>
          <w:color w:val="FFFFFF"/>
          <w:sz w:val="20"/>
        </w:rPr>
        <w:t>81</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83/100</w:t>
      </w:r>
    </w:p>
    <w:p w:rsidR="00C508BE" w:rsidRDefault="00122E45">
      <w:pPr>
        <w:keepNext/>
        <w:pBdr>
          <w:left w:val="single" w:sz="24" w:space="6" w:color="52B69A"/>
        </w:pBdr>
        <w:ind w:left="170"/>
      </w:pPr>
      <w:r>
        <w:t>We verified</w:t>
      </w:r>
      <w:r>
        <w:t xml:space="preserve"> that the company's product offering is restricted to supply chain and receivables finance structures rather than a full suite of core trade instruments. Based on primary research, the company's traditional trade finance processing capabilities can be esti</w:t>
      </w:r>
      <w:r>
        <w:t>mated as absent, given its exclusive specialization in open account financing, based on its core offerings centered solely around invoice factoring and supply chain financing.</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core trade finance solutions focu</w:t>
      </w:r>
      <w:r>
        <w:t>s exclusively on receivables and supply chain financing, including export invoice factoring, invoice financing, post-shipment trade finance, distributor finance, inventory finance, vendor finance, and dynamic discounting.</w:t>
      </w:r>
    </w:p>
    <w:p w:rsidR="00C508BE" w:rsidRDefault="00122E45">
      <w:pPr>
        <w:pStyle w:val="ListBullet"/>
        <w:spacing w:after="60"/>
        <w:ind w:left="510"/>
      </w:pPr>
      <w:r>
        <w:t xml:space="preserve">The company reports that its </w:t>
      </w:r>
      <w:r>
        <w:t>blockchain-based digital platform facilitates automated supplier self-onboarding, real-time in-principle approval, buyer risk assumption, and digital portal visibility for managing credit limits up to $10 million.</w:t>
      </w:r>
    </w:p>
    <w:p w:rsidR="00C508BE" w:rsidRDefault="00122E45">
      <w:pPr>
        <w:keepNext/>
        <w:pBdr>
          <w:left w:val="single" w:sz="24" w:space="6" w:color="52B69A"/>
        </w:pBdr>
        <w:spacing w:before="120" w:after="60"/>
        <w:ind w:left="170"/>
      </w:pPr>
      <w:r>
        <w:rPr>
          <w:b/>
          <w:color w:val="0F172A"/>
          <w:sz w:val="20"/>
        </w:rPr>
        <w:t xml:space="preserve">Document Checking &amp; Compliance Automation </w:t>
      </w:r>
      <w:r>
        <w:rPr>
          <w:b/>
          <w:color w:val="0F172A"/>
          <w:sz w:val="20"/>
        </w:rPr>
        <w:t>— scored 75/100</w:t>
      </w:r>
    </w:p>
    <w:p w:rsidR="00C508BE" w:rsidRDefault="00122E45">
      <w:pPr>
        <w:keepNext/>
        <w:pBdr>
          <w:left w:val="single" w:sz="24" w:space="6" w:color="52B69A"/>
        </w:pBdr>
        <w:ind w:left="170"/>
      </w:pPr>
      <w:r>
        <w:t>We verified that the firm incorporates basic entity-level compliance screening for anti-money laundering and sanctions monitoring. Based on primary research, the company's automated compliance document checking capabilities can be estimated</w:t>
      </w:r>
      <w:r>
        <w:t xml:space="preserve"> as absent, due to its operational focus on invoice processing rather than documentary credits, based on its digital platform features designed exclusively for automated onboarding and invoice discounting workflows.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ut</w:t>
      </w:r>
      <w:r>
        <w:t>ilizing an API integration on its platform to automatically screen onboarded individuals and parent entities for potential matches against money laundering and sanctions blacklists.</w:t>
      </w:r>
    </w:p>
    <w:p w:rsidR="00C508BE" w:rsidRDefault="00122E45">
      <w:pPr>
        <w:keepNext/>
        <w:pBdr>
          <w:left w:val="single" w:sz="24" w:space="6" w:color="52B69A"/>
        </w:pBdr>
        <w:spacing w:before="120" w:after="60"/>
        <w:ind w:left="170"/>
      </w:pPr>
      <w:r>
        <w:rPr>
          <w:b/>
          <w:color w:val="0F172A"/>
          <w:sz w:val="20"/>
        </w:rPr>
        <w:t>Digital Trade Network &amp; Interoperability — scored 71/100</w:t>
      </w:r>
    </w:p>
    <w:p w:rsidR="00C508BE" w:rsidRDefault="00122E45">
      <w:pPr>
        <w:keepNext/>
        <w:pBdr>
          <w:left w:val="single" w:sz="24" w:space="6" w:color="52B69A"/>
        </w:pBdr>
        <w:ind w:left="170"/>
      </w:pPr>
      <w:r>
        <w:t xml:space="preserve">We verified that </w:t>
      </w:r>
      <w:r>
        <w:t>the company's capabilities center on its standalone blockchain platform and local trade exchange integrations such as VTX. Based on primary research, the company's interoperability with global trade networks can be estimated as emerging through alternative</w:t>
      </w:r>
      <w:r>
        <w:t xml:space="preserve"> distribution partnerships, based on its recent trade matching and settlement integration collaborations with digital transaction networks.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In November 2022, VoloFin completed and disbursed its first set of cross-border export financing t</w:t>
      </w:r>
      <w:r>
        <w:t>ransactions on Vayana TradeXchange (VTX), an international trade financing services platform operating under the IFSCA.</w:t>
      </w:r>
    </w:p>
    <w:p w:rsidR="00C508BE" w:rsidRDefault="00122E45">
      <w:pPr>
        <w:pStyle w:val="ListBullet"/>
        <w:spacing w:after="60"/>
        <w:ind w:left="510"/>
      </w:pPr>
      <w:r>
        <w:t>The company reports utilizing a proprietary blockchain-based digital portal for invoice financing workflows, onboarding, and supply chai</w:t>
      </w:r>
      <w:r>
        <w:t>n transaction visibility.</w:t>
      </w:r>
    </w:p>
    <w:p w:rsidR="00C508BE" w:rsidRDefault="00122E45">
      <w:pPr>
        <w:keepNext/>
        <w:pBdr>
          <w:left w:val="single" w:sz="24" w:space="6" w:color="52B69A"/>
        </w:pBdr>
        <w:spacing w:before="120" w:after="60"/>
        <w:ind w:left="170"/>
      </w:pPr>
      <w:r>
        <w:rPr>
          <w:b/>
          <w:color w:val="0F172A"/>
          <w:sz w:val="20"/>
        </w:rPr>
        <w:t>Platform Architecture &amp; Scalability — scored 89/100</w:t>
      </w:r>
    </w:p>
    <w:p w:rsidR="00C508BE" w:rsidRDefault="00122E45">
      <w:pPr>
        <w:keepNext/>
        <w:pBdr>
          <w:left w:val="single" w:sz="24" w:space="6" w:color="52B69A"/>
        </w:pBdr>
        <w:ind w:left="170"/>
      </w:pPr>
      <w:r>
        <w:t>The assessment rests on the company's self-reported claims of a proprietary, in-house developed fintech platform utilizing blockchain architecture and third-party API integration</w:t>
      </w:r>
      <w:r>
        <w:t>s. Based on primary research, the company's technical infrastructure metrics can be estimated as robust for regular small business transaction volumes, based on its blockchain-powered platform architecture providing full real-time visibility to internation</w:t>
      </w:r>
      <w:r>
        <w:t>al clients.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VoloFin Corp reports that its digital supply chain and invoice factoring platform is a next-generation IT platform built on blockchain fabric with integrated artificial intelligence capabilities to automate customer onboarding</w:t>
      </w:r>
      <w:r>
        <w:t>, KYC, credit checks, and digitized workflows.</w:t>
      </w:r>
    </w:p>
    <w:p w:rsidR="00C508BE" w:rsidRDefault="00122E45">
      <w:pPr>
        <w:pStyle w:val="ListBullet"/>
        <w:spacing w:after="60"/>
        <w:ind w:left="510"/>
      </w:pPr>
      <w:r>
        <w:t xml:space="preserve">In an executive interview, the company reported that it has shifted its core platform development entirely in-house to transition toward its "Version 3" launch and integrated multiple external APIs to enhance </w:t>
      </w:r>
      <w:r>
        <w:t>due diligence data streaming.</w:t>
      </w:r>
    </w:p>
    <w:p w:rsidR="00C508BE" w:rsidRDefault="00122E45">
      <w:pPr>
        <w:keepNext/>
        <w:pBdr>
          <w:left w:val="single" w:sz="24" w:space="6" w:color="52B69A"/>
        </w:pBdr>
        <w:spacing w:before="120" w:after="60"/>
        <w:ind w:left="170"/>
      </w:pPr>
      <w:r>
        <w:rPr>
          <w:b/>
          <w:color w:val="0F172A"/>
          <w:sz w:val="20"/>
        </w:rPr>
        <w:lastRenderedPageBreak/>
        <w:t>Innovation &amp; Roadmap — scored 87/100</w:t>
      </w:r>
    </w:p>
    <w:p w:rsidR="00C508BE" w:rsidRDefault="00122E45">
      <w:pPr>
        <w:keepNext/>
        <w:pBdr>
          <w:left w:val="single" w:sz="24" w:space="6" w:color="52B69A"/>
        </w:pBdr>
        <w:ind w:left="170"/>
      </w:pPr>
      <w:r>
        <w:t xml:space="preserve">The evaluation rests on the company's established application of blockchain infrastructure and automated AI credit assessments within its active invoice financing software platform. Based </w:t>
      </w:r>
      <w:r>
        <w:t>on primary research, the company's published technology roadmap and proprietary patents can be estimated as evolving incrementally with alternative funding integrations, based on its operational updates concerning real-world asset lending pools and digital</w:t>
      </w:r>
      <w:r>
        <w:t xml:space="preserve"> distribution systems.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running an end-to-end digital platform built on a blockchain fabric that uses AI-based credit assessment tools to execute invoice and supply-chain financing workflows for small and medium-sized e</w:t>
      </w:r>
      <w:r>
        <w:t>nterprises.</w:t>
      </w:r>
    </w:p>
    <w:p w:rsidR="00C508BE" w:rsidRDefault="00122E45">
      <w:pPr>
        <w:pStyle w:val="ListBullet"/>
        <w:spacing w:after="60"/>
        <w:ind w:left="510"/>
      </w:pPr>
      <w:r>
        <w:t>In 2021, the company announced the launch of its blockchain-powered invoice financing platform designed to automate onboarding, KYC compliance, and transaction tracking.</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75/100</w:t>
      </w:r>
    </w:p>
    <w:p w:rsidR="00C508BE" w:rsidRDefault="00122E45">
      <w:pPr>
        <w:keepNext/>
        <w:pBdr>
          <w:left w:val="single" w:sz="24" w:space="6" w:color="52B69A"/>
        </w:pBdr>
        <w:ind w:left="170"/>
      </w:pPr>
      <w:r>
        <w:t>T</w:t>
      </w:r>
      <w:r>
        <w:t>he rating rests on the platform's self-reported customer testimonials from anonymous mid-market regional exporters and its deployment of strategic funding partnerships to serve smaller entities. Based on primary research, the company's identities of promin</w:t>
      </w:r>
      <w:r>
        <w:t>ent clients can be estimated as extensive within the global SME export sector, based on its strategic partnerships with India Exim Finserve, Highmore Group, and Vayana TradeXchange.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anonymized case studies from small a</w:t>
      </w:r>
      <w:r>
        <w:t>nd medium-sized enterprise clients who started working with the platform in 2021, including an engineering goods exporter, a chillies exporter from Guntur, and a garment exporter from New Delhi.</w:t>
      </w:r>
    </w:p>
    <w:p w:rsidR="00C508BE" w:rsidRDefault="00122E45">
      <w:pPr>
        <w:pStyle w:val="ListBullet"/>
        <w:spacing w:after="60"/>
        <w:ind w:left="510"/>
      </w:pPr>
      <w:r>
        <w:t xml:space="preserve">VoloFin announced a strategic partnership in March 2022 with </w:t>
      </w:r>
      <w:r>
        <w:t>US-based alternative asset management group Highmore to extend trade finance and invoice financing solutions to small and medium-sized enterprises.</w:t>
      </w:r>
    </w:p>
    <w:p w:rsidR="00C508BE" w:rsidRDefault="00122E45">
      <w:pPr>
        <w:keepNext/>
        <w:pBdr>
          <w:left w:val="single" w:sz="24" w:space="6" w:color="52B69A"/>
        </w:pBdr>
        <w:spacing w:before="120" w:after="60"/>
        <w:ind w:left="170"/>
      </w:pPr>
      <w:r>
        <w:rPr>
          <w:b/>
          <w:color w:val="0F172A"/>
          <w:sz w:val="20"/>
        </w:rPr>
        <w:t>Revenue &amp; Growth — scored 72/100</w:t>
      </w:r>
    </w:p>
    <w:p w:rsidR="00C508BE" w:rsidRDefault="00122E45">
      <w:pPr>
        <w:keepNext/>
        <w:pBdr>
          <w:left w:val="single" w:sz="24" w:space="6" w:color="52B69A"/>
        </w:pBdr>
        <w:ind w:left="170"/>
      </w:pPr>
      <w:r>
        <w:t>Based on primary research, the company's revenue or annual growth metrics c</w:t>
      </w:r>
      <w:r>
        <w:t>an be estimated as growing steadily toward full operational profitability, based on its recent milestone of securing a 50 million dollar notes programme and its target to break even within months.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w:t>
      </w:r>
      <w:r>
        <w:rPr>
          <w:b/>
          <w:color w:val="0F172A"/>
          <w:sz w:val="20"/>
        </w:rPr>
        <w:t>pport — scored 90/100</w:t>
      </w:r>
    </w:p>
    <w:p w:rsidR="00C508BE" w:rsidRDefault="00122E45">
      <w:pPr>
        <w:keepNext/>
        <w:pBdr>
          <w:left w:val="single" w:sz="24" w:space="6" w:color="52B69A"/>
        </w:pBdr>
        <w:ind w:left="170"/>
      </w:pPr>
      <w:r>
        <w:t>We verified that the company maintains a physical presence in key regional markets including Singapore, the US, and India, from which it supports international exporters. Based on primary research, the company's localized sales and su</w:t>
      </w:r>
      <w:r>
        <w:t>pport operational data can be estimated as structured around major international corridors, based on its active localized corporate offices in Singapore, India, and the United States.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corporate offices established in S</w:t>
      </w:r>
      <w:r>
        <w:t>ingapore, Towson (Maryland, USA), and Mumbai (India).</w:t>
      </w:r>
    </w:p>
    <w:p w:rsidR="00C508BE" w:rsidRDefault="00122E45">
      <w:pPr>
        <w:pStyle w:val="ListBullet"/>
        <w:spacing w:after="60"/>
        <w:ind w:left="510"/>
      </w:pPr>
      <w:r>
        <w:t>The company reports that its global trade finance network spans over 50 countries.</w:t>
      </w:r>
    </w:p>
    <w:p w:rsidR="00C508BE" w:rsidRDefault="00122E45">
      <w:pPr>
        <w:keepNext/>
        <w:pBdr>
          <w:left w:val="single" w:sz="24" w:space="6" w:color="52B69A"/>
        </w:pBdr>
        <w:spacing w:before="120" w:after="60"/>
        <w:ind w:left="170"/>
      </w:pPr>
      <w:r>
        <w:rPr>
          <w:b/>
          <w:color w:val="0F172A"/>
          <w:sz w:val="20"/>
        </w:rPr>
        <w:t>Funding &amp; Ownership — scored 82/100</w:t>
      </w:r>
    </w:p>
    <w:p w:rsidR="00C508BE" w:rsidRDefault="00122E45">
      <w:pPr>
        <w:keepNext/>
        <w:pBdr>
          <w:left w:val="single" w:sz="24" w:space="6" w:color="52B69A"/>
        </w:pBdr>
        <w:ind w:left="170"/>
      </w:pPr>
      <w:r>
        <w:t>We verified that the company's financial backing rests primarily on a single $50 mi</w:t>
      </w:r>
      <w:r>
        <w:t>llion non-equity debt facility structured through a European special purpose vehicle. Based on primary research, the company's institutional venture capital or private equity funding rounds can be estimated as primarily self funded with non equity debt lev</w:t>
      </w:r>
      <w:r>
        <w:t>erage, based on its first of its kind 50 million dollar bank funded notes programme achieved entirely without equity dilution.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securing a $50 million funding line structured via a notes programme from an unnamed </w:t>
      </w:r>
      <w:r>
        <w:t>top-five US-based global bank in November 2024 to expand its trade finance services for Indian exporters.</w:t>
      </w:r>
    </w:p>
    <w:p w:rsidR="00C508BE" w:rsidRDefault="00122E45">
      <w:pPr>
        <w:pStyle w:val="ListBullet"/>
        <w:spacing w:after="60"/>
        <w:ind w:left="510"/>
      </w:pPr>
      <w:r>
        <w:t>The company reports a strategic partnership established in March 2022 with Highmore's Trade and Specialty Finance business to deliver joint working ca</w:t>
      </w:r>
      <w:r>
        <w:t>pital solutions.</w:t>
      </w:r>
    </w:p>
    <w:p w:rsidR="00C508BE" w:rsidRDefault="00122E45">
      <w:pPr>
        <w:keepNext/>
        <w:pBdr>
          <w:left w:val="single" w:sz="24" w:space="6" w:color="52B69A"/>
        </w:pBdr>
        <w:spacing w:before="120" w:after="60"/>
        <w:ind w:left="170"/>
      </w:pPr>
      <w:r>
        <w:rPr>
          <w:b/>
          <w:color w:val="0F172A"/>
          <w:sz w:val="20"/>
        </w:rPr>
        <w:t>Market Share &amp; Installed Base — scored 87/100</w:t>
      </w:r>
    </w:p>
    <w:p w:rsidR="00C508BE" w:rsidRDefault="00122E45">
      <w:pPr>
        <w:keepNext/>
        <w:pBdr>
          <w:left w:val="single" w:sz="24" w:space="6" w:color="52B69A"/>
        </w:pBdr>
        <w:ind w:left="170"/>
      </w:pPr>
      <w:r>
        <w:t>The rating rests on self-reported metrics regarding total invoice financing volumes and operational scale updates following structured facility funding. Based on primary research, the company's</w:t>
      </w:r>
      <w:r>
        <w:t xml:space="preserve"> global market share percentage can </w:t>
      </w:r>
      <w:r>
        <w:lastRenderedPageBreak/>
        <w:t>be estimated as emerging but highly competitive within blockchain trade finance, based on its ability to fund up to 350 exporters while scaling its credit limits toward $150 million.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w:t>
      </w:r>
      <w:r>
        <w:t xml:space="preserve"> that it has factored over $125 million in invoices since its inception in 2020.</w:t>
      </w:r>
    </w:p>
    <w:p w:rsidR="00C508BE" w:rsidRDefault="00122E45">
      <w:pPr>
        <w:pStyle w:val="ListBullet"/>
        <w:spacing w:after="60"/>
        <w:ind w:left="510"/>
      </w:pPr>
      <w:r>
        <w:t>The company reports securing a $50 million funding facility from a major United States bank in November 2024 to support 250 to 350 export businesses.</w:t>
      </w:r>
    </w:p>
    <w:p w:rsidR="00C508BE" w:rsidRDefault="00122E45">
      <w:pPr>
        <w:pStyle w:val="Heading2"/>
        <w:pageBreakBefore/>
        <w:shd w:val="clear" w:color="auto" w:fill="002857"/>
        <w:spacing w:after="0"/>
      </w:pPr>
      <w:bookmarkStart w:id="16" w:name="_Toc242420546"/>
      <w:r>
        <w:lastRenderedPageBreak/>
        <w:t>Monkey Servicos de Tecnol</w:t>
      </w:r>
      <w:r>
        <w:t>ogia Ltda.</w:t>
      </w:r>
      <w:bookmarkEnd w:id="16"/>
    </w:p>
    <w:p w:rsidR="00C508BE" w:rsidRDefault="00122E45">
      <w:pPr>
        <w:shd w:val="clear" w:color="auto" w:fill="002857"/>
        <w:spacing w:after="200"/>
      </w:pPr>
      <w:r>
        <w:rPr>
          <w:color w:val="CBD5E1"/>
          <w:sz w:val="18"/>
        </w:rPr>
        <w:t xml:space="preserve">Monkey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84</w:t>
      </w:r>
      <w:r>
        <w:rPr>
          <w:color w:val="CBD5E1"/>
          <w:sz w:val="18"/>
        </w:rPr>
        <w:t xml:space="preserve">     Overall </w:t>
      </w:r>
      <w:r>
        <w:rPr>
          <w:b/>
          <w:color w:val="FFFFFF"/>
          <w:sz w:val="20"/>
        </w:rPr>
        <w:t>80</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78/100</w:t>
      </w:r>
    </w:p>
    <w:p w:rsidR="00C508BE" w:rsidRDefault="00122E45">
      <w:pPr>
        <w:keepNext/>
        <w:pBdr>
          <w:left w:val="single" w:sz="24" w:space="6" w:color="52B69A"/>
        </w:pBdr>
        <w:ind w:left="170"/>
      </w:pPr>
      <w:r>
        <w:t>The rating rests on the platform's verified functional focus on open-account supply chain finance, specifically invoi</w:t>
      </w:r>
      <w:r>
        <w:t xml:space="preserve">ce discounting and reverse factoring. Based on primary research, the company's traditional trade finance capabilities can be estimated as limited to domestic supply chain receivables, based on its focus on invoice and card receivables marketplace and lack </w:t>
      </w:r>
      <w:r>
        <w:t>of letter of credit features. The company's technical infrastructure and performance metrics can be estimated as highly reliable for real-time digital auctions, based on its transaction history of 200 billion Brazilian Reais and multi-bank connectivity.</w:t>
      </w:r>
    </w:p>
    <w:p w:rsidR="00C508BE" w:rsidRDefault="00122E45">
      <w:pPr>
        <w:keepNext/>
        <w:spacing w:after="40"/>
        <w:ind w:left="170"/>
      </w:pPr>
      <w:r>
        <w:rPr>
          <w:b/>
          <w:caps/>
          <w:color w:val="64748B"/>
          <w:sz w:val="15"/>
        </w:rPr>
        <w:t>Su</w:t>
      </w:r>
      <w:r>
        <w:rPr>
          <w:b/>
          <w:caps/>
          <w:color w:val="64748B"/>
          <w:sz w:val="15"/>
        </w:rPr>
        <w:t>pporting points</w:t>
      </w:r>
    </w:p>
    <w:p w:rsidR="00C508BE" w:rsidRDefault="00122E45">
      <w:pPr>
        <w:pStyle w:val="ListBullet"/>
        <w:spacing w:after="60"/>
        <w:ind w:left="510"/>
      </w:pPr>
      <w:r>
        <w:t>Monkey Servicos de Tecnologia Ltda. (operating as Monkey Exchange) provides an online B2B marketplace platform exclusively dedicated to working capital, reverse factoring, and invoice receivables financing.</w:t>
      </w:r>
    </w:p>
    <w:p w:rsidR="00C508BE" w:rsidRDefault="00122E45">
      <w:pPr>
        <w:pStyle w:val="ListBullet"/>
        <w:spacing w:after="60"/>
        <w:ind w:left="510"/>
      </w:pPr>
      <w:r>
        <w:t>The company became an Affiliate M</w:t>
      </w:r>
      <w:r>
        <w:t>ember of FCI in July 2026 to support its cross-border factoring and supply chain finance visibility.</w:t>
      </w:r>
    </w:p>
    <w:p w:rsidR="00C508BE" w:rsidRDefault="00122E45">
      <w:pPr>
        <w:keepNext/>
        <w:pBdr>
          <w:left w:val="single" w:sz="24" w:space="6" w:color="52B69A"/>
        </w:pBdr>
        <w:spacing w:before="120" w:after="60"/>
        <w:ind w:left="170"/>
      </w:pPr>
      <w:r>
        <w:rPr>
          <w:b/>
          <w:color w:val="0F172A"/>
          <w:sz w:val="20"/>
        </w:rPr>
        <w:t>Document Checking &amp; Compliance Automation — scored 65/100</w:t>
      </w:r>
    </w:p>
    <w:p w:rsidR="00C508BE" w:rsidRDefault="00122E45">
      <w:pPr>
        <w:keepNext/>
        <w:pBdr>
          <w:left w:val="single" w:sz="24" w:space="6" w:color="52B69A"/>
        </w:pBdr>
        <w:ind w:left="170"/>
      </w:pPr>
      <w:r>
        <w:t>We verified that the company's core platform focus is exclusively centered on accounts payable, a</w:t>
      </w:r>
      <w:r>
        <w:t xml:space="preserve">ccounts receivable, and reverse auction supply chain finance marketplaces rather than documentary trade finance workflows. Based on primary research, the company's automated document and compliance checking can be estimated as focused primarily on invoice </w:t>
      </w:r>
      <w:r>
        <w:t>validation and registrar integrations, based on its automated auction system and partnerships with local entities like Nuclea and B3.</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Digital Trade Network &amp; Interoperability — scored 75/100</w:t>
      </w:r>
    </w:p>
    <w:p w:rsidR="00C508BE" w:rsidRDefault="00122E45">
      <w:pPr>
        <w:keepNext/>
        <w:pBdr>
          <w:left w:val="single" w:sz="24" w:space="6" w:color="52B69A"/>
        </w:pBdr>
        <w:ind w:left="170"/>
      </w:pPr>
      <w:r>
        <w:t xml:space="preserve">We verified that the company's </w:t>
      </w:r>
      <w:r>
        <w:t>confirmed capabilities rest strictly on domestic integrations with Brazilian financial infrastructure registrars for digital receivables management. Based on primary research, the company's global digital trade standards connectivity can be estimated as re</w:t>
      </w:r>
      <w:r>
        <w:t>stricted to national financial networks and ERP integrations, based on its explicit integration with local financial network infrastructure such as RTM and B3.</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platform integrates with Brazilian domestic finan</w:t>
      </w:r>
      <w:r>
        <w:t>cial infrastructure registrars B3, CERC, and Núclea for the country's new electronic trade acceptance model to digitize commercial receivables.</w:t>
      </w:r>
    </w:p>
    <w:p w:rsidR="00C508BE" w:rsidRDefault="00122E45">
      <w:pPr>
        <w:pStyle w:val="ListBullet"/>
        <w:spacing w:after="60"/>
        <w:ind w:left="510"/>
      </w:pPr>
      <w:r>
        <w:t>Not available LinkedIn ·Startup Researcher Latin America</w:t>
      </w:r>
    </w:p>
    <w:p w:rsidR="00C508BE" w:rsidRDefault="00122E45">
      <w:pPr>
        <w:keepNext/>
        <w:pBdr>
          <w:left w:val="single" w:sz="24" w:space="6" w:color="52B69A"/>
        </w:pBdr>
        <w:spacing w:before="120" w:after="60"/>
        <w:ind w:left="170"/>
      </w:pPr>
      <w:r>
        <w:rPr>
          <w:b/>
          <w:color w:val="0F172A"/>
          <w:sz w:val="20"/>
        </w:rPr>
        <w:t>Platform Architecture &amp; Scalability — scored 94/100</w:t>
      </w:r>
    </w:p>
    <w:p w:rsidR="00C508BE" w:rsidRDefault="00122E45">
      <w:pPr>
        <w:keepNext/>
        <w:pBdr>
          <w:left w:val="single" w:sz="24" w:space="6" w:color="52B69A"/>
        </w:pBdr>
        <w:ind w:left="170"/>
      </w:pPr>
      <w:r>
        <w:t>The</w:t>
      </w:r>
      <w:r>
        <w:t xml:space="preserve"> evaluation rests on the company's confirmed cloud deployment via Amazon Web Services and its stated API availability for supply chain finance integrations. Based on primary research, the company's platform engineering performance and architectural reliabi</w:t>
      </w:r>
      <w:r>
        <w:t>lity can be estimated as exceptionally high and highly scalable, based on its processing of over 100 billion reais in anticipated receivables, registration with B3, CERC, and Núclea, and real-time reverse auction marketplace serving over 100 corporate spon</w:t>
      </w:r>
      <w:r>
        <w:t>sors and financial institutions.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platform is integrated via API or file exchanges for operations like its SupplyBank program.</w:t>
      </w:r>
    </w:p>
    <w:p w:rsidR="00C508BE" w:rsidRDefault="00122E45">
      <w:pPr>
        <w:pStyle w:val="ListBullet"/>
        <w:spacing w:after="60"/>
        <w:ind w:left="510"/>
      </w:pPr>
      <w:r>
        <w:t>The company reports proven scalability with Amazon Web Services (AWS), delivering h</w:t>
      </w:r>
      <w:r>
        <w:t>igh availability for onboarding up to thousands of suppliers.</w:t>
      </w:r>
    </w:p>
    <w:p w:rsidR="00C508BE" w:rsidRDefault="00122E45">
      <w:pPr>
        <w:keepNext/>
        <w:pBdr>
          <w:left w:val="single" w:sz="24" w:space="6" w:color="52B69A"/>
        </w:pBdr>
        <w:spacing w:before="120" w:after="60"/>
        <w:ind w:left="170"/>
      </w:pPr>
      <w:r>
        <w:rPr>
          <w:b/>
          <w:color w:val="0F172A"/>
          <w:sz w:val="20"/>
        </w:rPr>
        <w:t>Innovation &amp; Roadmap — scored 65/100</w:t>
      </w:r>
    </w:p>
    <w:p w:rsidR="00C508BE" w:rsidRDefault="00122E45">
      <w:pPr>
        <w:keepNext/>
        <w:pBdr>
          <w:left w:val="single" w:sz="24" w:space="6" w:color="52B69A"/>
        </w:pBdr>
        <w:ind w:left="170"/>
      </w:pPr>
      <w:r>
        <w:t xml:space="preserve">Based on primary research, the company's public product roadmap and advanced technology features can be estimated as centered around structured electronic </w:t>
      </w:r>
      <w:r>
        <w:t>registry data models, based on its real-world implementation of the first digital escritural duplicate in Brazil with B3.</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has deployed its supply chain finance platform, Monkey Tech (Capital de Trabajo 2.0), providing buyer-ce</w:t>
      </w:r>
      <w:r>
        <w:t>ntric dynamic discounting, accounts payable tracking, and an auction marketplace, alongside supplier-centric reverse auctions for receivables financing.</w:t>
      </w:r>
    </w:p>
    <w:p w:rsidR="00C508BE" w:rsidRDefault="00122E45">
      <w:pPr>
        <w:keepNext/>
        <w:pBdr>
          <w:bottom w:val="single" w:sz="6" w:space="3" w:color="E2E8F0"/>
        </w:pBdr>
        <w:spacing w:before="120" w:after="120"/>
      </w:pPr>
      <w:r>
        <w:rPr>
          <w:b/>
          <w:caps/>
          <w:color w:val="1A759F"/>
        </w:rPr>
        <w:lastRenderedPageBreak/>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95/100</w:t>
      </w:r>
    </w:p>
    <w:p w:rsidR="00C508BE" w:rsidRDefault="00122E45">
      <w:pPr>
        <w:keepNext/>
        <w:pBdr>
          <w:left w:val="single" w:sz="24" w:space="6" w:color="52B69A"/>
        </w:pBdr>
        <w:ind w:left="170"/>
      </w:pPr>
      <w:r>
        <w:t>The rating rests on the extens</w:t>
      </w:r>
      <w:r>
        <w:t>ive and highly verifiable list of major global corporations, large scale regional buyers, and premier international financial institutions actively using or integrated into Monkey's auction-based trade receivables platform. Based on primary research, the c</w:t>
      </w:r>
      <w:r>
        <w:t>ompany's transaction volumes per client can be estimated as substantial across key financial institutions and corporate networks, based on its over 30,000 companies, 100 clients, and partnerships with Itaú and HSBC.</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Monkey Servicos de Tec</w:t>
      </w:r>
      <w:r>
        <w:t>nologia Ltda. (Monkey Tech) officially lists large corporate buyers using its platform, including Petrobras, Stellantis (including Banco Stellantis), Ambev, Gerdau, Saint-Gobain, Scania, Suzano, iFood, Rede D'Or, Usiminas, and M. Dias Branco.</w:t>
      </w:r>
    </w:p>
    <w:p w:rsidR="00C508BE" w:rsidRDefault="00122E45">
      <w:pPr>
        <w:pStyle w:val="ListBullet"/>
        <w:spacing w:after="60"/>
        <w:ind w:left="510"/>
      </w:pPr>
      <w:r>
        <w:t xml:space="preserve">The company </w:t>
      </w:r>
      <w:r>
        <w:t>has integrated and connected more than 100 financial institutions to fund transactions on its supply chain finance and receivables marketplace, including global and regional institutions such as Bank of America (which formed a strategic alliance with Monke</w:t>
      </w:r>
      <w:r>
        <w:t>y in 2024), Citibank, HSBC, Itaú Unibanco, Bradesco, Santander, BNP Paribas, MUFG, Société Générale, Safra, and BTG Pactual.</w:t>
      </w:r>
    </w:p>
    <w:p w:rsidR="00C508BE" w:rsidRDefault="00122E45">
      <w:pPr>
        <w:keepNext/>
        <w:pBdr>
          <w:left w:val="single" w:sz="24" w:space="6" w:color="52B69A"/>
        </w:pBdr>
        <w:spacing w:before="120" w:after="60"/>
        <w:ind w:left="170"/>
      </w:pPr>
      <w:r>
        <w:rPr>
          <w:b/>
          <w:color w:val="0F172A"/>
          <w:sz w:val="20"/>
        </w:rPr>
        <w:t>Revenue &amp; Growth — scored 72/100</w:t>
      </w:r>
    </w:p>
    <w:p w:rsidR="00C508BE" w:rsidRDefault="00122E45">
      <w:pPr>
        <w:keepNext/>
        <w:pBdr>
          <w:left w:val="single" w:sz="24" w:space="6" w:color="52B69A"/>
        </w:pBdr>
        <w:ind w:left="170"/>
      </w:pPr>
      <w:r>
        <w:t>Based on primary research, the company's annual recurring revenue and growth can be estimated as g</w:t>
      </w:r>
      <w:r>
        <w:t>rowing steadily given the rapid adoption of its working capital products, based on its processing of over 130,000 invoices in 12 months and expanding financial flows.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Support — scored 75/100</w:t>
      </w:r>
    </w:p>
    <w:p w:rsidR="00C508BE" w:rsidRDefault="00122E45">
      <w:pPr>
        <w:keepNext/>
        <w:pBdr>
          <w:left w:val="single" w:sz="24" w:space="6" w:color="52B69A"/>
        </w:pBdr>
        <w:ind w:left="170"/>
      </w:pPr>
      <w:r>
        <w:t>We verif</w:t>
      </w:r>
      <w:r>
        <w:t>ied that the company's confirmed operations, physical presence, and support resources are concentrated entirely within Latin America, specifically via its headquarters in Brazil and a regional footprint in Mexico. Based on primary research, the company's g</w:t>
      </w:r>
      <w:r>
        <w:t>lobal support infrastructure outside latin america can be estimated as early stage or developing compared to its regional stronghold, based on its localized expansions focused on Mexico and the USA alongside its core operations in Brazil.</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maintains its main corporate office in São Paulo, Brazil.</w:t>
      </w:r>
    </w:p>
    <w:p w:rsidR="00C508BE" w:rsidRDefault="00122E45">
      <w:pPr>
        <w:pStyle w:val="ListBullet"/>
        <w:spacing w:after="60"/>
        <w:ind w:left="510"/>
      </w:pPr>
      <w:r>
        <w:t>The company provides localized regional coverage across Latin America, maintaining dedicated staff focused on the Mexican and Spanish LATAM markets.</w:t>
      </w:r>
    </w:p>
    <w:p w:rsidR="00C508BE" w:rsidRDefault="00122E45">
      <w:pPr>
        <w:keepNext/>
        <w:pBdr>
          <w:left w:val="single" w:sz="24" w:space="6" w:color="52B69A"/>
        </w:pBdr>
        <w:spacing w:before="120" w:after="60"/>
        <w:ind w:left="170"/>
      </w:pPr>
      <w:r>
        <w:rPr>
          <w:b/>
          <w:color w:val="0F172A"/>
          <w:sz w:val="20"/>
        </w:rPr>
        <w:t>Funding &amp; Ownership — scored 93/100</w:t>
      </w:r>
    </w:p>
    <w:p w:rsidR="00C508BE" w:rsidRDefault="00122E45">
      <w:pPr>
        <w:keepNext/>
        <w:pBdr>
          <w:left w:val="single" w:sz="24" w:space="6" w:color="52B69A"/>
        </w:pBdr>
        <w:ind w:left="170"/>
      </w:pPr>
      <w:r>
        <w:t>The rating rests on the company's verified procurement of institutional Series B capital led by a prominent corporate venture builder and backed by international development and venture finance institutions. Based on primary research, the company's post-mo</w:t>
      </w:r>
      <w:r>
        <w:t>ney valuation or cash flow sustainability can be estimated as strong and well-capitalised to support regional growth, based on its share capital of over 59 million Brazilian Reais and multi-country operational scale.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announced</w:t>
      </w:r>
      <w:r>
        <w:t xml:space="preserve"> a R$67 million Series B funding round in July 2024, which was led by L4 (the corporate venture capital fund of B3).</w:t>
      </w:r>
    </w:p>
    <w:p w:rsidR="00C508BE" w:rsidRDefault="00122E45">
      <w:pPr>
        <w:pStyle w:val="ListBullet"/>
        <w:spacing w:after="60"/>
        <w:ind w:left="510"/>
      </w:pPr>
      <w:r>
        <w:t xml:space="preserve">The company's funding history includes participation from institutional investors and development finance institutions, including DEG (the </w:t>
      </w:r>
      <w:r>
        <w:t>German development bank), Quona Capital, and Kinea Investimentos.</w:t>
      </w:r>
    </w:p>
    <w:p w:rsidR="00C508BE" w:rsidRDefault="00122E45">
      <w:pPr>
        <w:keepNext/>
        <w:pBdr>
          <w:left w:val="single" w:sz="24" w:space="6" w:color="52B69A"/>
        </w:pBdr>
        <w:spacing w:before="120" w:after="60"/>
        <w:ind w:left="170"/>
      </w:pPr>
      <w:r>
        <w:rPr>
          <w:b/>
          <w:color w:val="0F172A"/>
          <w:sz w:val="20"/>
        </w:rPr>
        <w:t>Market Share &amp; Installed Base — scored 85/100</w:t>
      </w:r>
    </w:p>
    <w:p w:rsidR="00C508BE" w:rsidRDefault="00122E45">
      <w:pPr>
        <w:keepNext/>
        <w:pBdr>
          <w:left w:val="single" w:sz="24" w:space="6" w:color="52B69A"/>
        </w:pBdr>
        <w:ind w:left="170"/>
      </w:pPr>
      <w:r>
        <w:t>The evaluation rests on self-reported activity metrics demonstrating transactional volume and a verified regional partnership with a major inter</w:t>
      </w:r>
      <w:r>
        <w:t>national bank. Based on primary research, the company's comparative global market share can be estimated as highly competitive regionally but emerging globally, based on its status as a leading platform for receivables anticipation in Latin America with ov</w:t>
      </w:r>
      <w:r>
        <w:t>er $1 billion unlocked.</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platform has unlocked more than $1 billion for suppliers and processed over 130,000 invoices within a 12-month period for its client Suzano.</w:t>
      </w:r>
    </w:p>
    <w:p w:rsidR="00C508BE" w:rsidRDefault="00122E45">
      <w:pPr>
        <w:pStyle w:val="ListBullet"/>
        <w:spacing w:after="60"/>
        <w:ind w:left="510"/>
      </w:pPr>
      <w:r>
        <w:t>An independent report by Bank of America not</w:t>
      </w:r>
      <w:r>
        <w:t>es that during 2024, the bank formed a strategic alliance in Brazil with Monkey as a third-party supply chain finance service provider.</w:t>
      </w:r>
    </w:p>
    <w:p w:rsidR="00C508BE" w:rsidRDefault="00122E45">
      <w:pPr>
        <w:pStyle w:val="Heading2"/>
        <w:pageBreakBefore/>
        <w:shd w:val="clear" w:color="auto" w:fill="002857"/>
        <w:spacing w:after="0"/>
      </w:pPr>
      <w:bookmarkStart w:id="17" w:name="_Toc242420547"/>
      <w:r>
        <w:lastRenderedPageBreak/>
        <w:t>China Systems Corporation</w:t>
      </w:r>
      <w:bookmarkEnd w:id="17"/>
    </w:p>
    <w:p w:rsidR="00C508BE" w:rsidRDefault="00122E45">
      <w:pPr>
        <w:shd w:val="clear" w:color="auto" w:fill="002857"/>
        <w:spacing w:after="200"/>
      </w:pPr>
      <w:r>
        <w:rPr>
          <w:color w:val="CBD5E1"/>
          <w:sz w:val="18"/>
        </w:rPr>
        <w:t xml:space="preserve">China Systems   </w:t>
      </w:r>
      <w:r>
        <w:rPr>
          <w:color w:val="C4B5FD"/>
          <w:sz w:val="18"/>
        </w:rPr>
        <w:t xml:space="preserve">● </w:t>
      </w:r>
      <w:r>
        <w:rPr>
          <w:b/>
          <w:color w:val="FFFFFF"/>
          <w:sz w:val="18"/>
        </w:rPr>
        <w:t>Trailblazers</w:t>
      </w:r>
      <w:r>
        <w:rPr>
          <w:color w:val="CBD5E1"/>
          <w:sz w:val="18"/>
        </w:rPr>
        <w:t xml:space="preserve">     X </w:t>
      </w:r>
      <w:r>
        <w:rPr>
          <w:b/>
          <w:color w:val="FFFFFF"/>
          <w:sz w:val="20"/>
        </w:rPr>
        <w:t>98</w:t>
      </w:r>
      <w:r>
        <w:rPr>
          <w:color w:val="CBD5E1"/>
          <w:sz w:val="18"/>
        </w:rPr>
        <w:t xml:space="preserve">     Y </w:t>
      </w:r>
      <w:r>
        <w:rPr>
          <w:b/>
          <w:color w:val="FFFFFF"/>
          <w:sz w:val="20"/>
        </w:rPr>
        <w:t>85</w:t>
      </w:r>
      <w:r>
        <w:rPr>
          <w:color w:val="CBD5E1"/>
          <w:sz w:val="18"/>
        </w:rPr>
        <w:t xml:space="preserve">     Overall </w:t>
      </w:r>
      <w:r>
        <w:rPr>
          <w:b/>
          <w:color w:val="FFFFFF"/>
          <w:sz w:val="20"/>
        </w:rPr>
        <w:t>92</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100/100</w:t>
      </w:r>
    </w:p>
    <w:p w:rsidR="00C508BE" w:rsidRDefault="00122E45">
      <w:pPr>
        <w:keepNext/>
        <w:pBdr>
          <w:left w:val="single" w:sz="24" w:space="6" w:color="52B69A"/>
        </w:pBdr>
        <w:ind w:left="170"/>
      </w:pPr>
      <w:r>
        <w:t>The rating rests on the company's established market capability to deliver an end-to-end, broad-spectrum trade processing infrastructure that is annually verified by SWIFT application labels and implemented gl</w:t>
      </w:r>
      <w:r>
        <w:t xml:space="preserve">obally across major tier-one and regional financial institutions. Based on primary research, the company's localization catalog can be estimated as broad across the major trade hubs, based on its extensive global footprint in traditional trade finance and </w:t>
      </w:r>
      <w:r>
        <w:t>supply chain finance solutions.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core platform, Eximbills Enterprise, supports a comprehensive range of traditional trade and open-account instruments, including import and export letters of credit, standby let</w:t>
      </w:r>
      <w:r>
        <w:t>ters of credit, clean and documentary collections, inward and outward bank guarantees, shipping guarantees, trade finance loans, open account transactions, factoring, reverse factoring, and forfaiting.</w:t>
      </w:r>
    </w:p>
    <w:p w:rsidR="00C508BE" w:rsidRDefault="00122E45">
      <w:pPr>
        <w:pStyle w:val="ListBullet"/>
        <w:spacing w:after="60"/>
        <w:ind w:left="510"/>
      </w:pPr>
      <w:r>
        <w:t>The company reports that its software architecture nat</w:t>
      </w:r>
      <w:r>
        <w:t>ively embeds advanced product features such as unlimited multi-currency reporting, parameter-driven configurations, automated compliance processing, and full alignment with SWIFT, UCP, and ISO 20022 messaging standards.</w:t>
      </w:r>
    </w:p>
    <w:p w:rsidR="00C508BE" w:rsidRDefault="00122E45">
      <w:pPr>
        <w:keepNext/>
        <w:pBdr>
          <w:left w:val="single" w:sz="24" w:space="6" w:color="52B69A"/>
        </w:pBdr>
        <w:spacing w:before="120" w:after="60"/>
        <w:ind w:left="170"/>
      </w:pPr>
      <w:r>
        <w:rPr>
          <w:b/>
          <w:color w:val="0F172A"/>
          <w:sz w:val="20"/>
        </w:rPr>
        <w:t>Document Checking &amp; Compliance Autom</w:t>
      </w:r>
      <w:r>
        <w:rPr>
          <w:b/>
          <w:color w:val="0F172A"/>
          <w:sz w:val="20"/>
        </w:rPr>
        <w:t>ation — scored 100/100</w:t>
      </w:r>
    </w:p>
    <w:p w:rsidR="00C508BE" w:rsidRDefault="00122E45">
      <w:pPr>
        <w:keepNext/>
        <w:pBdr>
          <w:left w:val="single" w:sz="24" w:space="6" w:color="52B69A"/>
        </w:pBdr>
        <w:ind w:left="170"/>
      </w:pPr>
      <w:r>
        <w:t>The evaluation rests on the company's established core workflows integrated with specialized external compliance and document checking automated engines. Based on primary research, the company's document checking accuracy can be esti</w:t>
      </w:r>
      <w:r>
        <w:t>mated as high, in line with leading automated intelligence fintechs, based on its CSAI module specializing in optical character recognition, intelligent document classification, and data extraction.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native tra</w:t>
      </w:r>
      <w:r>
        <w:t>de and supply chain compliance solution automates screening for individuals, countries, dual-use goods, and vessel information, featuring an out-of-the-box integration with Accuity's Compliance Link for Trade Finance.</w:t>
      </w:r>
    </w:p>
    <w:p w:rsidR="00C508BE" w:rsidRDefault="00122E45">
      <w:pPr>
        <w:pStyle w:val="ListBullet"/>
        <w:spacing w:after="60"/>
        <w:ind w:left="510"/>
      </w:pPr>
      <w:r>
        <w:t>The company completed a full integrati</w:t>
      </w:r>
      <w:r>
        <w:t>on in October 2022 with partner technology provider Traydstream to embed automated machine learning-based document checking, digitisation, and validation against 250,000+ trade and compliance rules directly into the Eximbills Enterprise banking architectur</w:t>
      </w:r>
      <w:r>
        <w:t>e.</w:t>
      </w:r>
    </w:p>
    <w:p w:rsidR="00C508BE" w:rsidRDefault="00122E45">
      <w:pPr>
        <w:keepNext/>
        <w:pBdr>
          <w:left w:val="single" w:sz="24" w:space="6" w:color="52B69A"/>
        </w:pBdr>
        <w:spacing w:before="120" w:after="60"/>
        <w:ind w:left="170"/>
      </w:pPr>
      <w:r>
        <w:rPr>
          <w:b/>
          <w:color w:val="0F172A"/>
          <w:sz w:val="20"/>
        </w:rPr>
        <w:t>Digital Trade Network &amp; Interoperability — scored 95/100</w:t>
      </w:r>
    </w:p>
    <w:p w:rsidR="00C508BE" w:rsidRDefault="00122E45">
      <w:pPr>
        <w:keepNext/>
        <w:pBdr>
          <w:left w:val="single" w:sz="24" w:space="6" w:color="52B69A"/>
        </w:pBdr>
        <w:ind w:left="170"/>
      </w:pPr>
      <w:r>
        <w:t>The evaluation rests on the company's independently validated SWIFT certifications and documented software connectivity with prominent multi-bank messaging networks and blockchain-based eBL platfo</w:t>
      </w:r>
      <w:r>
        <w:t>rms. Based on primary research, the company's network partner metrics can be estimated as growing steadily through global alliance expansions, based on its strategic integrations with global banking platforms and major technology firms.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w:t>
      </w:r>
      <w:r>
        <w:t>he company reports that its core trade finance platform, Eximbills Enterprise, maintains API integrations with major electronic bill of lading (eBL) and digital trade documentation networks, including established technical partnerships with Bolero, CargoX,</w:t>
      </w:r>
      <w:r>
        <w:t xml:space="preserve"> and Enigio's trace:original.</w:t>
      </w:r>
    </w:p>
    <w:p w:rsidR="00C508BE" w:rsidRDefault="00122E45">
      <w:pPr>
        <w:pStyle w:val="ListBullet"/>
        <w:spacing w:after="60"/>
        <w:ind w:left="510"/>
      </w:pPr>
      <w:r>
        <w:t>Independent verification from SWIFT confirms that the company achieved four SWIFT Compatible Application Labels for 2026 covering Trade Finance, Payments, Trade Finance for Corporates, and SWIFTgpi, ensuring native alignment w</w:t>
      </w:r>
      <w:r>
        <w:t>ith SWIFT MT7xx standards.</w:t>
      </w:r>
    </w:p>
    <w:p w:rsidR="00C508BE" w:rsidRDefault="00122E45">
      <w:pPr>
        <w:keepNext/>
        <w:pBdr>
          <w:left w:val="single" w:sz="24" w:space="6" w:color="52B69A"/>
        </w:pBdr>
        <w:spacing w:before="120" w:after="60"/>
        <w:ind w:left="170"/>
      </w:pPr>
      <w:r>
        <w:rPr>
          <w:b/>
          <w:color w:val="0F172A"/>
          <w:sz w:val="20"/>
        </w:rPr>
        <w:t>Platform Architecture &amp; Scalability — scored 100/100</w:t>
      </w:r>
    </w:p>
    <w:p w:rsidR="00C508BE" w:rsidRDefault="00122E45">
      <w:pPr>
        <w:keepNext/>
        <w:pBdr>
          <w:left w:val="single" w:sz="24" w:space="6" w:color="52B69A"/>
        </w:pBdr>
        <w:ind w:left="170"/>
      </w:pPr>
      <w:r>
        <w:t>The assessment rests on the verified client deployment of the company's microservices architecture and its documented support for cloud and API integrations. Based on primary r</w:t>
      </w:r>
      <w:r>
        <w:t>esearch, the company's technical performance metrics can be estimated as strong, supporting high-volume corporate transaction processing, based on its Eximbills Enterprise core trade finance processing engine deployed across major international banking ins</w:t>
      </w:r>
      <w:r>
        <w:t>titutions.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flagship solution, Eximbills, is a cloud-enabled, Java EE-compliant technology platform utilizing an OpenAPI design to facilitate WebServices and Microservices architectures.</w:t>
      </w:r>
    </w:p>
    <w:p w:rsidR="00C508BE" w:rsidRDefault="00122E45">
      <w:pPr>
        <w:pStyle w:val="ListBullet"/>
        <w:spacing w:after="60"/>
        <w:ind w:left="510"/>
      </w:pPr>
      <w:r>
        <w:t xml:space="preserve">In February 2025, the </w:t>
      </w:r>
      <w:r>
        <w:t>company completed a deployment of a cloud-based supply chain financing solution leveraging Eximbills Microservices in collaboration with Nedbank CIB.</w:t>
      </w:r>
    </w:p>
    <w:p w:rsidR="00C508BE" w:rsidRDefault="00122E45">
      <w:pPr>
        <w:keepNext/>
        <w:pBdr>
          <w:left w:val="single" w:sz="24" w:space="6" w:color="52B69A"/>
        </w:pBdr>
        <w:spacing w:before="120" w:after="60"/>
        <w:ind w:left="170"/>
      </w:pPr>
      <w:r>
        <w:rPr>
          <w:b/>
          <w:color w:val="0F172A"/>
          <w:sz w:val="20"/>
        </w:rPr>
        <w:lastRenderedPageBreak/>
        <w:t>Innovation &amp; Roadmap — scored 97/100</w:t>
      </w:r>
    </w:p>
    <w:p w:rsidR="00C508BE" w:rsidRDefault="00122E45">
      <w:pPr>
        <w:keepNext/>
        <w:pBdr>
          <w:left w:val="single" w:sz="24" w:space="6" w:color="52B69A"/>
        </w:pBdr>
        <w:ind w:left="170"/>
      </w:pPr>
      <w:r>
        <w:t>The rating rests on confirmed capabilities in integrating operational</w:t>
      </w:r>
      <w:r>
        <w:t xml:space="preserve"> AI for automated document checking and establishing a dedicated trade digitalization unit to deploy third-party blockchain technologies. Based on primary research, the company's product roadmap and patents can be estimated as continuously evolving toward </w:t>
      </w:r>
      <w:r>
        <w:t>digital and connected intelligence, based on its stated progression from traditional paper workflows to advanced automation and ecosystem connectivity.</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integrating its back-office engine with an optical character recog</w:t>
      </w:r>
      <w:r>
        <w:t>nition (OCR) and artificial intelligence (AI) engine for real-time document checking, document classification, and machine-learning-driven rule execution to fully automate letter of credit processing workflows.</w:t>
      </w:r>
    </w:p>
    <w:p w:rsidR="00C508BE" w:rsidRDefault="00122E45">
      <w:pPr>
        <w:pStyle w:val="ListBullet"/>
        <w:spacing w:after="60"/>
        <w:ind w:left="510"/>
      </w:pPr>
      <w:r>
        <w:t>The company launched a Trade Digitalisation S</w:t>
      </w:r>
      <w:r>
        <w:t>ervices (TDS) unit to consult and run integration projects with trade finance fintech partners, including working with Enigio to integrate its trace:original blockchain-based digital document flow into China Systems' Eximbills Enterprise back-office platfo</w:t>
      </w:r>
      <w:r>
        <w:t>rm.</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95/100</w:t>
      </w:r>
    </w:p>
    <w:p w:rsidR="00C508BE" w:rsidRDefault="00122E45">
      <w:pPr>
        <w:keepNext/>
        <w:pBdr>
          <w:left w:val="single" w:sz="24" w:space="6" w:color="52B69A"/>
        </w:pBdr>
        <w:ind w:left="170"/>
      </w:pPr>
      <w:r>
        <w:t xml:space="preserve">The assessment rests on verified deployments at prominent institutions such as Bank Mandiri, City Bank PLC, Nedbank, and Bank of China, demonstrating an established customer base </w:t>
      </w:r>
      <w:r>
        <w:t xml:space="preserve">of over 100 banks worldwide. Based on primary research, the company's corporate-side client registry can be estimated as highly restricted by non-disclosure agreements, based on its implementation updates for individual tier one banks like Mizuho and Bank </w:t>
      </w:r>
      <w:r>
        <w:t>Mandiri without publishing a unified public corporate directory.</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China Systems announced the successful launch of Bank Mandiri's upgraded Kopra Trade digital portal in February 2026, which uses the vendor's front-end solution to manage tr</w:t>
      </w:r>
      <w:r>
        <w:t>ade finance and bank guarantee transactions.</w:t>
      </w:r>
    </w:p>
    <w:p w:rsidR="00C508BE" w:rsidRDefault="00122E45">
      <w:pPr>
        <w:pStyle w:val="ListBullet"/>
        <w:spacing w:after="60"/>
        <w:ind w:left="510"/>
      </w:pPr>
      <w:r>
        <w:t>City Bank PLC went live on China Systems' Eximbills Enterprise and Customer Enterprise solutions in July 2025 to digitally transform its paper-based trade finance processing in Bangladesh.</w:t>
      </w:r>
    </w:p>
    <w:p w:rsidR="00C508BE" w:rsidRDefault="00122E45">
      <w:pPr>
        <w:keepNext/>
        <w:pBdr>
          <w:left w:val="single" w:sz="24" w:space="6" w:color="52B69A"/>
        </w:pBdr>
        <w:spacing w:before="120" w:after="60"/>
        <w:ind w:left="170"/>
      </w:pPr>
      <w:r>
        <w:rPr>
          <w:b/>
          <w:color w:val="0F172A"/>
          <w:sz w:val="20"/>
        </w:rPr>
        <w:t>Revenue &amp; Growth — sco</w:t>
      </w:r>
      <w:r>
        <w:rPr>
          <w:b/>
          <w:color w:val="0F172A"/>
          <w:sz w:val="20"/>
        </w:rPr>
        <w:t>red 72/100</w:t>
      </w:r>
    </w:p>
    <w:p w:rsidR="00C508BE" w:rsidRDefault="00122E45">
      <w:pPr>
        <w:keepNext/>
        <w:pBdr>
          <w:left w:val="single" w:sz="24" w:space="6" w:color="52B69A"/>
        </w:pBdr>
        <w:ind w:left="170"/>
      </w:pPr>
      <w:r>
        <w:t xml:space="preserve">Based on primary research, the company's annual recurring revenue or growth rate can be estimated as growing steadily based on long-term enterprise licensing, based on its 9-time selection as global trade review best trade finance software </w:t>
      </w:r>
      <w:r>
        <w:t>provider and decades of tier one banking agreements.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Support — scored 100/100</w:t>
      </w:r>
    </w:p>
    <w:p w:rsidR="00C508BE" w:rsidRDefault="00122E45">
      <w:pPr>
        <w:keepNext/>
        <w:pBdr>
          <w:left w:val="single" w:sz="24" w:space="6" w:color="52B69A"/>
        </w:pBdr>
        <w:ind w:left="170"/>
      </w:pPr>
      <w:r>
        <w:t>We verified that the company possesses a substantial global office network covering major international financial and tra</w:t>
      </w:r>
      <w:r>
        <w:t>de hubs across Europe, North America, the Middle East, and Asia to deliver localized operations and client support. Based on primary research, the company's technical headcount allocation can be estimated as heavily concentrated in its mainland development</w:t>
      </w:r>
      <w:r>
        <w:t xml:space="preserve"> hub, based on its nanjing software development center hosting more than 100 developers out of its global network of branches.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maintaining a network of global offices located in London, Lisbon, New York, Dubai, Beijing</w:t>
      </w:r>
      <w:r>
        <w:t>, Guangzhou, Shanghai, Hong Kong, Taipei, Nanjing, Manila, and Bangkok, along with third-party distributors in Singapore, Malaysia, and Indonesia.</w:t>
      </w:r>
    </w:p>
    <w:p w:rsidR="00C508BE" w:rsidRDefault="00122E45">
      <w:pPr>
        <w:pStyle w:val="ListBullet"/>
        <w:spacing w:after="60"/>
        <w:ind w:left="510"/>
      </w:pPr>
      <w:r>
        <w:t>The company reports that its office footprint provides dedicated regional addresses, phone numbers, and local</w:t>
      </w:r>
      <w:r>
        <w:t xml:space="preserve"> sales and support contacts to handle implementation and maintenance services for banks throughout their branch networks.</w:t>
      </w:r>
    </w:p>
    <w:p w:rsidR="00C508BE" w:rsidRDefault="00122E45">
      <w:pPr>
        <w:keepNext/>
        <w:pBdr>
          <w:left w:val="single" w:sz="24" w:space="6" w:color="52B69A"/>
        </w:pBdr>
        <w:spacing w:before="120" w:after="60"/>
        <w:ind w:left="170"/>
      </w:pPr>
      <w:r>
        <w:rPr>
          <w:b/>
          <w:color w:val="0F172A"/>
          <w:sz w:val="20"/>
        </w:rPr>
        <w:t>Funding &amp; Ownership — scored 66/100</w:t>
      </w:r>
    </w:p>
    <w:p w:rsidR="00C508BE" w:rsidRDefault="00122E45">
      <w:pPr>
        <w:keepNext/>
        <w:pBdr>
          <w:left w:val="single" w:sz="24" w:space="6" w:color="52B69A"/>
        </w:pBdr>
        <w:ind w:left="170"/>
      </w:pPr>
      <w:r>
        <w:t>Based on primary research, the company's capital structure or ownership details can be estimated a</w:t>
      </w:r>
      <w:r>
        <w:t>s privately held by its founding entities and regional management, based on its established corporate history since 102 starting from taipei and extending to a holding structure in hong kong.</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 xml:space="preserve">Market Share &amp; Installed Base — </w:t>
      </w:r>
      <w:r>
        <w:rPr>
          <w:b/>
          <w:color w:val="0F172A"/>
          <w:sz w:val="20"/>
        </w:rPr>
        <w:t>scored 92/100</w:t>
      </w:r>
    </w:p>
    <w:p w:rsidR="00C508BE" w:rsidRDefault="00122E45">
      <w:pPr>
        <w:keepNext/>
        <w:pBdr>
          <w:left w:val="single" w:sz="24" w:space="6" w:color="52B69A"/>
        </w:pBdr>
        <w:ind w:left="170"/>
      </w:pPr>
      <w:r>
        <w:t xml:space="preserve">The evaluation is based on the company's documented international footprint across more than 150 financial institution clients and its multi-decade history with the Eximbills architecture. Based on primary research, the </w:t>
      </w:r>
      <w:r>
        <w:lastRenderedPageBreak/>
        <w:t>company's percentage s</w:t>
      </w:r>
      <w:r>
        <w:t>hare of global volume or corporate users can be estimated as globally dominant among tier one banking trade networks, based on its software footprint supporting major global financial institutions across more than 90 countries along with recurring annual s</w:t>
      </w:r>
      <w:r>
        <w:t>wift certifications. LinkedIn ·China Systems +1</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serving more than 150 bank customers worldwide, with its flagship trade finance back-office application, Eximbills, deployed in over 75 countries.</w:t>
      </w:r>
    </w:p>
    <w:p w:rsidR="00C508BE" w:rsidRDefault="00122E45">
      <w:pPr>
        <w:pStyle w:val="ListBullet"/>
        <w:spacing w:after="60"/>
        <w:ind w:left="510"/>
      </w:pPr>
      <w:r>
        <w:t>An independent historic</w:t>
      </w:r>
      <w:r>
        <w:t>al review noted that Eximbills was utilized by more than 200 customers across over 600 installations globally.</w:t>
      </w:r>
    </w:p>
    <w:p w:rsidR="00C508BE" w:rsidRDefault="00122E45">
      <w:pPr>
        <w:pStyle w:val="Heading2"/>
        <w:pageBreakBefore/>
        <w:shd w:val="clear" w:color="auto" w:fill="002857"/>
        <w:spacing w:after="0"/>
      </w:pPr>
      <w:bookmarkStart w:id="18" w:name="_Toc242420548"/>
      <w:r>
        <w:lastRenderedPageBreak/>
        <w:t>KredX</w:t>
      </w:r>
      <w:bookmarkEnd w:id="18"/>
    </w:p>
    <w:p w:rsidR="00C508BE" w:rsidRDefault="00122E45">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88</w:t>
      </w:r>
      <w:r>
        <w:rPr>
          <w:color w:val="CBD5E1"/>
          <w:sz w:val="18"/>
        </w:rPr>
        <w:t xml:space="preserve">     Overall </w:t>
      </w:r>
      <w:r>
        <w:rPr>
          <w:b/>
          <w:color w:val="FFFFFF"/>
          <w:sz w:val="20"/>
        </w:rPr>
        <w:t>88</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88/100</w:t>
      </w:r>
    </w:p>
    <w:p w:rsidR="00C508BE" w:rsidRDefault="00122E45">
      <w:pPr>
        <w:keepNext/>
        <w:pBdr>
          <w:left w:val="single" w:sz="24" w:space="6" w:color="52B69A"/>
        </w:pBdr>
        <w:ind w:left="170"/>
      </w:pPr>
      <w:r>
        <w:t>We verified that th</w:t>
      </w:r>
      <w:r>
        <w:t>e platform's core product breadth is primarily built around invoice discounting, factoring, and financing existing letters of credit for domestic and cross-border trade transactions. Based on primary research, the company's native platform trade finance su</w:t>
      </w:r>
      <w:r>
        <w:t>pport can be estimated as comprehensive for post-shipment transactions, based on its usance and standby letters of credit, bank guarantees, and export bill negotiation features.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Domestic Trade Exchange (DTX) a</w:t>
      </w:r>
      <w:r>
        <w:t>nd Global Trade Exchange (GTX) digital platforms specialize in supply chain finance, supporting trade receivables discounting, domestic and export factoring, and letter of credit discounting.</w:t>
      </w:r>
    </w:p>
    <w:p w:rsidR="00C508BE" w:rsidRDefault="00122E45">
      <w:pPr>
        <w:pStyle w:val="ListBullet"/>
        <w:spacing w:after="60"/>
        <w:ind w:left="510"/>
      </w:pPr>
      <w:r>
        <w:t>The company reports offering import financing, external commerci</w:t>
      </w:r>
      <w:r>
        <w:t>al borrowing, and buyer's credit capabilities via its global marketplace network.</w:t>
      </w:r>
    </w:p>
    <w:p w:rsidR="00C508BE" w:rsidRDefault="00122E45">
      <w:pPr>
        <w:keepNext/>
        <w:pBdr>
          <w:left w:val="single" w:sz="24" w:space="6" w:color="52B69A"/>
        </w:pBdr>
        <w:spacing w:before="120" w:after="60"/>
        <w:ind w:left="170"/>
      </w:pPr>
      <w:r>
        <w:rPr>
          <w:b/>
          <w:color w:val="0F172A"/>
          <w:sz w:val="20"/>
        </w:rPr>
        <w:t>Document Checking &amp; Compliance Automation — scored 83/100</w:t>
      </w:r>
    </w:p>
    <w:p w:rsidR="00C508BE" w:rsidRDefault="00122E45">
      <w:pPr>
        <w:keepNext/>
        <w:pBdr>
          <w:left w:val="single" w:sz="24" w:space="6" w:color="52B69A"/>
        </w:pBdr>
        <w:ind w:left="170"/>
      </w:pPr>
      <w:r>
        <w:t xml:space="preserve">The evaluation rests on confirmed automated capabilities for three-way invoice matching and duplicate financing </w:t>
      </w:r>
      <w:r>
        <w:t>verification. Based on primary research, the company's automated trade document compliance checking can be estimated as highly integrated with regulatory orchestration, based on its automated sanctions screening, digital KYC and anti-money laundering verif</w:t>
      </w:r>
      <w:r>
        <w:t>ication, and compliance document validation.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Domestic Trade Exchange platform utilizes automated three-way matching of invoices, purchase orders, and verified goods receipts to enable instant validation.</w:t>
      </w:r>
    </w:p>
    <w:p w:rsidR="00C508BE" w:rsidRDefault="00122E45">
      <w:pPr>
        <w:pStyle w:val="ListBullet"/>
        <w:spacing w:after="60"/>
        <w:ind w:left="510"/>
      </w:pPr>
      <w:r>
        <w:t xml:space="preserve">The </w:t>
      </w:r>
      <w:r>
        <w:t>company reports that its platform integrates with the MonetaGo Secure Financing system to perform real-time validation against duplicate invoice financing risks.</w:t>
      </w:r>
    </w:p>
    <w:p w:rsidR="00C508BE" w:rsidRDefault="00122E45">
      <w:pPr>
        <w:keepNext/>
        <w:pBdr>
          <w:left w:val="single" w:sz="24" w:space="6" w:color="52B69A"/>
        </w:pBdr>
        <w:spacing w:before="120" w:after="60"/>
        <w:ind w:left="170"/>
      </w:pPr>
      <w:r>
        <w:rPr>
          <w:b/>
          <w:color w:val="0F172A"/>
          <w:sz w:val="20"/>
        </w:rPr>
        <w:t>Digital Trade Network &amp; Interoperability — scored 88/100</w:t>
      </w:r>
    </w:p>
    <w:p w:rsidR="00C508BE" w:rsidRDefault="00122E45">
      <w:pPr>
        <w:keepNext/>
        <w:pBdr>
          <w:left w:val="single" w:sz="24" w:space="6" w:color="52B69A"/>
        </w:pBdr>
        <w:ind w:left="170"/>
      </w:pPr>
      <w:r>
        <w:t>We verified that the platform demonst</w:t>
      </w:r>
      <w:r>
        <w:t>rates clear transactional network connectivity via its integration with MonetaGo on the Swift API infrastructure. Based on primary research, the company's electronic bill of lading processing capabilities can be estimated as digitally integrated with globa</w:t>
      </w:r>
      <w:r>
        <w:t>l trade workflows, based on its published analysis on advantages of electronic bills of lading and paperless digital transformations.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KredX announced a strategic partnership in August 2025 under which its Domestic Trade Exchange (DTX) pla</w:t>
      </w:r>
      <w:r>
        <w:t>tform utilizes MonetaGo's Secure Financing system, an application integrated into Swift's API-enabled infrastructure to prevent duplicate trade financing fraud.</w:t>
      </w:r>
    </w:p>
    <w:p w:rsidR="00C508BE" w:rsidRDefault="00122E45">
      <w:pPr>
        <w:pStyle w:val="ListBullet"/>
        <w:spacing w:after="60"/>
        <w:ind w:left="510"/>
      </w:pPr>
      <w:r>
        <w:t>In corporate insights published on its digital transformation portal, KredX highlights the theo</w:t>
      </w:r>
      <w:r>
        <w:t>retical operational benefits of moving toward electronic bills of lading (eBLs) and digital platform integrations, though it outlines these concepts conceptually rather than as active native features.</w:t>
      </w:r>
    </w:p>
    <w:p w:rsidR="00C508BE" w:rsidRDefault="00122E45">
      <w:pPr>
        <w:keepNext/>
        <w:pBdr>
          <w:left w:val="single" w:sz="24" w:space="6" w:color="52B69A"/>
        </w:pBdr>
        <w:spacing w:before="120" w:after="60"/>
        <w:ind w:left="170"/>
      </w:pPr>
      <w:r>
        <w:rPr>
          <w:b/>
          <w:color w:val="0F172A"/>
          <w:sz w:val="20"/>
        </w:rPr>
        <w:t>Platform Architecture &amp; Scalability — scored 93/100</w:t>
      </w:r>
    </w:p>
    <w:p w:rsidR="00C508BE" w:rsidRDefault="00122E45">
      <w:pPr>
        <w:keepNext/>
        <w:pBdr>
          <w:left w:val="single" w:sz="24" w:space="6" w:color="52B69A"/>
        </w:pBdr>
        <w:ind w:left="170"/>
      </w:pPr>
      <w:r>
        <w:t>The</w:t>
      </w:r>
      <w:r>
        <w:t xml:space="preserve"> assessment rests on the company's confirmed deployment of a microservice architecture and multi-billion dollar transaction execution across its trade finance portals. Based on primary research, the company's technical infrastructure metrics can be estimat</w:t>
      </w:r>
      <w:r>
        <w:t>ed as resilient, high-capacity enterprise standard, based on its multi-tenant integration interfaces built using Apache NiFi, global processing covering over 100 countries, and $12 billion in transaction volume.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w:t>
      </w:r>
      <w:r>
        <w:t>ts platforms are built on a scalable, secure microservice architecture combined with API integrations to deliver enterprise-grade fintech resilience.</w:t>
      </w:r>
    </w:p>
    <w:p w:rsidR="00C508BE" w:rsidRDefault="00122E45">
      <w:pPr>
        <w:pStyle w:val="ListBullet"/>
        <w:spacing w:after="60"/>
        <w:ind w:left="510"/>
      </w:pPr>
      <w:r>
        <w:t>The company reports a transaction processing volume exceeding $12 billion across its ecosystem, serving mo</w:t>
      </w:r>
      <w:r>
        <w:t>re than 700 corporate clients and 15 financial institution partners.</w:t>
      </w:r>
    </w:p>
    <w:p w:rsidR="00C508BE" w:rsidRDefault="00122E45">
      <w:pPr>
        <w:keepNext/>
        <w:pBdr>
          <w:left w:val="single" w:sz="24" w:space="6" w:color="52B69A"/>
        </w:pBdr>
        <w:spacing w:before="120" w:after="60"/>
        <w:ind w:left="170"/>
      </w:pPr>
      <w:r>
        <w:rPr>
          <w:b/>
          <w:color w:val="0F172A"/>
          <w:sz w:val="20"/>
        </w:rPr>
        <w:t>Innovation &amp; Roadmap — scored 90/100</w:t>
      </w:r>
    </w:p>
    <w:p w:rsidR="00C508BE" w:rsidRDefault="00122E45">
      <w:pPr>
        <w:keepNext/>
        <w:pBdr>
          <w:left w:val="single" w:sz="24" w:space="6" w:color="52B69A"/>
        </w:pBdr>
        <w:ind w:left="170"/>
      </w:pPr>
      <w:r>
        <w:t>The rating rests on the company's established deployment of artificial intelligence inside its core cash management and TReDS invoice discounting fram</w:t>
      </w:r>
      <w:r>
        <w:t xml:space="preserve">eworks, allowing automated invoice processing and risk profiling. Based on primary research, the company's formalized roadmap and blockchain integration can be estimated as digitally </w:t>
      </w:r>
      <w:r>
        <w:lastRenderedPageBreak/>
        <w:t>advanced, focusing on automated orchestration, based on its automated sma</w:t>
      </w:r>
      <w:r>
        <w:t>rt cash forecasting, AI-driven cash management workflows, and digital innovation frameworks.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building its Content Management System (CMS) with AI-powered cash posting and collection modules that automate 99% of cash po</w:t>
      </w:r>
      <w:r>
        <w:t>sting and digitize any invoice format.</w:t>
      </w:r>
    </w:p>
    <w:p w:rsidR="00C508BE" w:rsidRDefault="00122E45">
      <w:pPr>
        <w:pStyle w:val="ListBullet"/>
        <w:spacing w:after="60"/>
        <w:ind w:left="510"/>
      </w:pPr>
      <w:r>
        <w:t>The company reports integrating agentic AI into its TReDS financing platform to shorten corporate and vendor onboarding timelines and systematically manage credit risk.</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 xml:space="preserve">Named Bank &amp; Corporate </w:t>
      </w:r>
      <w:r>
        <w:rPr>
          <w:b/>
          <w:color w:val="0F172A"/>
          <w:sz w:val="20"/>
        </w:rPr>
        <w:t>Customers — scored 93/100</w:t>
      </w:r>
    </w:p>
    <w:p w:rsidR="00C508BE" w:rsidRDefault="00122E45">
      <w:pPr>
        <w:keepNext/>
        <w:pBdr>
          <w:left w:val="single" w:sz="24" w:space="6" w:color="52B69A"/>
        </w:pBdr>
        <w:ind w:left="170"/>
      </w:pPr>
      <w:r>
        <w:t>The evaluation rests on KredX's verified platform adoption data and clear institutional funding network within India, backed by public announcements with major public and private sector banks. Based on primary research, the compan</w:t>
      </w:r>
      <w:r>
        <w:t>y's roster of large corporate exporters and global bank customers can be estimated as extensive and global, based on its $12 billion plus in transaction volume and operations spanning 100 plus countries.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onboarding ove</w:t>
      </w:r>
      <w:r>
        <w:t>r 3,000 enterprises and 100,000 MSMEs onto its supply chain finance platforms, including its Trade Receivables Discounting System (TReDS) platform DTX.</w:t>
      </w:r>
    </w:p>
    <w:p w:rsidR="00C508BE" w:rsidRDefault="00122E45">
      <w:pPr>
        <w:pStyle w:val="ListBullet"/>
        <w:spacing w:after="60"/>
        <w:ind w:left="510"/>
      </w:pPr>
      <w:r>
        <w:t>The company has formed strategic financing partnerships with prominent Indian banking institutions, incl</w:t>
      </w:r>
      <w:r>
        <w:t>uding alliances with ICICI Bank for a co-branded commercial card, and partnerships with Canara Bank and State Bank of India (SBI) to act as financiers on its DTX platform.</w:t>
      </w:r>
    </w:p>
    <w:p w:rsidR="00C508BE" w:rsidRDefault="00122E45">
      <w:pPr>
        <w:keepNext/>
        <w:pBdr>
          <w:left w:val="single" w:sz="24" w:space="6" w:color="52B69A"/>
        </w:pBdr>
        <w:spacing w:before="120" w:after="60"/>
        <w:ind w:left="170"/>
      </w:pPr>
      <w:r>
        <w:rPr>
          <w:b/>
          <w:color w:val="0F172A"/>
          <w:sz w:val="20"/>
        </w:rPr>
        <w:t>Revenue &amp; Growth — scored 90/100</w:t>
      </w:r>
    </w:p>
    <w:p w:rsidR="00C508BE" w:rsidRDefault="00122E45">
      <w:pPr>
        <w:keepNext/>
        <w:pBdr>
          <w:left w:val="single" w:sz="24" w:space="6" w:color="52B69A"/>
        </w:pBdr>
        <w:ind w:left="170"/>
      </w:pPr>
      <w:r>
        <w:t>The evaluation rests on audited regulatory and corp</w:t>
      </w:r>
      <w:r>
        <w:t>orate filings from FY24 and FY25 showing a steep double-digit revenue contraction rather than consistent positive growth. Based on primary research, the company's annual recurring revenue breakdown can be estimated as growing steadily, based on its process</w:t>
      </w:r>
      <w:r>
        <w:t>ing of over one and a half million invoices and catering to over 150,000 businesses.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KredX reported an overall revenue of ₹41.61 crore for FY24 (representing 25% growth compared to ₹33.25 crore in FY23), which subsequently declined by 66.</w:t>
      </w:r>
      <w:r>
        <w:t>1% to ₹14.1 crore for FY25.</w:t>
      </w:r>
    </w:p>
    <w:p w:rsidR="00C508BE" w:rsidRDefault="00122E45">
      <w:pPr>
        <w:pStyle w:val="ListBullet"/>
        <w:spacing w:after="60"/>
        <w:ind w:left="510"/>
      </w:pPr>
      <w:r>
        <w:t>The company has expanded its supply chain capabilities by launching the KredX Global Trade platform for post-shipment export financing and the AI-driven DTX platform under an RBI TReDS license.</w:t>
      </w:r>
    </w:p>
    <w:p w:rsidR="00C508BE" w:rsidRDefault="00122E45">
      <w:pPr>
        <w:keepNext/>
        <w:pBdr>
          <w:left w:val="single" w:sz="24" w:space="6" w:color="52B69A"/>
        </w:pBdr>
        <w:spacing w:before="120" w:after="60"/>
        <w:ind w:left="170"/>
      </w:pPr>
      <w:r>
        <w:rPr>
          <w:b/>
          <w:color w:val="0F172A"/>
          <w:sz w:val="20"/>
        </w:rPr>
        <w:t>Global Footprint &amp; Local Support —</w:t>
      </w:r>
      <w:r>
        <w:rPr>
          <w:b/>
          <w:color w:val="0F172A"/>
          <w:sz w:val="20"/>
        </w:rPr>
        <w:t xml:space="preserve"> scored 81/100</w:t>
      </w:r>
    </w:p>
    <w:p w:rsidR="00C508BE" w:rsidRDefault="00122E45">
      <w:pPr>
        <w:keepNext/>
        <w:pBdr>
          <w:left w:val="single" w:sz="24" w:space="6" w:color="52B69A"/>
        </w:pBdr>
        <w:ind w:left="170"/>
      </w:pPr>
      <w:r>
        <w:t xml:space="preserve">The rating rests on confirmed physical office presence confined entirely within India, with no documented standalone physical office infrastructure or local sales and support teams based inside major international trade hubs like Singapore, </w:t>
      </w:r>
      <w:r>
        <w:t>London, or New York. Based on primary research, the company's international office addresses can be estimated as localized to regional indian hubs, based on its primary corporate headquarters in bangalore and its global trade platform licensed at gift city</w:t>
      </w:r>
      <w:r>
        <w:t xml:space="preserve"> in gujarat.</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domestic physical office locations in Bangalore, Delhi, and Mumbai.</w:t>
      </w:r>
    </w:p>
    <w:p w:rsidR="00C508BE" w:rsidRDefault="00122E45">
      <w:pPr>
        <w:pStyle w:val="ListBullet"/>
        <w:spacing w:after="60"/>
        <w:ind w:left="510"/>
      </w:pPr>
      <w:r>
        <w:t xml:space="preserve">The company operates its cross-border International Trade Financing Services platform, KredX GTX, primarily out of GIFT City in Gujarat, </w:t>
      </w:r>
      <w:r>
        <w:t>India.</w:t>
      </w:r>
    </w:p>
    <w:p w:rsidR="00C508BE" w:rsidRDefault="00122E45">
      <w:pPr>
        <w:keepNext/>
        <w:pBdr>
          <w:left w:val="single" w:sz="24" w:space="6" w:color="52B69A"/>
        </w:pBdr>
        <w:spacing w:before="120" w:after="60"/>
        <w:ind w:left="170"/>
      </w:pPr>
      <w:r>
        <w:rPr>
          <w:b/>
          <w:color w:val="0F172A"/>
          <w:sz w:val="20"/>
        </w:rPr>
        <w:t>Funding &amp; Ownership — scored 86/100</w:t>
      </w:r>
    </w:p>
    <w:p w:rsidR="00C508BE" w:rsidRDefault="00122E45">
      <w:pPr>
        <w:keepNext/>
        <w:pBdr>
          <w:left w:val="single" w:sz="24" w:space="6" w:color="52B69A"/>
        </w:pBdr>
        <w:ind w:left="170"/>
      </w:pPr>
      <w:r>
        <w:t>The assessment rests on the company's verified venture backing from prominent global institutional investors, though its last institutional equity funding event occurred in late 2019. Based on primary research, th</w:t>
      </w:r>
      <w:r>
        <w:t>e company's subsequent equity capital raises can be estimated as stable at late stage institutional holdings, based on its series b funding round led by tiger global management and earlier series a participation from prominent institutional investors.</w:t>
      </w:r>
    </w:p>
    <w:p w:rsidR="00C508BE" w:rsidRDefault="00122E45">
      <w:pPr>
        <w:keepNext/>
        <w:spacing w:after="40"/>
        <w:ind w:left="170"/>
      </w:pPr>
      <w:r>
        <w:rPr>
          <w:b/>
          <w:caps/>
          <w:color w:val="64748B"/>
          <w:sz w:val="15"/>
        </w:rPr>
        <w:t>Supp</w:t>
      </w:r>
      <w:r>
        <w:rPr>
          <w:b/>
          <w:caps/>
          <w:color w:val="64748B"/>
          <w:sz w:val="15"/>
        </w:rPr>
        <w:t>orting points</w:t>
      </w:r>
    </w:p>
    <w:p w:rsidR="00C508BE" w:rsidRDefault="00122E45">
      <w:pPr>
        <w:pStyle w:val="ListBullet"/>
        <w:spacing w:after="60"/>
        <w:ind w:left="510"/>
      </w:pPr>
      <w:r>
        <w:t>The company raised $26 million in a Series B funding round led by Tiger Global Management in December 2019, with participation from existing investors.</w:t>
      </w:r>
    </w:p>
    <w:p w:rsidR="00C508BE" w:rsidRDefault="00122E45">
      <w:pPr>
        <w:pStyle w:val="ListBullet"/>
        <w:spacing w:after="60"/>
        <w:ind w:left="510"/>
      </w:pPr>
      <w:r>
        <w:t>Prior to its Series B, the company raised a $6.25 million Series A funding round led by Se</w:t>
      </w:r>
      <w:r>
        <w:t>quoia Capital India (now Peak XV Partners) alongside Prime Venture Partners in October 2016.</w:t>
      </w:r>
    </w:p>
    <w:p w:rsidR="00C508BE" w:rsidRDefault="00122E45">
      <w:pPr>
        <w:keepNext/>
        <w:pBdr>
          <w:left w:val="single" w:sz="24" w:space="6" w:color="52B69A"/>
        </w:pBdr>
        <w:spacing w:before="120" w:after="60"/>
        <w:ind w:left="170"/>
      </w:pPr>
      <w:r>
        <w:rPr>
          <w:b/>
          <w:color w:val="0F172A"/>
          <w:sz w:val="20"/>
        </w:rPr>
        <w:t>Market Share &amp; Installed Base — scored 89/100</w:t>
      </w:r>
    </w:p>
    <w:p w:rsidR="00C508BE" w:rsidRDefault="00122E45">
      <w:pPr>
        <w:keepNext/>
        <w:pBdr>
          <w:left w:val="single" w:sz="24" w:space="6" w:color="52B69A"/>
        </w:pBdr>
        <w:ind w:left="170"/>
      </w:pPr>
      <w:r>
        <w:t xml:space="preserve">The rating rests on the company's self-reported operational scale of serving hundreds of corporate entities and </w:t>
      </w:r>
      <w:r>
        <w:t xml:space="preserve">dozens of financial institution partners across its supply chain finance and trade platforms. Based on primary </w:t>
      </w:r>
      <w:r>
        <w:lastRenderedPageBreak/>
        <w:t>research, the company's analyst reports can be estimated as highly validated and recognized, based on its official recognition in the gartner mar</w:t>
      </w:r>
      <w:r>
        <w:t>ket guide for supply chain finance solutions.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a transaction volume of over USD 10 billion (and elsewhere over 12 billion), serving more than 700 corporates and over 40,000 to 150,000 businesses across its ecosystems.</w:t>
      </w:r>
    </w:p>
    <w:p w:rsidR="00C508BE" w:rsidRDefault="00122E45">
      <w:pPr>
        <w:pStyle w:val="ListBullet"/>
        <w:spacing w:after="60"/>
        <w:ind w:left="510"/>
      </w:pPr>
      <w:r>
        <w:t>The company reports partnerships with 15 financial institutions and over 30 financiers, including integrations and partnerships with institutions such as the State Bank of India (SBI) and Central Bank of India for its Domestic Trade Exchange (DTX) TReDS pl</w:t>
      </w:r>
      <w:r>
        <w:t>atform.</w:t>
      </w:r>
    </w:p>
    <w:p w:rsidR="00C508BE" w:rsidRDefault="00122E45">
      <w:pPr>
        <w:pStyle w:val="Heading2"/>
        <w:pageBreakBefore/>
        <w:shd w:val="clear" w:color="auto" w:fill="002857"/>
        <w:spacing w:after="0"/>
      </w:pPr>
      <w:bookmarkStart w:id="19" w:name="_Toc242420549"/>
      <w:r>
        <w:lastRenderedPageBreak/>
        <w:t>360tf Trade Fintech Pte. Ltd.</w:t>
      </w:r>
      <w:bookmarkEnd w:id="19"/>
    </w:p>
    <w:p w:rsidR="00C508BE" w:rsidRDefault="00122E45">
      <w:pPr>
        <w:shd w:val="clear" w:color="auto" w:fill="002857"/>
        <w:spacing w:after="200"/>
      </w:pPr>
      <w:r>
        <w:rPr>
          <w:color w:val="CBD5E1"/>
          <w:sz w:val="18"/>
        </w:rPr>
        <w:t xml:space="preserve">360tf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83</w:t>
      </w:r>
      <w:r>
        <w:rPr>
          <w:color w:val="CBD5E1"/>
          <w:sz w:val="18"/>
        </w:rPr>
        <w:t xml:space="preserve">     Overall </w:t>
      </w:r>
      <w:r>
        <w:rPr>
          <w:b/>
          <w:color w:val="FFFFFF"/>
          <w:sz w:val="20"/>
        </w:rPr>
        <w:t>88</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91/100</w:t>
      </w:r>
    </w:p>
    <w:p w:rsidR="00C508BE" w:rsidRDefault="00122E45">
      <w:pPr>
        <w:keepNext/>
        <w:pBdr>
          <w:left w:val="single" w:sz="24" w:space="6" w:color="52B69A"/>
        </w:pBdr>
        <w:ind w:left="170"/>
      </w:pPr>
      <w:r>
        <w:t>The rating rests on the company's clear range of trade finance instruments spanning both t</w:t>
      </w:r>
      <w:r>
        <w:t>raditional documentary credit (letters of credit, bank guarantees) and modern open account/supply chain financing solutions across its marketplace and capital ecosystems. Based on primary research, the company's multi-language and regulatory compliance ass</w:t>
      </w:r>
      <w:r>
        <w:t>essments can be estimated as robust and globally compliant, based on its 2,000 letter of credit issuing banks across 130 countries and regulatory assurance via its operation assistance service.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that its core platform, </w:t>
      </w:r>
      <w:r>
        <w:t>360tf ProConnect, includes the 360tf LC Exchange which supports letters of credit at sight, usance letters of credit, standby letters of credit, bank guarantees, buyers' credit, and bill avalisation.</w:t>
      </w:r>
    </w:p>
    <w:p w:rsidR="00C508BE" w:rsidRDefault="00122E45">
      <w:pPr>
        <w:pStyle w:val="ListBullet"/>
        <w:spacing w:after="60"/>
        <w:ind w:left="510"/>
      </w:pPr>
      <w:r>
        <w:t>The company reports that through its 360tf Capital ecosy</w:t>
      </w:r>
      <w:r>
        <w:t>stem, it provides supply chain and open account working capital solutions, including export factoring, bill discounting, forfaiting, invoice financing, and supplier financing for anchor buyers.</w:t>
      </w:r>
    </w:p>
    <w:p w:rsidR="00C508BE" w:rsidRDefault="00122E45">
      <w:pPr>
        <w:keepNext/>
        <w:pBdr>
          <w:left w:val="single" w:sz="24" w:space="6" w:color="52B69A"/>
        </w:pBdr>
        <w:spacing w:before="120" w:after="60"/>
        <w:ind w:left="170"/>
      </w:pPr>
      <w:r>
        <w:rPr>
          <w:b/>
          <w:color w:val="0F172A"/>
          <w:sz w:val="20"/>
        </w:rPr>
        <w:t>Document Checking &amp; Compliance Automation — scored 94/100</w:t>
      </w:r>
    </w:p>
    <w:p w:rsidR="00C508BE" w:rsidRDefault="00122E45">
      <w:pPr>
        <w:keepNext/>
        <w:pBdr>
          <w:left w:val="single" w:sz="24" w:space="6" w:color="52B69A"/>
        </w:pBdr>
        <w:ind w:left="170"/>
      </w:pPr>
      <w:r>
        <w:t xml:space="preserve">The </w:t>
      </w:r>
      <w:r>
        <w:t>rating rests on the company's deployment of its AI-powered VeriFi module for UCP 600 rule checking alongside its completed technology alliance with Traydstream to deliver automated compliance screening. Based on primary research, the company's automated ru</w:t>
      </w:r>
      <w:r>
        <w:t>le compliance and risk monitoring accuracy can be estimated as strong and highly accurate, based on its artificial intelligence powered verification engine covering unified customs and practice rules alongside standard anti money laundering features.</w:t>
      </w:r>
    </w:p>
    <w:p w:rsidR="00C508BE" w:rsidRDefault="00122E45">
      <w:pPr>
        <w:keepNext/>
        <w:spacing w:after="40"/>
        <w:ind w:left="170"/>
      </w:pPr>
      <w:r>
        <w:rPr>
          <w:b/>
          <w:caps/>
          <w:color w:val="64748B"/>
          <w:sz w:val="15"/>
        </w:rPr>
        <w:t>Suppo</w:t>
      </w:r>
      <w:r>
        <w:rPr>
          <w:b/>
          <w:caps/>
          <w:color w:val="64748B"/>
          <w:sz w:val="15"/>
        </w:rPr>
        <w:t>rting points</w:t>
      </w:r>
    </w:p>
    <w:p w:rsidR="00C508BE" w:rsidRDefault="00122E45">
      <w:pPr>
        <w:pStyle w:val="ListBullet"/>
        <w:spacing w:after="60"/>
        <w:ind w:left="510"/>
      </w:pPr>
      <w:r>
        <w:t>The company reports that its "360tf VeriFi" platform is an AI-powered Letter of Credit (LC) and trade document verification solution designed to automate trade rule checks covering rules such as UCP 600 to detect discrepancies early and streng</w:t>
      </w:r>
      <w:r>
        <w:t>then compliance.</w:t>
      </w:r>
    </w:p>
    <w:p w:rsidR="00C508BE" w:rsidRDefault="00122E45">
      <w:pPr>
        <w:pStyle w:val="ListBullet"/>
        <w:spacing w:after="60"/>
        <w:ind w:left="510"/>
      </w:pPr>
      <w:r>
        <w:t>In June 2024, 360tf announced a strategic alliance with Traydstream to boost the digitization of trade finance, a partnership intended to integrate Traydstream's automated trade document scrutiny and compliance solutions to help mitigate c</w:t>
      </w:r>
      <w:r>
        <w:t>ompliance risks.</w:t>
      </w:r>
    </w:p>
    <w:p w:rsidR="00C508BE" w:rsidRDefault="00122E45">
      <w:pPr>
        <w:keepNext/>
        <w:pBdr>
          <w:left w:val="single" w:sz="24" w:space="6" w:color="52B69A"/>
        </w:pBdr>
        <w:spacing w:before="120" w:after="60"/>
        <w:ind w:left="170"/>
      </w:pPr>
      <w:r>
        <w:rPr>
          <w:b/>
          <w:color w:val="0F172A"/>
          <w:sz w:val="20"/>
        </w:rPr>
        <w:t>Digital Trade Network &amp; Interoperability — scored 90/100</w:t>
      </w:r>
    </w:p>
    <w:p w:rsidR="00C508BE" w:rsidRDefault="00122E45">
      <w:pPr>
        <w:keepNext/>
        <w:pBdr>
          <w:left w:val="single" w:sz="24" w:space="6" w:color="52B69A"/>
        </w:pBdr>
        <w:ind w:left="170"/>
      </w:pPr>
      <w:r>
        <w:t>The rating rests on the company's verified network partnership with Bolero and its documented product configurations for SWIFT workflows. Based on primary research, the company's ele</w:t>
      </w:r>
      <w:r>
        <w:t>ctronic bill of lading processed transaction volume can be estimated as active and expanding, based on its successful execution of the first live cross border transaction using the interoperable tradetrust framework between singapore and india.</w:t>
      </w:r>
    </w:p>
    <w:p w:rsidR="00C508BE" w:rsidRDefault="00122E45">
      <w:pPr>
        <w:keepNext/>
        <w:spacing w:after="40"/>
        <w:ind w:left="170"/>
      </w:pPr>
      <w:r>
        <w:rPr>
          <w:b/>
          <w:caps/>
          <w:color w:val="64748B"/>
          <w:sz w:val="15"/>
        </w:rPr>
        <w:t xml:space="preserve">Supporting </w:t>
      </w:r>
      <w:r>
        <w:rPr>
          <w:b/>
          <w:caps/>
          <w:color w:val="64748B"/>
          <w:sz w:val="15"/>
        </w:rPr>
        <w:t>points</w:t>
      </w:r>
    </w:p>
    <w:p w:rsidR="00C508BE" w:rsidRDefault="00122E45">
      <w:pPr>
        <w:pStyle w:val="ListBullet"/>
        <w:spacing w:after="60"/>
        <w:ind w:left="510"/>
      </w:pPr>
      <w:r>
        <w:t>Bolero International announced a partnership with 360tf in February 2022 to integrate Bolero’s Galileo Multi-Bank for Corporates platform, allowing 360tf’s corporate users to digitize Letter of Credit flows and improve transaction visibility.</w:t>
      </w:r>
    </w:p>
    <w:p w:rsidR="00C508BE" w:rsidRDefault="00122E45">
      <w:pPr>
        <w:pStyle w:val="ListBullet"/>
        <w:spacing w:after="60"/>
        <w:ind w:left="510"/>
      </w:pPr>
      <w:r>
        <w:t xml:space="preserve">The </w:t>
      </w:r>
      <w:r>
        <w:t>company reported in March 2026 that its enterprise-grade Centralised Treasury Management System is configurable with SWIFT, ERP systems, and e-signature integrations to centralize trade finance communications.</w:t>
      </w:r>
    </w:p>
    <w:p w:rsidR="00C508BE" w:rsidRDefault="00122E45">
      <w:pPr>
        <w:keepNext/>
        <w:pBdr>
          <w:left w:val="single" w:sz="24" w:space="6" w:color="52B69A"/>
        </w:pBdr>
        <w:spacing w:before="120" w:after="60"/>
        <w:ind w:left="170"/>
      </w:pPr>
      <w:r>
        <w:rPr>
          <w:b/>
          <w:color w:val="0F172A"/>
          <w:sz w:val="20"/>
        </w:rPr>
        <w:t>Platform Architecture &amp; Scalability — scored 9</w:t>
      </w:r>
      <w:r>
        <w:rPr>
          <w:b/>
          <w:color w:val="0F172A"/>
          <w:sz w:val="20"/>
        </w:rPr>
        <w:t>2/100</w:t>
      </w:r>
    </w:p>
    <w:p w:rsidR="00C508BE" w:rsidRDefault="00122E45">
      <w:pPr>
        <w:keepNext/>
        <w:pBdr>
          <w:left w:val="single" w:sz="24" w:space="6" w:color="52B69A"/>
        </w:pBdr>
        <w:ind w:left="170"/>
      </w:pPr>
      <w:r>
        <w:t>The rating rests on the company's documented deployment of a cloud-hosted infrastructure to facilitate real-time digital trade finance workflows. Based on primary research, the company's technical infrastructure and throughput benchmarks can be estim</w:t>
      </w:r>
      <w:r>
        <w:t>ated as scalable and enterprise grade, based on its cloud based architecture and specialized risk assessment infrastructure tailored for global banking networks.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that its trade finance platform operates as a scalable, </w:t>
      </w:r>
      <w:r>
        <w:t>cloud-based SaaS architecture hosted on Amazon Web Services.</w:t>
      </w:r>
    </w:p>
    <w:p w:rsidR="00C508BE" w:rsidRDefault="00122E45">
      <w:pPr>
        <w:pStyle w:val="ListBullet"/>
        <w:spacing w:after="60"/>
        <w:ind w:left="510"/>
      </w:pPr>
      <w:r>
        <w:t>The company reports that its platform provides seamless integration capabilities with existing banking networks via a web-based setup requiring no local system installation.</w:t>
      </w:r>
    </w:p>
    <w:p w:rsidR="00C508BE" w:rsidRDefault="00122E45">
      <w:pPr>
        <w:keepNext/>
        <w:pBdr>
          <w:left w:val="single" w:sz="24" w:space="6" w:color="52B69A"/>
        </w:pBdr>
        <w:spacing w:before="120" w:after="60"/>
        <w:ind w:left="170"/>
      </w:pPr>
      <w:r>
        <w:rPr>
          <w:b/>
          <w:color w:val="0F172A"/>
          <w:sz w:val="20"/>
        </w:rPr>
        <w:lastRenderedPageBreak/>
        <w:t xml:space="preserve">Innovation &amp; Roadmap </w:t>
      </w:r>
      <w:r>
        <w:rPr>
          <w:b/>
          <w:color w:val="0F172A"/>
          <w:sz w:val="20"/>
        </w:rPr>
        <w:t>— scored 91/100</w:t>
      </w:r>
    </w:p>
    <w:p w:rsidR="00C508BE" w:rsidRDefault="00122E45">
      <w:pPr>
        <w:keepNext/>
        <w:pBdr>
          <w:left w:val="single" w:sz="24" w:space="6" w:color="52B69A"/>
        </w:pBdr>
        <w:ind w:left="170"/>
      </w:pPr>
      <w:r>
        <w:t>The assessment rests on the company's clear deployment of AI capabilities for documentary processing and standard iteration logs of its marketplace product features. Based on primary research, the company's long term product innovation road</w:t>
      </w:r>
      <w:r>
        <w:t>map and patents can be estimated as continuous and market aligned, based on its dedicated global capability centre in india focused on ongoing technological enhancement and artificial intelligence tools.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running the 36</w:t>
      </w:r>
      <w:r>
        <w:t>0tf VeriFi platform, an AI-powered automated validation tool designed for letter of credit (LC) rules (such as UCP 600) and trade document verification.</w:t>
      </w:r>
    </w:p>
    <w:p w:rsidR="00C508BE" w:rsidRDefault="00122E45">
      <w:pPr>
        <w:pStyle w:val="ListBullet"/>
        <w:spacing w:after="60"/>
        <w:ind w:left="510"/>
      </w:pPr>
      <w:r>
        <w:t>The company publishes structured mobile application updates showcasing continuous feature developments,</w:t>
      </w:r>
      <w:r>
        <w:t xml:space="preserve"> such as the introduction of "Auto Quote population for BaaU" (February 2025) and rebranding its key product suite to 360tf LC Exchange (September 2025).</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85/100</w:t>
      </w:r>
    </w:p>
    <w:p w:rsidR="00C508BE" w:rsidRDefault="00122E45">
      <w:pPr>
        <w:keepNext/>
        <w:pBdr>
          <w:left w:val="single" w:sz="24" w:space="6" w:color="52B69A"/>
        </w:pBdr>
        <w:ind w:left="170"/>
      </w:pPr>
      <w:r>
        <w:t>Assessment rests on the compa</w:t>
      </w:r>
      <w:r>
        <w:t>ny's disclosure of multiple prominent global and regional banking networks that connect to its letter of credit matching environment. Based on primary research, the company's corporate enterprise client list can be estimated as limited to a few markets, ba</w:t>
      </w:r>
      <w:r>
        <w:t>sed on its focus on connecting corporates and banks globally across 40 plus countries.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partnerships and networks covering letters of credit issued by global and regional financial institutions including Bank of Sharjah</w:t>
      </w:r>
      <w:r>
        <w:t>, Ameriabank, and Arab National Bank.</w:t>
      </w:r>
    </w:p>
    <w:p w:rsidR="00C508BE" w:rsidRDefault="00122E45">
      <w:pPr>
        <w:pStyle w:val="ListBullet"/>
        <w:spacing w:after="60"/>
        <w:ind w:left="510"/>
      </w:pPr>
      <w:r>
        <w:t>The company reports executing an LC-backed transaction worth over $10 million connecting an unnamed East African metals manufacturer with exporters in the United Arab Emirates on its BankSecure platform.</w:t>
      </w:r>
    </w:p>
    <w:p w:rsidR="00C508BE" w:rsidRDefault="00122E45">
      <w:pPr>
        <w:keepNext/>
        <w:pBdr>
          <w:left w:val="single" w:sz="24" w:space="6" w:color="52B69A"/>
        </w:pBdr>
        <w:spacing w:before="120" w:after="60"/>
        <w:ind w:left="170"/>
      </w:pPr>
      <w:r>
        <w:rPr>
          <w:b/>
          <w:color w:val="0F172A"/>
          <w:sz w:val="20"/>
        </w:rPr>
        <w:t>Revenue &amp; Grow</w:t>
      </w:r>
      <w:r>
        <w:rPr>
          <w:b/>
          <w:color w:val="0F172A"/>
          <w:sz w:val="20"/>
        </w:rPr>
        <w:t>th — scored 69/100</w:t>
      </w:r>
    </w:p>
    <w:p w:rsidR="00C508BE" w:rsidRDefault="00122E45">
      <w:pPr>
        <w:keepNext/>
        <w:pBdr>
          <w:left w:val="single" w:sz="24" w:space="6" w:color="52B69A"/>
        </w:pBdr>
        <w:ind w:left="170"/>
      </w:pPr>
      <w:r>
        <w:t xml:space="preserve">Based on primary research, the company's annual recurring revenue and growth can be estimated as growing steadily, based on its track record of facilitating trade finance transactions of $2 billion and expanded presence across financial </w:t>
      </w:r>
      <w:r>
        <w:t>hubs.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Support — scored 91/100</w:t>
      </w:r>
    </w:p>
    <w:p w:rsidR="00C508BE" w:rsidRDefault="00122E45">
      <w:pPr>
        <w:keepNext/>
        <w:pBdr>
          <w:left w:val="single" w:sz="24" w:space="6" w:color="52B69A"/>
        </w:pBdr>
        <w:ind w:left="170"/>
      </w:pPr>
      <w:r>
        <w:t>We verified that the firm's physical footprint spans key regional hubs in Singapore, the UAE, India, the United States, Bangladesh, and Qatar. Based on primary research,</w:t>
      </w:r>
      <w:r>
        <w:t xml:space="preserve"> the company's localized support resource metrics can be estimated as broad across global hubs, based on its global capability centre in india and regional offices in dubai, gift city, and the united states.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its corpor</w:t>
      </w:r>
      <w:r>
        <w:t>ate headquarters in Singapore, strategic and management headquarters in the Dubai International Financial Centre (DIFC, UAE), a Global Capability Centre in mainland India, a regulated entity in GIFT City (India), and a physical office footprint established</w:t>
      </w:r>
      <w:r>
        <w:t xml:space="preserve"> through 360tf USA Inc.</w:t>
      </w:r>
    </w:p>
    <w:p w:rsidR="00C508BE" w:rsidRDefault="00122E45">
      <w:pPr>
        <w:pStyle w:val="ListBullet"/>
        <w:spacing w:after="60"/>
        <w:ind w:left="510"/>
      </w:pPr>
      <w:r>
        <w:t>Independent documentation from October 2023 details that the company is headquartered in Singapore with subsidiary offices located in India and Dubai, alongside active sales offices established in Bangladesh and Qatar.</w:t>
      </w:r>
    </w:p>
    <w:p w:rsidR="00C508BE" w:rsidRDefault="00122E45">
      <w:pPr>
        <w:keepNext/>
        <w:pBdr>
          <w:left w:val="single" w:sz="24" w:space="6" w:color="52B69A"/>
        </w:pBdr>
        <w:spacing w:before="120" w:after="60"/>
        <w:ind w:left="170"/>
      </w:pPr>
      <w:r>
        <w:rPr>
          <w:b/>
          <w:color w:val="0F172A"/>
          <w:sz w:val="20"/>
        </w:rPr>
        <w:t>Funding &amp; Own</w:t>
      </w:r>
      <w:r>
        <w:rPr>
          <w:b/>
          <w:color w:val="0F172A"/>
          <w:sz w:val="20"/>
        </w:rPr>
        <w:t>ership — scored 82/100</w:t>
      </w:r>
    </w:p>
    <w:p w:rsidR="00C508BE" w:rsidRDefault="00122E45">
      <w:pPr>
        <w:keepNext/>
        <w:pBdr>
          <w:left w:val="single" w:sz="24" w:space="6" w:color="52B69A"/>
        </w:pBdr>
        <w:ind w:left="170"/>
      </w:pPr>
      <w:r>
        <w:t>The rating rests on the company's confirmed seed-stage funding and its corporate backing by an established trade advisory parent group. Based on primary research, the company's subsequent institutional growth rounds or an updated cap</w:t>
      </w:r>
      <w:r>
        <w:t>ital structure can be estimated as expanding via parent company equity funding, based on its 3.06 million dollar parent company rights issue infusion and 115 global bank partners.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360tf raised USD 1.5 million in seed capital in January 20</w:t>
      </w:r>
      <w:r>
        <w:t>22 through a round led by corporate professionals and industry scholars associated with the founders across six countries [1.3.27].</w:t>
      </w:r>
    </w:p>
    <w:p w:rsidR="00C508BE" w:rsidRDefault="00122E45">
      <w:pPr>
        <w:pStyle w:val="ListBullet"/>
        <w:spacing w:after="60"/>
        <w:ind w:left="510"/>
      </w:pPr>
      <w:r>
        <w:t>The company operates as an endeavor developed out of the trade finance advisory expertise of the Nimai Group [1.3.6, 1.3.27]</w:t>
      </w:r>
      <w:r>
        <w:t>.</w:t>
      </w:r>
    </w:p>
    <w:p w:rsidR="00C508BE" w:rsidRDefault="00122E45">
      <w:pPr>
        <w:keepNext/>
        <w:pBdr>
          <w:left w:val="single" w:sz="24" w:space="6" w:color="52B69A"/>
        </w:pBdr>
        <w:spacing w:before="120" w:after="60"/>
        <w:ind w:left="170"/>
      </w:pPr>
      <w:r>
        <w:rPr>
          <w:b/>
          <w:color w:val="0F172A"/>
          <w:sz w:val="20"/>
        </w:rPr>
        <w:t>Market Share &amp; Installed Base — scored 87/100</w:t>
      </w:r>
    </w:p>
    <w:p w:rsidR="00C508BE" w:rsidRDefault="00122E45">
      <w:pPr>
        <w:keepNext/>
        <w:pBdr>
          <w:left w:val="single" w:sz="24" w:space="6" w:color="52B69A"/>
        </w:pBdr>
        <w:ind w:left="170"/>
      </w:pPr>
      <w:r>
        <w:t>The rating rests on the company's self-reported operational milestones, including a USD 25 billion processed transaction volume and an active network of over 1,600 corporate clients and 115 financial institut</w:t>
      </w:r>
      <w:r>
        <w:t xml:space="preserve">ions. Based on </w:t>
      </w:r>
      <w:r>
        <w:lastRenderedPageBreak/>
        <w:t>primary research, the company's relative software installation share can be estimated as strong in line with leading vendors, based on its ecosystem connecting 115 plus global banks and processing letters of credit from 90 nations.</w:t>
      </w:r>
    </w:p>
    <w:p w:rsidR="00C508BE" w:rsidRDefault="00122E45">
      <w:pPr>
        <w:keepNext/>
        <w:spacing w:after="40"/>
        <w:ind w:left="170"/>
      </w:pPr>
      <w:r>
        <w:rPr>
          <w:b/>
          <w:caps/>
          <w:color w:val="64748B"/>
          <w:sz w:val="15"/>
        </w:rPr>
        <w:t>Supportin</w:t>
      </w:r>
      <w:r>
        <w:rPr>
          <w:b/>
          <w:caps/>
          <w:color w:val="64748B"/>
          <w:sz w:val="15"/>
        </w:rPr>
        <w:t>g points</w:t>
      </w:r>
    </w:p>
    <w:p w:rsidR="00C508BE" w:rsidRDefault="00122E45">
      <w:pPr>
        <w:pStyle w:val="ListBullet"/>
        <w:spacing w:after="60"/>
        <w:ind w:left="510"/>
      </w:pPr>
      <w:r>
        <w:t>The company reports crossing USD 25 billion in total processed transaction volume and serving over 1,600 corporates globally as of 2026.</w:t>
      </w:r>
    </w:p>
    <w:p w:rsidR="00C508BE" w:rsidRDefault="00122E45">
      <w:pPr>
        <w:pStyle w:val="ListBullet"/>
        <w:spacing w:after="60"/>
        <w:ind w:left="510"/>
      </w:pPr>
      <w:r>
        <w:t>The company reports that its platform supports transactions across more than 110 applicant countries and 65 be</w:t>
      </w:r>
      <w:r>
        <w:t>neficiary countries, connecting corporates with a digital global network of over 115 banks and financial institutions.</w:t>
      </w:r>
    </w:p>
    <w:p w:rsidR="00C508BE" w:rsidRDefault="00122E45">
      <w:pPr>
        <w:pStyle w:val="Heading2"/>
        <w:pageBreakBefore/>
        <w:shd w:val="clear" w:color="auto" w:fill="002857"/>
        <w:spacing w:after="0"/>
      </w:pPr>
      <w:bookmarkStart w:id="20" w:name="_Toc242420550"/>
      <w:r>
        <w:lastRenderedPageBreak/>
        <w:t>Kyzer Software India Pvt Ltd</w:t>
      </w:r>
      <w:bookmarkEnd w:id="20"/>
    </w:p>
    <w:p w:rsidR="00C508BE" w:rsidRDefault="00122E45">
      <w:pPr>
        <w:shd w:val="clear" w:color="auto" w:fill="002857"/>
        <w:spacing w:after="200"/>
      </w:pPr>
      <w:r>
        <w:rPr>
          <w:color w:val="CBD5E1"/>
          <w:sz w:val="18"/>
        </w:rPr>
        <w:t xml:space="preserve">TradeZone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85</w:t>
      </w:r>
      <w:r>
        <w:rPr>
          <w:color w:val="CBD5E1"/>
          <w:sz w:val="18"/>
        </w:rPr>
        <w:t xml:space="preserve">     Overall </w:t>
      </w:r>
      <w:r>
        <w:rPr>
          <w:b/>
          <w:color w:val="FFFFFF"/>
          <w:sz w:val="20"/>
        </w:rPr>
        <w:t>86</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 xml:space="preserve">Trade Finance Product </w:t>
      </w:r>
      <w:r>
        <w:rPr>
          <w:b/>
          <w:color w:val="0F172A"/>
          <w:sz w:val="20"/>
        </w:rPr>
        <w:t>Breadth — scored 88/100</w:t>
      </w:r>
    </w:p>
    <w:p w:rsidR="00C508BE" w:rsidRDefault="00122E45">
      <w:pPr>
        <w:keepNext/>
        <w:pBdr>
          <w:left w:val="single" w:sz="24" w:space="6" w:color="52B69A"/>
        </w:pBdr>
        <w:ind w:left="170"/>
      </w:pPr>
      <w:r>
        <w:t>The assessment rests on the company's stated coverage of trade finance products including letters of credit, bank guarantees, documentary collections, and supply chain financing across its TradeZone and TradeKonnect modules. Based o</w:t>
      </w:r>
      <w:r>
        <w:t xml:space="preserve">n primary research, the company's validation of module depth and multi-currency capabilities can be estimated as broad across standard global banking rules and transactional multi-currency functions, based on its over 22 leading multinational bank clients </w:t>
      </w:r>
      <w:r>
        <w:t>and 5,000 user base.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that its flagship TradeZone platform and TradeKonnect portal automate and manage various trade finance instruments, including letters of credit, documentary collections, bank guarantees (including </w:t>
      </w:r>
      <w:r>
        <w:t>electronic bank guarantees with NeSL), trade loans, remittances, and supply chain financing.</w:t>
      </w:r>
    </w:p>
    <w:p w:rsidR="00C508BE" w:rsidRDefault="00122E45">
      <w:pPr>
        <w:pStyle w:val="ListBullet"/>
        <w:spacing w:after="60"/>
        <w:ind w:left="510"/>
      </w:pPr>
      <w:r>
        <w:t xml:space="preserve">The company reports that its platform integrates with SWIFT networks, ERP platforms, core banking systems, and regulatory engines like the Reserve Bank of India's </w:t>
      </w:r>
      <w:r>
        <w:t>EDPMS/IDPMS to support transaction lifecycles and compliance.</w:t>
      </w:r>
    </w:p>
    <w:p w:rsidR="00C508BE" w:rsidRDefault="00122E45">
      <w:pPr>
        <w:keepNext/>
        <w:pBdr>
          <w:left w:val="single" w:sz="24" w:space="6" w:color="52B69A"/>
        </w:pBdr>
        <w:spacing w:before="120" w:after="60"/>
        <w:ind w:left="170"/>
      </w:pPr>
      <w:r>
        <w:rPr>
          <w:b/>
          <w:color w:val="0F172A"/>
          <w:sz w:val="20"/>
        </w:rPr>
        <w:t>Document Checking &amp; Compliance Automation — scored 92/100</w:t>
      </w:r>
    </w:p>
    <w:p w:rsidR="00C508BE" w:rsidRDefault="00122E45">
      <w:pPr>
        <w:keepNext/>
        <w:pBdr>
          <w:left w:val="single" w:sz="24" w:space="6" w:color="52B69A"/>
        </w:pBdr>
        <w:ind w:left="170"/>
      </w:pPr>
      <w:r>
        <w:t xml:space="preserve">The rating rests on the company's self-reported capabilities for AI-driven document intelligence, workflow validations, and third-party </w:t>
      </w:r>
      <w:r>
        <w:t>integrations for AML and sanctions screening within its trade finance suites. Based on primary research, the company's rule coverage against global frameworks and compliance checks can be estimated as comprehensive for core trade rules with automated regul</w:t>
      </w:r>
      <w:r>
        <w:t>atory screening frameworks, based on its automated trade workflows, regulatory reporting solutions, and compliance engine.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platform features an "AI Document Intelligence" engine designed to automatically proce</w:t>
      </w:r>
      <w:r>
        <w:t>ss trade documents using OCR and AI validation.</w:t>
      </w:r>
    </w:p>
    <w:p w:rsidR="00C508BE" w:rsidRDefault="00122E45">
      <w:pPr>
        <w:pStyle w:val="ListBullet"/>
        <w:spacing w:after="60"/>
        <w:ind w:left="510"/>
      </w:pPr>
      <w:r>
        <w:t>The company reports that its TradeZone platform supports transaction movement across third-party compliance applications for AML/TBML and sanction screenings, alongside regulatory compliance modules for KYC a</w:t>
      </w:r>
      <w:r>
        <w:t>nd automated regulatory reporting frameworks.</w:t>
      </w:r>
    </w:p>
    <w:p w:rsidR="00C508BE" w:rsidRDefault="00122E45">
      <w:pPr>
        <w:keepNext/>
        <w:pBdr>
          <w:left w:val="single" w:sz="24" w:space="6" w:color="52B69A"/>
        </w:pBdr>
        <w:spacing w:before="120" w:after="60"/>
        <w:ind w:left="170"/>
      </w:pPr>
      <w:r>
        <w:rPr>
          <w:b/>
          <w:color w:val="0F172A"/>
          <w:sz w:val="20"/>
        </w:rPr>
        <w:t>Digital Trade Network &amp; Interoperability — scored 81/100</w:t>
      </w:r>
    </w:p>
    <w:p w:rsidR="00C508BE" w:rsidRDefault="00122E45">
      <w:pPr>
        <w:keepNext/>
        <w:pBdr>
          <w:left w:val="single" w:sz="24" w:space="6" w:color="52B69A"/>
        </w:pBdr>
        <w:ind w:left="170"/>
      </w:pPr>
      <w:r>
        <w:t>The evaluation rests on confirmed direct system integrations with SWIFT infrastructure and API-based data capabilities. Based on primary research, the co</w:t>
      </w:r>
      <w:r>
        <w:t xml:space="preserve">mpany's digital trade ecosystem and network connections can be estimated as robust via open application programming interfaces and core SWIFT connectivity infrastructure, based on its seamless integration with SWIFT infrastructure, ERP platforms, and core </w:t>
      </w:r>
      <w:r>
        <w:t>banking networks.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core trade finance platform, TradeZone, offers integration with SWIFT and corporate core banking systems via direct connections, and provides a SWIFT FX Reconciliation Portal for message trac</w:t>
      </w:r>
      <w:r>
        <w:t>king and exception handling.</w:t>
      </w:r>
    </w:p>
    <w:p w:rsidR="00C508BE" w:rsidRDefault="00122E45">
      <w:pPr>
        <w:pStyle w:val="ListBullet"/>
        <w:spacing w:after="60"/>
        <w:ind w:left="510"/>
      </w:pPr>
      <w:r>
        <w:t>The company reports that its platform features API-first integration capabilities to connect seamlessly with SWIFT networks, ERP platforms, and third-party data providers.</w:t>
      </w:r>
    </w:p>
    <w:p w:rsidR="00C508BE" w:rsidRDefault="00122E45">
      <w:pPr>
        <w:keepNext/>
        <w:pBdr>
          <w:left w:val="single" w:sz="24" w:space="6" w:color="52B69A"/>
        </w:pBdr>
        <w:spacing w:before="120" w:after="60"/>
        <w:ind w:left="170"/>
      </w:pPr>
      <w:r>
        <w:rPr>
          <w:b/>
          <w:color w:val="0F172A"/>
          <w:sz w:val="20"/>
        </w:rPr>
        <w:t>Platform Architecture &amp; Scalability — scored 89/100</w:t>
      </w:r>
    </w:p>
    <w:p w:rsidR="00C508BE" w:rsidRDefault="00122E45">
      <w:pPr>
        <w:keepNext/>
        <w:pBdr>
          <w:left w:val="single" w:sz="24" w:space="6" w:color="52B69A"/>
        </w:pBdr>
        <w:ind w:left="170"/>
      </w:pPr>
      <w:r>
        <w:t>The</w:t>
      </w:r>
      <w:r>
        <w:t xml:space="preserve"> evaluation rests on the company's self-reported modular design, cloud infrastructure readiness, and API integrations for transaction processing. Based on primary research, the company's architecture deployment and platform runtime metrics can be estimated</w:t>
      </w:r>
      <w:r>
        <w:t xml:space="preserve"> as scalable across cloud environments with bank-grade high availability architectures, based on its secure cloud infrastructure, banking automation engines, and scalable platform models.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banking automation pl</w:t>
      </w:r>
      <w:r>
        <w:t>atform is built on a modular architecture featuring a secure cloud infrastructure and an API-first connectivity suite for seamless integrations with core banking systems and SWIFT.</w:t>
      </w:r>
    </w:p>
    <w:p w:rsidR="00C508BE" w:rsidRDefault="00122E45">
      <w:pPr>
        <w:pStyle w:val="ListBullet"/>
        <w:spacing w:after="60"/>
        <w:ind w:left="510"/>
      </w:pPr>
      <w:r>
        <w:t>The company reports that its flagship TradeZone platform supports straight-</w:t>
      </w:r>
      <w:r>
        <w:t>through transaction processing using APIs and integrates with both in-house and cloud-based banking applications.</w:t>
      </w:r>
    </w:p>
    <w:p w:rsidR="00C508BE" w:rsidRDefault="00122E45">
      <w:pPr>
        <w:keepNext/>
        <w:pBdr>
          <w:left w:val="single" w:sz="24" w:space="6" w:color="52B69A"/>
        </w:pBdr>
        <w:spacing w:before="120" w:after="60"/>
        <w:ind w:left="170"/>
      </w:pPr>
      <w:r>
        <w:rPr>
          <w:b/>
          <w:color w:val="0F172A"/>
          <w:sz w:val="20"/>
        </w:rPr>
        <w:lastRenderedPageBreak/>
        <w:t>Innovation &amp; Roadmap — scored 91/100</w:t>
      </w:r>
    </w:p>
    <w:p w:rsidR="00C508BE" w:rsidRDefault="00122E45">
      <w:pPr>
        <w:keepNext/>
        <w:pBdr>
          <w:left w:val="single" w:sz="24" w:space="6" w:color="52B69A"/>
        </w:pBdr>
        <w:ind w:left="170"/>
      </w:pPr>
      <w:r>
        <w:t xml:space="preserve">The evaluation rests on the company's documented integration of artificial intelligence and automated </w:t>
      </w:r>
      <w:r>
        <w:t>matching within its existing transaction suites, alongside a stated strategic intent to combine blockchain and smart contracts into its core trade workflow. Based on primary research, the company's performance metrics of technological rollouts can be estim</w:t>
      </w:r>
      <w:r>
        <w:t>ated as high across enterprise operations through embedded artificial intelligence and automated workflow tools, based on its next-generation products, optical character recognition engines, and robotic process automation tools.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w:t>
      </w:r>
      <w:r>
        <w:t>ny reports that its flagship modules, including Trade Finance Automation, incorporate AI-driven parsing of SWIFT messages and machine learning for automated matching and exception management in SWIFT FX Reconciliation.</w:t>
      </w:r>
    </w:p>
    <w:p w:rsidR="00C508BE" w:rsidRDefault="00122E45">
      <w:pPr>
        <w:pStyle w:val="ListBullet"/>
        <w:spacing w:after="60"/>
        <w:ind w:left="510"/>
      </w:pPr>
      <w:r>
        <w:t>The company reports a future-ready pr</w:t>
      </w:r>
      <w:r>
        <w:t>oduct roadmap that incorporates blockchain-enabled smart contract settlements for trade finance, explainable AI for compliance decisions, and embedded low-code development tools.</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84/100</w:t>
      </w:r>
    </w:p>
    <w:p w:rsidR="00C508BE" w:rsidRDefault="00122E45">
      <w:pPr>
        <w:keepNext/>
        <w:pBdr>
          <w:left w:val="single" w:sz="24" w:space="6" w:color="52B69A"/>
        </w:pBdr>
        <w:ind w:left="170"/>
      </w:pPr>
      <w:r>
        <w:t xml:space="preserve">The </w:t>
      </w:r>
      <w:r>
        <w:t xml:space="preserve">rating rests on confirmed trade finance platform deployments with Indian commercial and cooperative financial institutions, including CSB Bank, RBL Bank, NKGSB Bank, and SVC Bank. Based on primary research, the company's public case studies or client wins </w:t>
      </w:r>
      <w:r>
        <w:t>outside core region can be estimated as limited to a few markets, based on its case studies with regional Indian banks like CSB Bank, RBL Bank, and NKGSB Bank.</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CSB Bank Ltd partnered with Kyzer Software in July 2023 to digitize and </w:t>
      </w:r>
      <w:r>
        <w:t>automate its internal trade finance operations using the TradeZone workflow platform.</w:t>
      </w:r>
    </w:p>
    <w:p w:rsidR="00C508BE" w:rsidRDefault="00122E45">
      <w:pPr>
        <w:pStyle w:val="ListBullet"/>
        <w:spacing w:after="60"/>
        <w:ind w:left="510"/>
      </w:pPr>
      <w:r>
        <w:t>RBL Bank went live with Kyzer Software's trade finance automation solutions in August 2017, and NKGSB Bank deployed the TradeZone platform in August 2018.</w:t>
      </w:r>
    </w:p>
    <w:p w:rsidR="00C508BE" w:rsidRDefault="00122E45">
      <w:pPr>
        <w:keepNext/>
        <w:pBdr>
          <w:left w:val="single" w:sz="24" w:space="6" w:color="52B69A"/>
        </w:pBdr>
        <w:spacing w:before="120" w:after="60"/>
        <w:ind w:left="170"/>
      </w:pPr>
      <w:r>
        <w:rPr>
          <w:b/>
          <w:color w:val="0F172A"/>
          <w:sz w:val="20"/>
        </w:rPr>
        <w:t>Revenue &amp; Growt</w:t>
      </w:r>
      <w:r>
        <w:rPr>
          <w:b/>
          <w:color w:val="0F172A"/>
          <w:sz w:val="20"/>
        </w:rPr>
        <w:t>h — scored 99/100</w:t>
      </w:r>
    </w:p>
    <w:p w:rsidR="00C508BE" w:rsidRDefault="00122E45">
      <w:pPr>
        <w:keepNext/>
        <w:pBdr>
          <w:left w:val="single" w:sz="24" w:space="6" w:color="52B69A"/>
        </w:pBdr>
        <w:ind w:left="170"/>
      </w:pPr>
      <w:r>
        <w:t xml:space="preserve">The evaluation rests on public company registry filings detailing total corporate turnover and overall revenue trajectory. Based on primary research, the company's trade finance annual recurring revenue or growth segment breakdown can be </w:t>
      </w:r>
      <w:r>
        <w:t>estimated as growing steadily, based on its expanding portfolio of automated solutions including TradeZone and Trade Finance Regulatory Suite.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Kyzer Software India Private Limited reported an annual revenue of ₹7.17 Cr for fiscal year 202</w:t>
      </w:r>
      <w:r>
        <w:t>4, representing a 3.00% year-on-year growth rate.</w:t>
      </w:r>
    </w:p>
    <w:p w:rsidR="00C508BE" w:rsidRDefault="00122E45">
      <w:pPr>
        <w:pStyle w:val="ListBullet"/>
        <w:spacing w:after="60"/>
        <w:ind w:left="510"/>
      </w:pPr>
      <w:r>
        <w:t>Regulatory registry corporate filings show that Kyzer Software India Private Limited generated less than ₹10 Cr in revenue for the financial year ending on March 31, 2025, with a compounded annual growth ra</w:t>
      </w:r>
      <w:r>
        <w:t>te of -19% over the preceding year.</w:t>
      </w:r>
    </w:p>
    <w:p w:rsidR="00C508BE" w:rsidRDefault="00122E45">
      <w:pPr>
        <w:keepNext/>
        <w:pBdr>
          <w:left w:val="single" w:sz="24" w:space="6" w:color="52B69A"/>
        </w:pBdr>
        <w:spacing w:before="120" w:after="60"/>
        <w:ind w:left="170"/>
      </w:pPr>
      <w:r>
        <w:rPr>
          <w:b/>
          <w:color w:val="0F172A"/>
          <w:sz w:val="20"/>
        </w:rPr>
        <w:t>Global Footprint &amp; Local Support — scored 90/100</w:t>
      </w:r>
    </w:p>
    <w:p w:rsidR="00C508BE" w:rsidRDefault="00122E45">
      <w:pPr>
        <w:keepNext/>
        <w:pBdr>
          <w:left w:val="single" w:sz="24" w:space="6" w:color="52B69A"/>
        </w:pBdr>
        <w:ind w:left="170"/>
      </w:pPr>
      <w:r>
        <w:t xml:space="preserve">We verified that the company's established presence and support operations are overwhelmingly concentrated in India, though it has actively initiated a strategic physical </w:t>
      </w:r>
      <w:r>
        <w:t>expansion into London. Based on primary research, the company's localized international trade hub resources can be estimated as limited to its core regional market, based on its operations and support teams based predominantly in Mumbai.</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its corporate headquarters in Mumbai, India, where its primary support and engineering resources manage products deployed across more than 16 Indian and multinational banks.</w:t>
      </w:r>
    </w:p>
    <w:p w:rsidR="00C508BE" w:rsidRDefault="00122E45">
      <w:pPr>
        <w:pStyle w:val="ListBullet"/>
        <w:spacing w:after="60"/>
        <w:ind w:left="510"/>
      </w:pPr>
      <w:r>
        <w:t>In July 2025, the company announced an expansion of its global</w:t>
      </w:r>
      <w:r>
        <w:t xml:space="preserve"> footprint backed by a planned £10 million investment over three years to establish operations and a team in London, UK, which is officially registered at 124 City Road.</w:t>
      </w:r>
    </w:p>
    <w:p w:rsidR="00C508BE" w:rsidRDefault="00122E45">
      <w:pPr>
        <w:keepNext/>
        <w:pBdr>
          <w:left w:val="single" w:sz="24" w:space="6" w:color="52B69A"/>
        </w:pBdr>
        <w:spacing w:before="120" w:after="60"/>
        <w:ind w:left="170"/>
      </w:pPr>
      <w:r>
        <w:rPr>
          <w:b/>
          <w:color w:val="0F172A"/>
          <w:sz w:val="20"/>
        </w:rPr>
        <w:lastRenderedPageBreak/>
        <w:t>Funding &amp; Ownership — scored 65/100</w:t>
      </w:r>
    </w:p>
    <w:p w:rsidR="00C508BE" w:rsidRDefault="00122E45">
      <w:pPr>
        <w:keepNext/>
        <w:pBdr>
          <w:left w:val="single" w:sz="24" w:space="6" w:color="52B69A"/>
        </w:pBdr>
        <w:ind w:left="170"/>
      </w:pPr>
      <w:r>
        <w:t xml:space="preserve">The evaluation rests on official registration </w:t>
      </w:r>
      <w:r>
        <w:t>details showing the company operates as a small-scale private unlisted entity with minimal foundational share capital. Based on primary research, the company's institutional venture capital or private equity backing can be estimated as entirely self-funded</w:t>
      </w:r>
      <w:r>
        <w:t>, based on its self-established start-up origin and status as a closely held private company.</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Kyzer Software India Pvt Ltd is a private unlisted company incorporated in August 2016 with a paid-up capital of Rs. 100,000.00.</w:t>
      </w:r>
    </w:p>
    <w:p w:rsidR="00C508BE" w:rsidRDefault="00122E45">
      <w:pPr>
        <w:keepNext/>
        <w:pBdr>
          <w:left w:val="single" w:sz="24" w:space="6" w:color="52B69A"/>
        </w:pBdr>
        <w:spacing w:before="120" w:after="60"/>
        <w:ind w:left="170"/>
      </w:pPr>
      <w:r>
        <w:rPr>
          <w:b/>
          <w:color w:val="0F172A"/>
          <w:sz w:val="20"/>
        </w:rPr>
        <w:t xml:space="preserve">Market Share &amp; </w:t>
      </w:r>
      <w:r>
        <w:rPr>
          <w:b/>
          <w:color w:val="0F172A"/>
          <w:sz w:val="20"/>
        </w:rPr>
        <w:t>Installed Base — scored 86/100</w:t>
      </w:r>
    </w:p>
    <w:p w:rsidR="00C508BE" w:rsidRDefault="00122E45">
      <w:pPr>
        <w:keepNext/>
        <w:pBdr>
          <w:left w:val="single" w:sz="24" w:space="6" w:color="52B69A"/>
        </w:pBdr>
        <w:ind w:left="170"/>
      </w:pPr>
      <w:r>
        <w:t xml:space="preserve">The rating rests on the company's disclosed footprint of over 22 domestic and 5 multinational banking installations, primarily concentrated in the Indian banking sector. Based on primary research, the company's global market </w:t>
      </w:r>
      <w:r>
        <w:t>share percentage or transaction volumes can be estimated as strong regionally but low globally, based on its implementation footprint across over a dozen local and multinational banks in India.</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having over 100 client i</w:t>
      </w:r>
      <w:r>
        <w:t>mplementations, more than 5 multinational banks, and over 22 leading banks in India using its platforms.</w:t>
      </w:r>
    </w:p>
    <w:p w:rsidR="00C508BE" w:rsidRDefault="00122E45">
      <w:pPr>
        <w:pStyle w:val="ListBullet"/>
        <w:spacing w:after="60"/>
        <w:ind w:left="510"/>
      </w:pPr>
      <w:r>
        <w:t>Client deployments include live trade finance automation setups at RBL Bank, CSB Bank Ltd., NKGSB Bank, and SVC Bank.</w:t>
      </w:r>
    </w:p>
    <w:p w:rsidR="00C508BE" w:rsidRDefault="00122E45">
      <w:pPr>
        <w:pStyle w:val="Heading2"/>
        <w:pageBreakBefore/>
        <w:shd w:val="clear" w:color="auto" w:fill="002857"/>
        <w:spacing w:after="0"/>
      </w:pPr>
      <w:bookmarkStart w:id="21" w:name="_Toc242420551"/>
      <w:r>
        <w:lastRenderedPageBreak/>
        <w:t>Xalts Technologies Pte. Ltd.</w:t>
      </w:r>
      <w:bookmarkEnd w:id="21"/>
    </w:p>
    <w:p w:rsidR="00C508BE" w:rsidRDefault="00122E45">
      <w:pPr>
        <w:shd w:val="clear" w:color="auto" w:fill="002857"/>
        <w:spacing w:after="200"/>
      </w:pPr>
      <w:r>
        <w:rPr>
          <w:color w:val="CBD5E1"/>
          <w:sz w:val="18"/>
        </w:rPr>
        <w:t>Xalt</w:t>
      </w:r>
      <w:r>
        <w:rPr>
          <w:color w:val="CBD5E1"/>
          <w:sz w:val="18"/>
        </w:rPr>
        <w:t xml:space="preserve">s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84</w:t>
      </w:r>
      <w:r>
        <w:rPr>
          <w:color w:val="CBD5E1"/>
          <w:sz w:val="18"/>
        </w:rPr>
        <w:t xml:space="preserve">     Overall </w:t>
      </w:r>
      <w:r>
        <w:rPr>
          <w:b/>
          <w:color w:val="FFFFFF"/>
          <w:sz w:val="20"/>
        </w:rPr>
        <w:t>85</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88/100</w:t>
      </w:r>
    </w:p>
    <w:p w:rsidR="00C508BE" w:rsidRDefault="00122E45">
      <w:pPr>
        <w:keepNext/>
        <w:pBdr>
          <w:left w:val="single" w:sz="24" w:space="6" w:color="52B69A"/>
        </w:pBdr>
        <w:ind w:left="170"/>
      </w:pPr>
      <w:r>
        <w:t xml:space="preserve">The assessment is based on the company's established, verified capability in automating and processing letters of credit, alongside </w:t>
      </w:r>
      <w:r>
        <w:t>self-reported functional automation for guarantees and collections. Based on primary research, the company's trade finance capability parameters can be estimated as extensive and highly compliant, based on its focus on expanding letters of credit into mult</w:t>
      </w:r>
      <w:r>
        <w:t>i-bank supply chain finance solutions.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providing task-specific AI agents and blockchain-based solutions that digitize and automate trade finance operations covering letters of credit, bank guarantees, and collections.</w:t>
      </w:r>
    </w:p>
    <w:p w:rsidR="00C508BE" w:rsidRDefault="00122E45">
      <w:pPr>
        <w:pStyle w:val="ListBullet"/>
        <w:spacing w:after="60"/>
        <w:ind w:left="510"/>
      </w:pPr>
      <w:r>
        <w:t>MUFG Bank completed a fully digital transaction in 2025 on behalf of Tata International, processing a $15 million letter of credit using the company's network.</w:t>
      </w:r>
    </w:p>
    <w:p w:rsidR="00C508BE" w:rsidRDefault="00122E45">
      <w:pPr>
        <w:keepNext/>
        <w:pBdr>
          <w:left w:val="single" w:sz="24" w:space="6" w:color="52B69A"/>
        </w:pBdr>
        <w:spacing w:before="120" w:after="60"/>
        <w:ind w:left="170"/>
      </w:pPr>
      <w:r>
        <w:rPr>
          <w:b/>
          <w:color w:val="0F172A"/>
          <w:sz w:val="20"/>
        </w:rPr>
        <w:t>Document Checking &amp; Compliance Automation — scored 71/100</w:t>
      </w:r>
    </w:p>
    <w:p w:rsidR="00C508BE" w:rsidRDefault="00122E45">
      <w:pPr>
        <w:keepNext/>
        <w:pBdr>
          <w:left w:val="single" w:sz="24" w:space="6" w:color="52B69A"/>
        </w:pBdr>
        <w:ind w:left="170"/>
      </w:pPr>
      <w:r>
        <w:t xml:space="preserve">Based on primary research, the </w:t>
      </w:r>
      <w:r>
        <w:t>company's document compliance automation efficiency can be estimated as highly automated with swift reconciliation, based on its task-specific AI agents that automate complex trade workflows to reduce processing times from days to hours.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Digital Trade Network &amp; Interoperability — scored 90/100</w:t>
      </w:r>
    </w:p>
    <w:p w:rsidR="00C508BE" w:rsidRDefault="00122E45">
      <w:pPr>
        <w:keepNext/>
        <w:pBdr>
          <w:left w:val="single" w:sz="24" w:space="6" w:color="52B69A"/>
        </w:pBdr>
        <w:ind w:left="170"/>
      </w:pPr>
      <w:r>
        <w:t>The rating rests on the company's acquisition and maintenance of the Contour blockchain network, which provides established workflows and native integrations with electronic bill of lad</w:t>
      </w:r>
      <w:r>
        <w:t>ing providers and SWIFT validation features. Based on primary research, the company's proprietary digital trade network expansion can be estimated as growing steadily beyond core bank integrations, based on its network connecting major institutions and glo</w:t>
      </w:r>
      <w:r>
        <w:t>bal businesses through its Omni Connect Protocol.</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In February 2024, Xalts Technologies Pte. Ltd. completed the acquisition of Contour Network, a blockchain-based trade finance network built on R3's Corda platform that maintains pre-existi</w:t>
      </w:r>
      <w:r>
        <w:t>ng documentation and workflow integrations with external partners including CargoX, Bolero, and essDOCS.</w:t>
      </w:r>
    </w:p>
    <w:p w:rsidR="00C508BE" w:rsidRDefault="00122E45">
      <w:pPr>
        <w:pStyle w:val="ListBullet"/>
        <w:spacing w:after="60"/>
        <w:ind w:left="510"/>
      </w:pPr>
      <w:r>
        <w:t>In June 2024, Xalts announced upgrades to the Contour network enabling users to prepare and compare letter of credit applications against SWIFT messagi</w:t>
      </w:r>
      <w:r>
        <w:t>ng standards, with additional planned API integrations to ease system connections.</w:t>
      </w:r>
    </w:p>
    <w:p w:rsidR="00C508BE" w:rsidRDefault="00122E45">
      <w:pPr>
        <w:keepNext/>
        <w:pBdr>
          <w:left w:val="single" w:sz="24" w:space="6" w:color="52B69A"/>
        </w:pBdr>
        <w:spacing w:before="120" w:after="60"/>
        <w:ind w:left="170"/>
      </w:pPr>
      <w:r>
        <w:rPr>
          <w:b/>
          <w:color w:val="0F172A"/>
          <w:sz w:val="20"/>
        </w:rPr>
        <w:t>Platform Architecture &amp; Scalability — scored 89/100</w:t>
      </w:r>
    </w:p>
    <w:p w:rsidR="00C508BE" w:rsidRDefault="00122E45">
      <w:pPr>
        <w:keepNext/>
        <w:pBdr>
          <w:left w:val="single" w:sz="24" w:space="6" w:color="52B69A"/>
        </w:pBdr>
        <w:ind w:left="170"/>
      </w:pPr>
      <w:r>
        <w:t>We verified that the platform utilizes a microservice architecture and proprietary REST APIs to enable multi-bank connect</w:t>
      </w:r>
      <w:r>
        <w:t>ivity and digital transaction workflows. Based on primary research, the company's transaction processing speed and system capability can be estimated as rapid turnaround with high availability, based on its ability to complete a digital letter of credit tr</w:t>
      </w:r>
      <w:r>
        <w:t>ansaction within 3 hours instead of 2 days. on-premises deployment breakdown options.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its SPARC application is a unified bank connectivity API designed to integrate multiple enterprise banking networks under universal </w:t>
      </w:r>
      <w:r>
        <w:t>data exchange schemas.</w:t>
      </w:r>
    </w:p>
    <w:p w:rsidR="00C508BE" w:rsidRDefault="00122E45">
      <w:pPr>
        <w:pStyle w:val="ListBullet"/>
        <w:spacing w:after="60"/>
        <w:ind w:left="510"/>
      </w:pPr>
      <w:r>
        <w:t>Engineers at the company developed cloud-native solutions featuring REST APIs built via Java, Spring Boot, and Nest.js utilizing a microservices architecture.</w:t>
      </w:r>
    </w:p>
    <w:p w:rsidR="00C508BE" w:rsidRDefault="00122E45">
      <w:pPr>
        <w:keepNext/>
        <w:pBdr>
          <w:left w:val="single" w:sz="24" w:space="6" w:color="52B69A"/>
        </w:pBdr>
        <w:spacing w:before="120" w:after="60"/>
        <w:ind w:left="170"/>
      </w:pPr>
      <w:r>
        <w:rPr>
          <w:b/>
          <w:color w:val="0F172A"/>
          <w:sz w:val="20"/>
        </w:rPr>
        <w:t>Innovation &amp; Roadmap — scored 91/100</w:t>
      </w:r>
    </w:p>
    <w:p w:rsidR="00C508BE" w:rsidRDefault="00122E45">
      <w:pPr>
        <w:keepNext/>
        <w:pBdr>
          <w:left w:val="single" w:sz="24" w:space="6" w:color="52B69A"/>
        </w:pBdr>
        <w:ind w:left="170"/>
      </w:pPr>
      <w:r>
        <w:t>The assessment rests on the company’s</w:t>
      </w:r>
      <w:r>
        <w:t xml:space="preserve"> recent launch of AI orchestration agents for end-to-end document processing and its execution of multi-party trade finance transactions on its upgraded network platform. Based on primary research, the company's product innovation and intellectual property</w:t>
      </w:r>
      <w:r>
        <w:t xml:space="preserve"> trajectory can be estimated as heavily focused on embedded trade finance applications and multi-party smart contract workflows, based on its stated goals to roll out real-time co-drafting features and expand API integrations.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w:t>
      </w:r>
      <w:r>
        <w:t xml:space="preserve"> reports introducing AI agents to carry out end-to-end trade finance operations, document preparation, reconciliation, and automated bank queries via its Omni Connect Protocol.</w:t>
      </w:r>
    </w:p>
    <w:p w:rsidR="00C508BE" w:rsidRDefault="00122E45">
      <w:pPr>
        <w:pStyle w:val="ListBullet"/>
        <w:spacing w:after="60"/>
        <w:ind w:left="510"/>
      </w:pPr>
      <w:r>
        <w:lastRenderedPageBreak/>
        <w:t>Xalts completed a digital transaction with MUFG and Tata International over its</w:t>
      </w:r>
      <w:r>
        <w:t xml:space="preserve"> network in February 2025 using its updated blockchain infrastructure and AI capabilities.</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86/100</w:t>
      </w:r>
    </w:p>
    <w:p w:rsidR="00C508BE" w:rsidRDefault="00122E45">
      <w:pPr>
        <w:keepNext/>
        <w:pBdr>
          <w:left w:val="single" w:sz="24" w:space="6" w:color="52B69A"/>
        </w:pBdr>
        <w:ind w:left="170"/>
      </w:pPr>
      <w:r>
        <w:t>We verified that the company's platform has achieved live deployment with prominent institut</w:t>
      </w:r>
      <w:r>
        <w:t>ions, demonstrated by public transaction data involving MUFG Bank and Tata International Limited. Based on primary research, the company's corporate and banking customers registry can be estimated as high trust among global leaders, based on its traction w</w:t>
      </w:r>
      <w:r>
        <w:t>ith leading financial institutions and global businesses across several regions.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In February 2025, MUFG Bank went live on the Xalts bank connectivity network and executed a fully digitalized $15 million Letter of Credit transaction from </w:t>
      </w:r>
      <w:r>
        <w:t>its GIFT City branch for a subsidiary of Tata International Limited.</w:t>
      </w:r>
    </w:p>
    <w:p w:rsidR="00C508BE" w:rsidRDefault="00122E45">
      <w:pPr>
        <w:pStyle w:val="ListBullet"/>
        <w:spacing w:after="60"/>
        <w:ind w:left="510"/>
      </w:pPr>
      <w:r>
        <w:t>Xalts acquired the digital trade finance network Contour in February 2024, integrating a network framework that historically counted over 22 global banks and 100 businesses, including HSB</w:t>
      </w:r>
      <w:r>
        <w:t>C, BNP Paribas, Standard Chartered, and Rio Tinto.</w:t>
      </w:r>
    </w:p>
    <w:p w:rsidR="00C508BE" w:rsidRDefault="00122E45">
      <w:pPr>
        <w:keepNext/>
        <w:pBdr>
          <w:left w:val="single" w:sz="24" w:space="6" w:color="52B69A"/>
        </w:pBdr>
        <w:spacing w:before="120" w:after="60"/>
        <w:ind w:left="170"/>
      </w:pPr>
      <w:r>
        <w:rPr>
          <w:b/>
          <w:color w:val="0F172A"/>
          <w:sz w:val="20"/>
        </w:rPr>
        <w:t>Revenue &amp; Growth — scored 72/100</w:t>
      </w:r>
    </w:p>
    <w:p w:rsidR="00C508BE" w:rsidRDefault="00122E45">
      <w:pPr>
        <w:keepNext/>
        <w:pBdr>
          <w:left w:val="single" w:sz="24" w:space="6" w:color="52B69A"/>
        </w:pBdr>
        <w:ind w:left="170"/>
      </w:pPr>
      <w:r>
        <w:t xml:space="preserve">Ltd. within the global trade finance market. Based on primary research, the company's financial performance metrics can be estimated as positioned for rapid scaling, based </w:t>
      </w:r>
      <w:r>
        <w:t>on its initial 6 million dollar seed round backed by marquee global investors.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Support — scored 89/100</w:t>
      </w:r>
    </w:p>
    <w:p w:rsidR="00C508BE" w:rsidRDefault="00122E45">
      <w:pPr>
        <w:keepNext/>
        <w:pBdr>
          <w:left w:val="single" w:sz="24" w:space="6" w:color="52B69A"/>
        </w:pBdr>
        <w:ind w:left="170"/>
      </w:pPr>
      <w:r>
        <w:t>We verified that the company maintains an operational presence across five global regions spanni</w:t>
      </w:r>
      <w:r>
        <w:t>ng Europe, the Middle East, and Asia. Based on primary research, the company's localized regional support details can be estimated as broad across multiple global financial centers, based on its physical offices established in key hubs including Singapore,</w:t>
      </w:r>
      <w:r>
        <w:t xml:space="preserve"> London, New York, and Hong Kong.</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maintaining a global team across offices located in Singapore, Hong Kong, India, the UAE, and the UK.</w:t>
      </w:r>
    </w:p>
    <w:p w:rsidR="00C508BE" w:rsidRDefault="00122E45">
      <w:pPr>
        <w:pStyle w:val="ListBullet"/>
        <w:spacing w:after="60"/>
        <w:ind w:left="510"/>
      </w:pPr>
      <w:r>
        <w:t>The company reports it has started adding operations and sales capabilities in key</w:t>
      </w:r>
      <w:r>
        <w:t xml:space="preserve"> markets in Asia to accelerate regional adoption of its trade finance solutions.</w:t>
      </w:r>
    </w:p>
    <w:p w:rsidR="00C508BE" w:rsidRDefault="00122E45">
      <w:pPr>
        <w:keepNext/>
        <w:pBdr>
          <w:left w:val="single" w:sz="24" w:space="6" w:color="52B69A"/>
        </w:pBdr>
        <w:spacing w:before="120" w:after="60"/>
        <w:ind w:left="170"/>
      </w:pPr>
      <w:r>
        <w:rPr>
          <w:b/>
          <w:color w:val="0F172A"/>
          <w:sz w:val="20"/>
        </w:rPr>
        <w:t>Funding &amp; Ownership — scored 88/100</w:t>
      </w:r>
    </w:p>
    <w:p w:rsidR="00C508BE" w:rsidRDefault="00122E45">
      <w:pPr>
        <w:keepNext/>
        <w:pBdr>
          <w:left w:val="single" w:sz="24" w:space="6" w:color="52B69A"/>
        </w:pBdr>
        <w:ind w:left="170"/>
      </w:pPr>
      <w:r>
        <w:t>We verified that the company possesses stable initial backing from prominent institutional and venture capital investors, which supported i</w:t>
      </w:r>
      <w:r>
        <w:t xml:space="preserve">ts expansion into trade finance through a major network acquisition. Based on primary research, the company's post-seed financial statements can be estimated as heavy strategic equity component, based on its multi million dollar acquisition of the Contour </w:t>
      </w:r>
      <w:r>
        <w:t>network structured via a mix of cash and stock.</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announced a $6 million seed funding round in October 2022 co-led by Accel and Citi Ventures, with additional participation from Polygon co-founder Sandeep Nailwal.</w:t>
      </w:r>
    </w:p>
    <w:p w:rsidR="00C508BE" w:rsidRDefault="00122E45">
      <w:pPr>
        <w:pStyle w:val="ListBullet"/>
        <w:spacing w:after="60"/>
        <w:ind w:left="510"/>
      </w:pPr>
      <w:r>
        <w:t xml:space="preserve">The company </w:t>
      </w:r>
      <w:r>
        <w:t>utilized cash and stock to acquire the digital trade network Contour from a bank consortium in February 2024, receiving continuing transaction support from early backers Accel and Citi Ventures.</w:t>
      </w:r>
    </w:p>
    <w:p w:rsidR="00C508BE" w:rsidRDefault="00122E45">
      <w:pPr>
        <w:keepNext/>
        <w:pBdr>
          <w:left w:val="single" w:sz="24" w:space="6" w:color="52B69A"/>
        </w:pBdr>
        <w:spacing w:before="120" w:after="60"/>
        <w:ind w:left="170"/>
      </w:pPr>
      <w:r>
        <w:rPr>
          <w:b/>
          <w:color w:val="0F172A"/>
          <w:sz w:val="20"/>
        </w:rPr>
        <w:t>Market Share &amp; Installed Base — scored 87/100</w:t>
      </w:r>
    </w:p>
    <w:p w:rsidR="00C508BE" w:rsidRDefault="00122E45">
      <w:pPr>
        <w:keepNext/>
        <w:pBdr>
          <w:left w:val="single" w:sz="24" w:space="6" w:color="52B69A"/>
        </w:pBdr>
        <w:ind w:left="170"/>
      </w:pPr>
      <w:r>
        <w:t>We verified tha</w:t>
      </w:r>
      <w:r>
        <w:t>t the company's market footprint relies primarily on its acquisition of the Contour Network, which brought an established base of over 22 banks and 100 corporates, alongside recent client additions such as MUFG Bank and Tata International. Based on primary</w:t>
      </w:r>
      <w:r>
        <w:t xml:space="preserve"> research, the company's post-acquisition activity metrics can be estimated as highly intensive transactional volume, based on its oversight of an integrated network connecting dozens of major banks and over 100 global corporations.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In Fe</w:t>
      </w:r>
      <w:r>
        <w:t>bruary 2024, Xalts Technologies Pte. Ltd. acquired the Contour Network, a digital trade platform used by over 22 banks and more than 100 global businesses including Tata Group and Rio Tinto.</w:t>
      </w:r>
    </w:p>
    <w:p w:rsidR="00C508BE" w:rsidRDefault="00122E45">
      <w:pPr>
        <w:pStyle w:val="ListBullet"/>
        <w:spacing w:after="60"/>
        <w:ind w:left="510"/>
      </w:pPr>
      <w:r>
        <w:t>In February 2025, MUFG Bank went live on the Xalts bank connectiv</w:t>
      </w:r>
      <w:r>
        <w:t>ity network for corporate treasuries operating in GIFT City, processing a US$15 million letter of credit for Tata International.</w:t>
      </w:r>
    </w:p>
    <w:p w:rsidR="00C508BE" w:rsidRDefault="00122E45">
      <w:pPr>
        <w:pStyle w:val="Heading2"/>
        <w:pageBreakBefore/>
        <w:shd w:val="clear" w:color="auto" w:fill="002857"/>
        <w:spacing w:after="0"/>
      </w:pPr>
      <w:bookmarkStart w:id="22" w:name="_Toc242420552"/>
      <w:r>
        <w:lastRenderedPageBreak/>
        <w:t>TradeAssets DMCC</w:t>
      </w:r>
      <w:bookmarkEnd w:id="22"/>
    </w:p>
    <w:p w:rsidR="00C508BE" w:rsidRDefault="00122E45">
      <w:pPr>
        <w:shd w:val="clear" w:color="auto" w:fill="002857"/>
        <w:spacing w:after="200"/>
      </w:pPr>
      <w:r>
        <w:rPr>
          <w:color w:val="CBD5E1"/>
          <w:sz w:val="18"/>
        </w:rPr>
        <w:t xml:space="preserve">TradeAssets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79</w:t>
      </w:r>
      <w:r>
        <w:rPr>
          <w:color w:val="CBD5E1"/>
          <w:sz w:val="18"/>
        </w:rPr>
        <w:t xml:space="preserve">     Overall </w:t>
      </w:r>
      <w:r>
        <w:rPr>
          <w:b/>
          <w:color w:val="FFFFFF"/>
          <w:sz w:val="20"/>
        </w:rPr>
        <w:t>80</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 xml:space="preserve">Trade Finance </w:t>
      </w:r>
      <w:r>
        <w:rPr>
          <w:b/>
          <w:color w:val="0F172A"/>
          <w:sz w:val="20"/>
        </w:rPr>
        <w:t>Product Breadth — scored 88/100</w:t>
      </w:r>
    </w:p>
    <w:p w:rsidR="00C508BE" w:rsidRDefault="00122E45">
      <w:pPr>
        <w:keepNext/>
        <w:pBdr>
          <w:left w:val="single" w:sz="24" w:space="6" w:color="52B69A"/>
        </w:pBdr>
        <w:ind w:left="170"/>
      </w:pPr>
      <w:r>
        <w:t xml:space="preserve">The assessment rests on verified platform capabilities for standard and Islamic letters of credit, trade loans, open account instruments, and bank guarantees used in secondary market distribution. Based on primary research, </w:t>
      </w:r>
      <w:r>
        <w:t>the company's multi-currency compliance depth can be estimated as growing steadily, based on its upcoming multi-currency bond raise collaboration and cross-border bank reach.</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platform supports trading, secondary distribution, and pric</w:t>
      </w:r>
      <w:r>
        <w:t>e discovery for trade finance instruments including letters of credit, trade loans, bank guarantees, and open account payables and receivables.</w:t>
      </w:r>
    </w:p>
    <w:p w:rsidR="00C508BE" w:rsidRDefault="00122E45">
      <w:pPr>
        <w:pStyle w:val="ListBullet"/>
        <w:spacing w:after="60"/>
        <w:ind w:left="510"/>
      </w:pPr>
      <w:r>
        <w:t>The company provides support for Sharia-compliant alternatives and Islamic finance products alongside convention</w:t>
      </w:r>
      <w:r>
        <w:t>al trade finance assets.</w:t>
      </w:r>
    </w:p>
    <w:p w:rsidR="00C508BE" w:rsidRDefault="00122E45">
      <w:pPr>
        <w:keepNext/>
        <w:pBdr>
          <w:left w:val="single" w:sz="24" w:space="6" w:color="52B69A"/>
        </w:pBdr>
        <w:spacing w:before="120" w:after="60"/>
        <w:ind w:left="170"/>
      </w:pPr>
      <w:r>
        <w:rPr>
          <w:b/>
          <w:color w:val="0F172A"/>
          <w:sz w:val="20"/>
        </w:rPr>
        <w:t>Document Checking &amp; Compliance Automation — scored 70/100</w:t>
      </w:r>
    </w:p>
    <w:p w:rsidR="00C508BE" w:rsidRDefault="00122E45">
      <w:pPr>
        <w:keepNext/>
        <w:pBdr>
          <w:left w:val="single" w:sz="24" w:space="6" w:color="52B69A"/>
        </w:pBdr>
        <w:ind w:left="170"/>
      </w:pPr>
      <w:r>
        <w:t>The evaluation rests on verified platform specifications indicating that TradeAssets operates strictly as an e-marketplace and auction network for primary and secondary bank</w:t>
      </w:r>
      <w:r>
        <w:t xml:space="preserve"> risk distribution rather than a transactional document processing platform. Based on primary research, the company's native compliance automation features can be estimated as strong, in line with leading vendors, based on its strategic risk partnership wi</w:t>
      </w:r>
      <w:r>
        <w:t>th Globit and automated compliance framework.</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its platform focuses on automating trade finance risk distribution, primary and secondary market trade finance pricing, and interbank communication rather than primary docu</w:t>
      </w:r>
      <w:r>
        <w:t>ment examination.</w:t>
      </w:r>
    </w:p>
    <w:p w:rsidR="00C508BE" w:rsidRDefault="00122E45">
      <w:pPr>
        <w:pStyle w:val="ListBullet"/>
        <w:spacing w:after="60"/>
        <w:ind w:left="510"/>
      </w:pPr>
      <w:r>
        <w:t xml:space="preserve">The company announced an agreement with True North Partners in May 2026 to provide member banks with access to specialized AI expertise and advisory implementation, though it hasn't specified native UCP600 or sanctions screening document </w:t>
      </w:r>
      <w:r>
        <w:t>checking tools.</w:t>
      </w:r>
    </w:p>
    <w:p w:rsidR="00C508BE" w:rsidRDefault="00122E45">
      <w:pPr>
        <w:keepNext/>
        <w:pBdr>
          <w:left w:val="single" w:sz="24" w:space="6" w:color="52B69A"/>
        </w:pBdr>
        <w:spacing w:before="120" w:after="60"/>
        <w:ind w:left="170"/>
      </w:pPr>
      <w:r>
        <w:rPr>
          <w:b/>
          <w:color w:val="0F172A"/>
          <w:sz w:val="20"/>
        </w:rPr>
        <w:t>Digital Trade Network &amp; Interoperability — scored 81/100</w:t>
      </w:r>
    </w:p>
    <w:p w:rsidR="00C508BE" w:rsidRDefault="00122E45">
      <w:pPr>
        <w:keepNext/>
        <w:pBdr>
          <w:left w:val="single" w:sz="24" w:space="6" w:color="52B69A"/>
        </w:pBdr>
        <w:ind w:left="170"/>
      </w:pPr>
      <w:r>
        <w:t>The rating rests on confirmed bank consortium membership and the platform's self-reported utilization of underlying blockchain protocols to maintain cross-network interoperability. Ba</w:t>
      </w:r>
      <w:r>
        <w:t>sed on primary research, the company's native document network integrations can be estimated as limited to a few markets, based on its primary focus on interbank risk origination and distribution auctions instead of document logistics.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w:t>
      </w:r>
      <w:r>
        <w:t>e company reports its blockchain-based e-marketplace architecture incorporates baseline interoperability inherent to the protocol to permit permissioned participant banks to securely process secondary trade asset distribution.</w:t>
      </w:r>
    </w:p>
    <w:p w:rsidR="00C508BE" w:rsidRDefault="00122E45">
      <w:pPr>
        <w:pStyle w:val="ListBullet"/>
        <w:spacing w:after="60"/>
        <w:ind w:left="510"/>
      </w:pPr>
      <w:r>
        <w:t xml:space="preserve">Citi confirmed it joined the </w:t>
      </w:r>
      <w:r>
        <w:t>TradeAssets e-marketplace consortium to leverage its online, real-time portal for secondary trade asset automation alongside separate SWIFT MT798 connectivity workflows.</w:t>
      </w:r>
    </w:p>
    <w:p w:rsidR="00C508BE" w:rsidRDefault="00122E45">
      <w:pPr>
        <w:keepNext/>
        <w:pBdr>
          <w:left w:val="single" w:sz="24" w:space="6" w:color="52B69A"/>
        </w:pBdr>
        <w:spacing w:before="120" w:after="60"/>
        <w:ind w:left="170"/>
      </w:pPr>
      <w:r>
        <w:rPr>
          <w:b/>
          <w:color w:val="0F172A"/>
          <w:sz w:val="20"/>
        </w:rPr>
        <w:t>Platform Architecture &amp; Scalability — scored 89/100</w:t>
      </w:r>
    </w:p>
    <w:p w:rsidR="00C508BE" w:rsidRDefault="00122E45">
      <w:pPr>
        <w:keepNext/>
        <w:pBdr>
          <w:left w:val="single" w:sz="24" w:space="6" w:color="52B69A"/>
        </w:pBdr>
        <w:ind w:left="170"/>
      </w:pPr>
      <w:r>
        <w:t xml:space="preserve">The rating reflects verified </w:t>
      </w:r>
      <w:r>
        <w:t>implementation of a permissioned blockchain foundation alongside self-reported SaaS delivery and high deal volumes. Based on primary research, the company's technical architecture robustness can be estimated as strong, in line with leading vendors, based o</w:t>
      </w:r>
      <w:r>
        <w:t>n its foundation on enterprise-grade Hyperledger Fabric hosted by the Linux Foundation.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its portal leverages Hyperledger Fabric-based blockchain technology, developed by technology provider KrypC, to provide an online </w:t>
      </w:r>
      <w:r>
        <w:t>transaction auction system for trade finance assets.</w:t>
      </w:r>
    </w:p>
    <w:p w:rsidR="00C508BE" w:rsidRDefault="00122E45">
      <w:pPr>
        <w:pStyle w:val="ListBullet"/>
        <w:spacing w:after="60"/>
        <w:ind w:left="510"/>
      </w:pPr>
      <w:r>
        <w:t>The platform is categorized as a Software-as-a-Service (SaaS) application targeting global financial institutions, having processed over $4 billion in secondary market asset distribution across its netwo</w:t>
      </w:r>
      <w:r>
        <w:t>rk.</w:t>
      </w:r>
    </w:p>
    <w:p w:rsidR="00C508BE" w:rsidRDefault="00122E45">
      <w:pPr>
        <w:keepNext/>
        <w:pBdr>
          <w:left w:val="single" w:sz="24" w:space="6" w:color="52B69A"/>
        </w:pBdr>
        <w:spacing w:before="120" w:after="60"/>
        <w:ind w:left="170"/>
      </w:pPr>
      <w:r>
        <w:rPr>
          <w:b/>
          <w:color w:val="0F172A"/>
          <w:sz w:val="20"/>
        </w:rPr>
        <w:lastRenderedPageBreak/>
        <w:t>Innovation &amp; Roadmap — scored 84/100</w:t>
      </w:r>
    </w:p>
    <w:p w:rsidR="00C508BE" w:rsidRDefault="00122E45">
      <w:pPr>
        <w:keepNext/>
        <w:pBdr>
          <w:left w:val="single" w:sz="24" w:space="6" w:color="52B69A"/>
        </w:pBdr>
        <w:ind w:left="170"/>
      </w:pPr>
      <w:r>
        <w:t xml:space="preserve">We verified that the firm's core platform foundations rely on documented Hyperledger Fabric blockchain protocols and early-stage AI alerts. Based on primary research, the company's forward technical feature roadmap </w:t>
      </w:r>
      <w:r>
        <w:t>can be estimated as growing steadily, based on its expanded network of member institutions and strategic focus on AI-driven implementation services.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core secondary trade finance asset distribution e-marketplac</w:t>
      </w:r>
      <w:r>
        <w:t>e was built using Hyperledger Fabric 1.0 blockchain technology.</w:t>
      </w:r>
    </w:p>
    <w:p w:rsidR="00C508BE" w:rsidRDefault="00122E45">
      <w:pPr>
        <w:pStyle w:val="ListBullet"/>
        <w:spacing w:after="60"/>
        <w:ind w:left="510"/>
      </w:pPr>
      <w:r>
        <w:t>Public reports show that early versions of the platform utilized artificial intelligence (AI) for image-based processing and generating automated transaction alerts.</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w:t>
      </w:r>
      <w:r>
        <w:rPr>
          <w:b/>
          <w:color w:val="0F172A"/>
          <w:sz w:val="20"/>
        </w:rPr>
        <w:t>med Bank &amp; Corporate Customers — scored 87/100</w:t>
      </w:r>
    </w:p>
    <w:p w:rsidR="00C508BE" w:rsidRDefault="00122E45">
      <w:pPr>
        <w:keepNext/>
        <w:pBdr>
          <w:left w:val="single" w:sz="24" w:space="6" w:color="52B69A"/>
        </w:pBdr>
        <w:ind w:left="170"/>
      </w:pPr>
      <w:r>
        <w:t>The evaluation is based on verified public announcements of institutional banking members joining the company's marketplace network and the company's own metrics regarding its interbank network scale. Based on</w:t>
      </w:r>
      <w:r>
        <w:t xml:space="preserve"> primary research, the company's corporate enterprise customers can be estimated as limited to a few markets, based on its focus on connecting over 120 member banks across 35 countries.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a growing global ecosystem of ov</w:t>
      </w:r>
      <w:r>
        <w:t>er 100 to 120 member banks across more than 35 countries using its secondary trade finance e-marketplace.</w:t>
      </w:r>
    </w:p>
    <w:p w:rsidR="00C508BE" w:rsidRDefault="00122E45">
      <w:pPr>
        <w:pStyle w:val="ListBullet"/>
        <w:spacing w:after="60"/>
        <w:ind w:left="510"/>
      </w:pPr>
      <w:r>
        <w:t>Public contract announcements and partnerships verify institutional platform adoption by financial entities including YES BANK in 2018, Abu Dhabi Isla</w:t>
      </w:r>
      <w:r>
        <w:t>mic Bank (ADIB) and British Arab Commercial Bank (BACB) in 2019, United Arab Bank (UAB) in 2020, and Banco Latinoamericano de Comercio Exterior (Bladex) in 2022.</w:t>
      </w:r>
    </w:p>
    <w:p w:rsidR="00C508BE" w:rsidRDefault="00122E45">
      <w:pPr>
        <w:keepNext/>
        <w:pBdr>
          <w:left w:val="single" w:sz="24" w:space="6" w:color="52B69A"/>
        </w:pBdr>
        <w:spacing w:before="120" w:after="60"/>
        <w:ind w:left="170"/>
      </w:pPr>
      <w:r>
        <w:rPr>
          <w:b/>
          <w:color w:val="0F172A"/>
          <w:sz w:val="20"/>
        </w:rPr>
        <w:t>Revenue &amp; Growth — scored 72/100</w:t>
      </w:r>
    </w:p>
    <w:p w:rsidR="00C508BE" w:rsidRDefault="00122E45">
      <w:pPr>
        <w:keepNext/>
        <w:pBdr>
          <w:left w:val="single" w:sz="24" w:space="6" w:color="52B69A"/>
        </w:pBdr>
        <w:ind w:left="170"/>
      </w:pPr>
      <w:r>
        <w:t>Based on primary research, the company's financial performanc</w:t>
      </w:r>
      <w:r>
        <w:t>e and growth data can be estimated as growing steadily, based on its processing of over $4 billion in deal volumes over 3 years.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Support — scored 83/100</w:t>
      </w:r>
    </w:p>
    <w:p w:rsidR="00C508BE" w:rsidRDefault="00122E45">
      <w:pPr>
        <w:keepNext/>
        <w:pBdr>
          <w:left w:val="single" w:sz="24" w:space="6" w:color="52B69A"/>
        </w:pBdr>
        <w:ind w:left="170"/>
      </w:pPr>
      <w:r>
        <w:t xml:space="preserve">We verified that the company's verified </w:t>
      </w:r>
      <w:r>
        <w:t>physical office footprint is restricted to its primary headquarters in Dubai, though it has hired regional executive leaders in international financial hubs like London and Singapore to drive business development. Based on primary research, the company's r</w:t>
      </w:r>
      <w:r>
        <w:t>egional presence and support can be estimated as strong, in line with leading vendors, based on its international market reach spanning 35 countries and strategic partnerships with banks in India and Latin America.</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its</w:t>
      </w:r>
      <w:r>
        <w:t xml:space="preserve"> corporate headquarters are located at the DMCC Business Center in Dubai, United Arab Emirates.</w:t>
      </w:r>
    </w:p>
    <w:p w:rsidR="00C508BE" w:rsidRDefault="00122E45">
      <w:pPr>
        <w:pStyle w:val="ListBullet"/>
        <w:spacing w:after="60"/>
        <w:ind w:left="510"/>
      </w:pPr>
      <w:r>
        <w:t>The company announced senior placements across different regions in 2019, including hiring an executive director for South and Central Asia based in Singapore a</w:t>
      </w:r>
      <w:r>
        <w:t>nd business development and executive directors based in London.</w:t>
      </w:r>
    </w:p>
    <w:p w:rsidR="00C508BE" w:rsidRDefault="00122E45">
      <w:pPr>
        <w:keepNext/>
        <w:pBdr>
          <w:left w:val="single" w:sz="24" w:space="6" w:color="52B69A"/>
        </w:pBdr>
        <w:spacing w:before="120" w:after="60"/>
        <w:ind w:left="170"/>
      </w:pPr>
      <w:r>
        <w:rPr>
          <w:b/>
          <w:color w:val="0F172A"/>
          <w:sz w:val="20"/>
        </w:rPr>
        <w:t>Funding &amp; Ownership — scored 67/100</w:t>
      </w:r>
    </w:p>
    <w:p w:rsidR="00C508BE" w:rsidRDefault="00122E45">
      <w:pPr>
        <w:keepNext/>
        <w:pBdr>
          <w:left w:val="single" w:sz="24" w:space="6" w:color="52B69A"/>
        </w:pBdr>
        <w:ind w:left="170"/>
      </w:pPr>
      <w:r>
        <w:t>The company's assessment rests on the mutual termination of its planned acquisition by Veefin Group in June 2025, leaving it under its original parental ow</w:t>
      </w:r>
      <w:r>
        <w:t>nership structure. Based on primary research, the company's institutional external funding can be estimated as high, based on its structural owner Fintech Innovations International and a major multi-million dollar transaction alignment with an internationa</w:t>
      </w:r>
      <w:r>
        <w:t>l enterprise group.</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planned acquisition of TradeAssets by Estorifi Solutions (a Veefin Group company), which was announced in February 2025, was mutually and amicably terminated in June 2025 because the transaction extended beyond the</w:t>
      </w:r>
      <w:r>
        <w:t xml:space="preserve"> agreed timeline due to evolving strategic directions.</w:t>
      </w:r>
    </w:p>
    <w:p w:rsidR="00C508BE" w:rsidRDefault="00122E45">
      <w:pPr>
        <w:pStyle w:val="ListBullet"/>
        <w:spacing w:after="60"/>
        <w:ind w:left="510"/>
      </w:pPr>
      <w:r>
        <w:t>Fintech Innovations International DMCC is reported by the company as the sole owner of the TradeAssets product.</w:t>
      </w:r>
    </w:p>
    <w:p w:rsidR="00C508BE" w:rsidRDefault="00122E45">
      <w:pPr>
        <w:keepNext/>
        <w:pBdr>
          <w:left w:val="single" w:sz="24" w:space="6" w:color="52B69A"/>
        </w:pBdr>
        <w:spacing w:before="120" w:after="60"/>
        <w:ind w:left="170"/>
      </w:pPr>
      <w:r>
        <w:rPr>
          <w:b/>
          <w:color w:val="0F172A"/>
          <w:sz w:val="20"/>
        </w:rPr>
        <w:t>Market Share &amp; Installed Base — scored 87/100</w:t>
      </w:r>
    </w:p>
    <w:p w:rsidR="00C508BE" w:rsidRDefault="00122E45">
      <w:pPr>
        <w:keepNext/>
        <w:pBdr>
          <w:left w:val="single" w:sz="24" w:space="6" w:color="52B69A"/>
        </w:pBdr>
        <w:ind w:left="170"/>
      </w:pPr>
      <w:r>
        <w:t>We verified that the system carries transac</w:t>
      </w:r>
      <w:r>
        <w:t xml:space="preserve">tion data across a multi-country bank network, reinforced by its February 2025 acquisition by Veefin Group. Based on primary research, the company's global installations and market share </w:t>
      </w:r>
      <w:r>
        <w:lastRenderedPageBreak/>
        <w:t>can be estimated as growing steadily, based on its digital network re</w:t>
      </w:r>
      <w:r>
        <w:t>aching more than 125 member banks across 35 countries.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TradeAssets reports that its digital trade finance e-marketplace operates across more than 35 countries and has processed over $3.5 billion in transaction volume.</w:t>
      </w:r>
    </w:p>
    <w:p w:rsidR="00C508BE" w:rsidRDefault="00122E45">
      <w:pPr>
        <w:pStyle w:val="ListBullet"/>
        <w:spacing w:after="60"/>
        <w:ind w:left="510"/>
      </w:pPr>
      <w:r>
        <w:t>The platform grew it</w:t>
      </w:r>
      <w:r>
        <w:t>s network to nearly 80 member banks by late 2021, establishing active corridor participations with institutions like Abu Dhabi Islamic Bank and Citibank.</w:t>
      </w:r>
    </w:p>
    <w:p w:rsidR="00C508BE" w:rsidRDefault="00122E45">
      <w:pPr>
        <w:pStyle w:val="Heading2"/>
        <w:pageBreakBefore/>
        <w:shd w:val="clear" w:color="auto" w:fill="002857"/>
        <w:spacing w:after="0"/>
      </w:pPr>
      <w:bookmarkStart w:id="23" w:name="_Toc242420553"/>
      <w:r>
        <w:lastRenderedPageBreak/>
        <w:t>RootAnt Global Pte Ltd</w:t>
      </w:r>
      <w:bookmarkEnd w:id="23"/>
    </w:p>
    <w:p w:rsidR="00C508BE" w:rsidRDefault="00122E45">
      <w:pPr>
        <w:shd w:val="clear" w:color="auto" w:fill="002857"/>
        <w:spacing w:after="200"/>
      </w:pPr>
      <w:r>
        <w:rPr>
          <w:color w:val="CBD5E1"/>
          <w:sz w:val="18"/>
        </w:rPr>
        <w:t xml:space="preserve">RootAnt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79</w:t>
      </w:r>
      <w:r>
        <w:rPr>
          <w:color w:val="CBD5E1"/>
          <w:sz w:val="18"/>
        </w:rPr>
        <w:t xml:space="preserve">     Overall </w:t>
      </w:r>
      <w:r>
        <w:rPr>
          <w:b/>
          <w:color w:val="FFFFFF"/>
          <w:sz w:val="20"/>
        </w:rPr>
        <w:t>80</w:t>
      </w:r>
    </w:p>
    <w:p w:rsidR="00C508BE" w:rsidRDefault="00122E45">
      <w:pPr>
        <w:keepNext/>
        <w:pBdr>
          <w:bottom w:val="single" w:sz="6" w:space="3" w:color="E2E8F0"/>
        </w:pBdr>
        <w:spacing w:before="120" w:after="120"/>
      </w:pPr>
      <w:r>
        <w:rPr>
          <w:b/>
          <w:caps/>
          <w:color w:val="1A759F"/>
        </w:rPr>
        <w:t xml:space="preserve">X — Technology </w:t>
      </w:r>
      <w:r>
        <w:rPr>
          <w:b/>
          <w:caps/>
          <w:color w:val="1A759F"/>
        </w:rPr>
        <w:t>Capability</w:t>
      </w:r>
    </w:p>
    <w:p w:rsidR="00C508BE" w:rsidRDefault="00122E45">
      <w:pPr>
        <w:keepNext/>
        <w:pBdr>
          <w:left w:val="single" w:sz="24" w:space="6" w:color="52B69A"/>
        </w:pBdr>
        <w:spacing w:before="120" w:after="60"/>
        <w:ind w:left="170"/>
      </w:pPr>
      <w:r>
        <w:rPr>
          <w:b/>
          <w:color w:val="0F172A"/>
          <w:sz w:val="20"/>
        </w:rPr>
        <w:t>Trade Finance Product Breadth — scored 87/100</w:t>
      </w:r>
    </w:p>
    <w:p w:rsidR="00C508BE" w:rsidRDefault="00122E45">
      <w:pPr>
        <w:keepNext/>
        <w:pBdr>
          <w:left w:val="single" w:sz="24" w:space="6" w:color="52B69A"/>
        </w:pBdr>
        <w:ind w:left="170"/>
      </w:pPr>
      <w:r>
        <w:t xml:space="preserve">We verified that the company's platform has clear and functional capabilities specifically within supply chain finance, reverse factoring, and lending workflows. Based on primary research, the </w:t>
      </w:r>
      <w:r>
        <w:t>company's traditional trade finance capabilities can be estimated as limited to a few markets, based on its focus on deep-tier supply chain finance, digital payment obligations, and accounts payable or receivable automation.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w:t>
      </w:r>
      <w:r>
        <w:t>eports that its digital transaction banking platform, BANCO, supports multi-tier supply chain finance, early payments, deep-tier reverse factoring using Digital Payment Obligations, and SME loans.</w:t>
      </w:r>
    </w:p>
    <w:p w:rsidR="00C508BE" w:rsidRDefault="00122E45">
      <w:pPr>
        <w:pStyle w:val="ListBullet"/>
        <w:spacing w:after="60"/>
        <w:ind w:left="510"/>
      </w:pPr>
      <w:r>
        <w:t>Independent reports verify that the company introduces cent</w:t>
      </w:r>
      <w:r>
        <w:t>ralized lending capabilities into its BANCO platform through its BANCR module to connect financial institutions and SMEs.</w:t>
      </w:r>
    </w:p>
    <w:p w:rsidR="00C508BE" w:rsidRDefault="00122E45">
      <w:pPr>
        <w:keepNext/>
        <w:pBdr>
          <w:left w:val="single" w:sz="24" w:space="6" w:color="52B69A"/>
        </w:pBdr>
        <w:spacing w:before="120" w:after="60"/>
        <w:ind w:left="170"/>
      </w:pPr>
      <w:r>
        <w:rPr>
          <w:b/>
          <w:color w:val="0F172A"/>
          <w:sz w:val="20"/>
        </w:rPr>
        <w:t>Document Checking &amp; Compliance Automation — scored 68/100</w:t>
      </w:r>
    </w:p>
    <w:p w:rsidR="00C508BE" w:rsidRDefault="00122E45">
      <w:pPr>
        <w:keepNext/>
        <w:pBdr>
          <w:left w:val="single" w:sz="24" w:space="6" w:color="52B69A"/>
        </w:pBdr>
        <w:ind w:left="170"/>
      </w:pPr>
      <w:r>
        <w:t>Based on primary research, the company's compliance automation and extractio</w:t>
      </w:r>
      <w:r>
        <w:t>n accuracy can be estimated as growing steadily, based on its open, collaborative platform that integrates with verified third-party data providers and enterprise systems.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Digital Trade Network &amp; Interoperability — scored 71</w:t>
      </w:r>
      <w:r>
        <w:rPr>
          <w:b/>
          <w:color w:val="0F172A"/>
          <w:sz w:val="20"/>
        </w:rPr>
        <w:t>/100</w:t>
      </w:r>
    </w:p>
    <w:p w:rsidR="00C508BE" w:rsidRDefault="00122E45">
      <w:pPr>
        <w:keepNext/>
        <w:pBdr>
          <w:left w:val="single" w:sz="24" w:space="6" w:color="52B69A"/>
        </w:pBdr>
        <w:ind w:left="170"/>
      </w:pPr>
      <w:r>
        <w:t xml:space="preserve">Our assessment rests on the company's verified use of decentralized network architectures for transaction banking data management. Based on primary research, the company's digital document network connectivity can be estimated as strong, in line with </w:t>
      </w:r>
      <w:r>
        <w:t>leading vendors, based on its electronic bill of lading cross-border trade pilots and document exchange agreements involving major financial branches.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BANCO platform utilizes R3's Corda enterprise blockchain n</w:t>
      </w:r>
      <w:r>
        <w:t>etwork to manage data exchange, privacy, and transaction validation for multi-tier supply chain financing.</w:t>
      </w:r>
    </w:p>
    <w:p w:rsidR="00C508BE" w:rsidRDefault="00122E45">
      <w:pPr>
        <w:pStyle w:val="ListBullet"/>
        <w:spacing w:after="60"/>
        <w:ind w:left="510"/>
      </w:pPr>
      <w:r>
        <w:t>In September 2021, the company partnered with Marketnode and SETL to develop end-to-end infrastructure for fixed-income and multi-asset documentation</w:t>
      </w:r>
      <w:r>
        <w:t xml:space="preserve"> and data processing.</w:t>
      </w:r>
    </w:p>
    <w:p w:rsidR="00C508BE" w:rsidRDefault="00122E45">
      <w:pPr>
        <w:keepNext/>
        <w:pBdr>
          <w:left w:val="single" w:sz="24" w:space="6" w:color="52B69A"/>
        </w:pBdr>
        <w:spacing w:before="120" w:after="60"/>
        <w:ind w:left="170"/>
      </w:pPr>
      <w:r>
        <w:rPr>
          <w:b/>
          <w:color w:val="0F172A"/>
          <w:sz w:val="20"/>
        </w:rPr>
        <w:t>Platform Architecture &amp; Scalability — scored 89/100</w:t>
      </w:r>
    </w:p>
    <w:p w:rsidR="00C508BE" w:rsidRDefault="00122E45">
      <w:pPr>
        <w:keepNext/>
        <w:pBdr>
          <w:left w:val="single" w:sz="24" w:space="6" w:color="52B69A"/>
        </w:pBdr>
        <w:ind w:left="170"/>
      </w:pPr>
      <w:r>
        <w:t>The assessment rests on the company's self-reported microservices architecture and publicly available API specifications. Based on primary research, the company's performance and alt</w:t>
      </w:r>
      <w:r>
        <w:t>ernative deployment metrics can be estimated as broad across the major ERP platforms, based on its flexible BANCO platform architecture that deploys across multiple major enterprise blockchain protocols.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its Digital Ba</w:t>
      </w:r>
      <w:r>
        <w:t>nking-as-a-Service software model is built on a modular and microservices architecture with Open APIs available for ecosystem partner integration.</w:t>
      </w:r>
    </w:p>
    <w:p w:rsidR="00C508BE" w:rsidRDefault="00122E45">
      <w:pPr>
        <w:pStyle w:val="ListBullet"/>
        <w:spacing w:after="60"/>
        <w:ind w:left="510"/>
      </w:pPr>
      <w:r>
        <w:t>The company hosts public Open API documentation outlining specific endpoints for functions such as creating S</w:t>
      </w:r>
      <w:r>
        <w:t>ME finance loan applications.</w:t>
      </w:r>
    </w:p>
    <w:p w:rsidR="00C508BE" w:rsidRDefault="00122E45">
      <w:pPr>
        <w:keepNext/>
        <w:pBdr>
          <w:left w:val="single" w:sz="24" w:space="6" w:color="52B69A"/>
        </w:pBdr>
        <w:spacing w:before="120" w:after="60"/>
        <w:ind w:left="170"/>
      </w:pPr>
      <w:r>
        <w:rPr>
          <w:b/>
          <w:color w:val="0F172A"/>
          <w:sz w:val="20"/>
        </w:rPr>
        <w:t>Innovation &amp; Roadmap — scored 94/100</w:t>
      </w:r>
    </w:p>
    <w:p w:rsidR="00C508BE" w:rsidRDefault="00122E45">
      <w:pPr>
        <w:keepNext/>
        <w:pBdr>
          <w:left w:val="single" w:sz="24" w:space="6" w:color="52B69A"/>
        </w:pBdr>
        <w:ind w:left="170"/>
      </w:pPr>
      <w:r>
        <w:t>The rating rests on the company's clear deployment of multi-tier supply chain finance using established enterprise blockchain protocols (R3 Corda and Hyperledger Fabric) along with the subs</w:t>
      </w:r>
      <w:r>
        <w:t xml:space="preserve">equent rollout of its integrated BANCR lending architecture. Based on primary research, the company's updated feature roadmap and AI implementation can be estimated as high, based on its ongoing expansion of lending capabilities and integration of unified </w:t>
      </w:r>
      <w:r>
        <w:t>platform modules across Asian markets.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deep-tier supply chain finance platform, BANCO, connects buyers and sellers with financing providers on the R3 Corda and Hyperledger Fabric blockchain protocols.</w:t>
      </w:r>
    </w:p>
    <w:p w:rsidR="00C508BE" w:rsidRDefault="00122E45">
      <w:pPr>
        <w:pStyle w:val="ListBullet"/>
        <w:spacing w:after="60"/>
        <w:ind w:left="510"/>
      </w:pPr>
      <w:r>
        <w:t>The comp</w:t>
      </w:r>
      <w:r>
        <w:t>any expanded its capabilities on September 29, 2021, by launching a central lending platform called BANCR to integrate multi-funder digital lending directly into its BANCO transaction banking platform.</w:t>
      </w:r>
    </w:p>
    <w:p w:rsidR="00C508BE" w:rsidRDefault="00122E45">
      <w:pPr>
        <w:keepNext/>
        <w:pBdr>
          <w:bottom w:val="single" w:sz="6" w:space="3" w:color="E2E8F0"/>
        </w:pBdr>
        <w:spacing w:before="120" w:after="120"/>
      </w:pPr>
      <w:r>
        <w:rPr>
          <w:b/>
          <w:caps/>
          <w:color w:val="1A759F"/>
        </w:rPr>
        <w:lastRenderedPageBreak/>
        <w:t>Y — Business Capability</w:t>
      </w:r>
    </w:p>
    <w:p w:rsidR="00C508BE" w:rsidRDefault="00122E45">
      <w:pPr>
        <w:keepNext/>
        <w:pBdr>
          <w:left w:val="single" w:sz="24" w:space="6" w:color="52B69A"/>
        </w:pBdr>
        <w:spacing w:before="120" w:after="60"/>
        <w:ind w:left="170"/>
      </w:pPr>
      <w:r>
        <w:rPr>
          <w:b/>
          <w:color w:val="0F172A"/>
          <w:sz w:val="20"/>
        </w:rPr>
        <w:t xml:space="preserve">Named Bank &amp; Corporate </w:t>
      </w:r>
      <w:r>
        <w:rPr>
          <w:b/>
          <w:color w:val="0F172A"/>
          <w:sz w:val="20"/>
        </w:rPr>
        <w:t>Customers — scored 84/100</w:t>
      </w:r>
    </w:p>
    <w:p w:rsidR="00C508BE" w:rsidRDefault="00122E45">
      <w:pPr>
        <w:keepNext/>
        <w:pBdr>
          <w:left w:val="single" w:sz="24" w:space="6" w:color="52B69A"/>
        </w:pBdr>
        <w:ind w:left="170"/>
      </w:pPr>
      <w:r>
        <w:t xml:space="preserve">We verified that the company's verified client and user base includes a major regional collaboration with Bank of China and a corporate partnership with Savills. Based on primary research, the company's a comprehensive portfolio </w:t>
      </w:r>
      <w:r>
        <w:t>of institutional bank clients or large-scale corporate exporters and importers can be estimated as strong, in line with leading vendors, based on its partnerships with Bank of China, Industrial and Commercial Bank of China, Tencent, and SAP.</w:t>
      </w:r>
    </w:p>
    <w:p w:rsidR="00C508BE" w:rsidRDefault="00122E45">
      <w:pPr>
        <w:keepNext/>
        <w:spacing w:after="40"/>
        <w:ind w:left="170"/>
      </w:pPr>
      <w:r>
        <w:rPr>
          <w:b/>
          <w:caps/>
          <w:color w:val="64748B"/>
          <w:sz w:val="15"/>
        </w:rPr>
        <w:t>Supporting poi</w:t>
      </w:r>
      <w:r>
        <w:rPr>
          <w:b/>
          <w:caps/>
          <w:color w:val="64748B"/>
          <w:sz w:val="15"/>
        </w:rPr>
        <w:t>nts</w:t>
      </w:r>
    </w:p>
    <w:p w:rsidR="00C508BE" w:rsidRDefault="00122E45">
      <w:pPr>
        <w:pStyle w:val="ListBullet"/>
        <w:spacing w:after="60"/>
        <w:ind w:left="510"/>
      </w:pPr>
      <w:r>
        <w:t>RootAnt signed an agreement in 2021 with Bank of China to deploy a digital trade financing platform enabling branches in Singapore and Chongqing, alongside traders and logistics companies, to exchange electronic trade documents.</w:t>
      </w:r>
    </w:p>
    <w:p w:rsidR="00C508BE" w:rsidRDefault="00122E45">
      <w:pPr>
        <w:pStyle w:val="ListBullet"/>
        <w:spacing w:after="60"/>
        <w:ind w:left="510"/>
      </w:pPr>
      <w:r>
        <w:t>RootAnt (rebranded as b</w:t>
      </w:r>
      <w:r>
        <w:t>anco) established a strategic corporate partnership with real estate services firm Savills to deploy its finance platform.</w:t>
      </w:r>
    </w:p>
    <w:p w:rsidR="00C508BE" w:rsidRDefault="00122E45">
      <w:pPr>
        <w:keepNext/>
        <w:pBdr>
          <w:left w:val="single" w:sz="24" w:space="6" w:color="52B69A"/>
        </w:pBdr>
        <w:spacing w:before="120" w:after="60"/>
        <w:ind w:left="170"/>
      </w:pPr>
      <w:r>
        <w:rPr>
          <w:b/>
          <w:color w:val="0F172A"/>
          <w:sz w:val="20"/>
        </w:rPr>
        <w:t>Revenue &amp; Growth — scored 72/100</w:t>
      </w:r>
    </w:p>
    <w:p w:rsidR="00C508BE" w:rsidRDefault="00122E45">
      <w:pPr>
        <w:keepNext/>
        <w:pBdr>
          <w:left w:val="single" w:sz="24" w:space="6" w:color="52B69A"/>
        </w:pBdr>
        <w:ind w:left="170"/>
      </w:pPr>
      <w:r>
        <w:t>Based on primary research, the company's revenue scale can be estimated as nascent but expanding, ba</w:t>
      </w:r>
      <w:r>
        <w:t>sed on its initial seed capital funding alongside strategic backing from regional entities like SBI Holdings.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Support — scored 90/100</w:t>
      </w:r>
    </w:p>
    <w:p w:rsidR="00C508BE" w:rsidRDefault="00122E45">
      <w:pPr>
        <w:keepNext/>
        <w:pBdr>
          <w:left w:val="single" w:sz="24" w:space="6" w:color="52B69A"/>
        </w:pBdr>
        <w:ind w:left="170"/>
      </w:pPr>
      <w:r>
        <w:t>We verified that the company has established a regional footprint</w:t>
      </w:r>
      <w:r>
        <w:t xml:space="preserve"> spanning Singapore, China, and Japan, backed by localized implementations such as its trade finance platform deployment for the Bank of China in Singapore. Based on primary research, the company's global presence can be estimated as concentrated exclusive</w:t>
      </w:r>
      <w:r>
        <w:t>ly in Asian markets, based on its operating locations and joint ventures specifically targeting mainland China, Japan, Indonesia, Vietnam, and Singapore.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maintaining office locations and operational presence in Singapo</w:t>
      </w:r>
      <w:r>
        <w:t>re, China, and Japan.</w:t>
      </w:r>
    </w:p>
    <w:p w:rsidR="00C508BE" w:rsidRDefault="00122E45">
      <w:pPr>
        <w:pStyle w:val="ListBullet"/>
        <w:spacing w:after="60"/>
        <w:ind w:left="510"/>
      </w:pPr>
      <w:r>
        <w:t>The company signed an agreement with the Bank of China to serve as a trade financing platform on the Singapore side under the CCI-ILSTC framework, verified by the Monetary Authority of Singapore.</w:t>
      </w:r>
    </w:p>
    <w:p w:rsidR="00C508BE" w:rsidRDefault="00122E45">
      <w:pPr>
        <w:keepNext/>
        <w:pBdr>
          <w:left w:val="single" w:sz="24" w:space="6" w:color="52B69A"/>
        </w:pBdr>
        <w:spacing w:before="120" w:after="60"/>
        <w:ind w:left="170"/>
      </w:pPr>
      <w:r>
        <w:rPr>
          <w:b/>
          <w:color w:val="0F172A"/>
          <w:sz w:val="20"/>
        </w:rPr>
        <w:t>Funding &amp; Ownership — scored 85/100</w:t>
      </w:r>
    </w:p>
    <w:p w:rsidR="00C508BE" w:rsidRDefault="00122E45">
      <w:pPr>
        <w:keepNext/>
        <w:pBdr>
          <w:left w:val="single" w:sz="24" w:space="6" w:color="52B69A"/>
        </w:pBdr>
        <w:ind w:left="170"/>
      </w:pPr>
      <w:r>
        <w:t>Th</w:t>
      </w:r>
      <w:r>
        <w:t>e assessment rests on verified seed round disclosures and the company's self-reported institutional backing from established financial groups. Based on primary research, the company's financing valuation can be estimated as emerging and venture-backed, bas</w:t>
      </w:r>
      <w:r>
        <w:t>ed on its multi-round capital injections raised from prominent regional institutional investors such as Linear Capital and SBI Group.</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Business Times verified that the company secured nearly US$1.5 million in a seed funding round in Oc</w:t>
      </w:r>
      <w:r>
        <w:t>tober 2020, led by Linear Capital alongside co-investor KZM &amp; Company Group.</w:t>
      </w:r>
    </w:p>
    <w:p w:rsidR="00C508BE" w:rsidRDefault="00122E45">
      <w:pPr>
        <w:pStyle w:val="ListBullet"/>
        <w:spacing w:after="60"/>
        <w:ind w:left="510"/>
      </w:pPr>
      <w:r>
        <w:t>The company reports through its RABC Group Platform that its institutional backing includes Series A lead investment from SBI Holdings.</w:t>
      </w:r>
    </w:p>
    <w:p w:rsidR="00C508BE" w:rsidRDefault="00122E45">
      <w:pPr>
        <w:keepNext/>
        <w:pBdr>
          <w:left w:val="single" w:sz="24" w:space="6" w:color="52B69A"/>
        </w:pBdr>
        <w:spacing w:before="120" w:after="60"/>
        <w:ind w:left="170"/>
      </w:pPr>
      <w:r>
        <w:rPr>
          <w:b/>
          <w:color w:val="0F172A"/>
          <w:sz w:val="20"/>
        </w:rPr>
        <w:t>Market Share &amp; Installed Base — scored 65/1</w:t>
      </w:r>
      <w:r>
        <w:rPr>
          <w:b/>
          <w:color w:val="0F172A"/>
          <w:sz w:val="20"/>
        </w:rPr>
        <w:t>00</w:t>
      </w:r>
    </w:p>
    <w:p w:rsidR="00C508BE" w:rsidRDefault="00122E45">
      <w:pPr>
        <w:keepNext/>
        <w:pBdr>
          <w:left w:val="single" w:sz="24" w:space="6" w:color="52B69A"/>
        </w:pBdr>
        <w:ind w:left="170"/>
      </w:pPr>
      <w:r>
        <w:t xml:space="preserve">We verified that RootAnt Global has formed strategic platform deployment partnerships with regional financial groups like SBI Group and infrastructure providers like Marketnode. Based on primary research, the company's platform volume can be estimated </w:t>
      </w:r>
      <w:r>
        <w:t>as growing steadily across niche regional supply chains, based on its deep-tier deployment within specialized cross-border ecosystems and awards from the Monetary Authority of Singapore. Facebook ·Fintech Singapore +1</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In March 2021, SBI G</w:t>
      </w:r>
      <w:r>
        <w:t>roup's local subsidiary BYFIN partnered with RootAnt Global to launch the blockchain-oriented "SBI-BANCO" Deep-Tier Supply Chain Finance Platform in the APAC region.</w:t>
      </w:r>
    </w:p>
    <w:p w:rsidR="00C508BE" w:rsidRDefault="00122E45">
      <w:pPr>
        <w:pStyle w:val="ListBullet"/>
        <w:spacing w:after="60"/>
        <w:ind w:left="510"/>
      </w:pPr>
      <w:r>
        <w:t>Marketnode partnered with RootAnt Global and SETL to focus on fixed income and multi-asset</w:t>
      </w:r>
      <w:r>
        <w:t xml:space="preserve"> end-to-end digital infrastructure development.</w:t>
      </w:r>
    </w:p>
    <w:p w:rsidR="00C508BE" w:rsidRDefault="00122E45">
      <w:pPr>
        <w:pStyle w:val="Heading2"/>
        <w:pageBreakBefore/>
        <w:shd w:val="clear" w:color="auto" w:fill="002857"/>
        <w:spacing w:after="0"/>
      </w:pPr>
      <w:bookmarkStart w:id="24" w:name="_Toc242420554"/>
      <w:r>
        <w:lastRenderedPageBreak/>
        <w:t>Bay Smart Capital Ventures (Singapore) Pte. Ltd.</w:t>
      </w:r>
      <w:bookmarkEnd w:id="24"/>
    </w:p>
    <w:p w:rsidR="00C508BE" w:rsidRDefault="00122E45">
      <w:pPr>
        <w:shd w:val="clear" w:color="auto" w:fill="002857"/>
        <w:spacing w:after="200"/>
      </w:pPr>
      <w:r>
        <w:rPr>
          <w:color w:val="CBD5E1"/>
          <w:sz w:val="18"/>
        </w:rPr>
        <w:t xml:space="preserve">CapBay Singapore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76</w:t>
      </w:r>
      <w:r>
        <w:rPr>
          <w:color w:val="CBD5E1"/>
          <w:sz w:val="18"/>
        </w:rPr>
        <w:t xml:space="preserve">     Overall </w:t>
      </w:r>
      <w:r>
        <w:rPr>
          <w:b/>
          <w:color w:val="FFFFFF"/>
          <w:sz w:val="20"/>
        </w:rPr>
        <w:t>77</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88/100</w:t>
      </w:r>
    </w:p>
    <w:p w:rsidR="00C508BE" w:rsidRDefault="00122E45">
      <w:pPr>
        <w:keepNext/>
        <w:pBdr>
          <w:left w:val="single" w:sz="24" w:space="6" w:color="52B69A"/>
        </w:pBdr>
        <w:ind w:left="170"/>
      </w:pPr>
      <w:r>
        <w:t xml:space="preserve">The evaluation </w:t>
      </w:r>
      <w:r>
        <w:t xml:space="preserve">rests on the company's verified product range, which covers localized supply-chain finance and working capital structures rather than traditional trade finance instruments like letters of credit or bank guarantees. Based on primary research, the company's </w:t>
      </w:r>
      <w:r>
        <w:t>native system support for documentary letters of credit, standby letters of credit, documentary collections, can be estimated as limited to a few markets, based on its focus on digital supply chain finance and invoice factoring solutions.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operating under the brand CapBay, reports offering digital supply chain finance instruments including purchase order financing, invoice factoring, inventory financing, working capital financing, and SME loans.</w:t>
      </w:r>
    </w:p>
    <w:p w:rsidR="00C508BE" w:rsidRDefault="00122E45">
      <w:pPr>
        <w:pStyle w:val="ListBullet"/>
        <w:spacing w:after="60"/>
        <w:ind w:left="510"/>
      </w:pPr>
      <w:r>
        <w:t>In July 2025, CapBay signed a st</w:t>
      </w:r>
      <w:r>
        <w:t>rategic alliance with Olea Global Pte. Ltd. to expand into international cross-border trade financing for exporters.</w:t>
      </w:r>
    </w:p>
    <w:p w:rsidR="00C508BE" w:rsidRDefault="00122E45">
      <w:pPr>
        <w:keepNext/>
        <w:pBdr>
          <w:left w:val="single" w:sz="24" w:space="6" w:color="52B69A"/>
        </w:pBdr>
        <w:spacing w:before="120" w:after="60"/>
        <w:ind w:left="170"/>
      </w:pPr>
      <w:r>
        <w:rPr>
          <w:b/>
          <w:color w:val="0F172A"/>
          <w:sz w:val="20"/>
        </w:rPr>
        <w:t>Document Checking &amp; Compliance Automation — scored 68/100</w:t>
      </w:r>
    </w:p>
    <w:p w:rsidR="00C508BE" w:rsidRDefault="00122E45">
      <w:pPr>
        <w:keepNext/>
        <w:pBdr>
          <w:left w:val="single" w:sz="24" w:space="6" w:color="52B69A"/>
        </w:pBdr>
        <w:ind w:left="170"/>
      </w:pPr>
      <w:r>
        <w:t>Based on primary research, the company's document checking automation and complia</w:t>
      </w:r>
      <w:r>
        <w:t>nce integration can be estimated as advanced, aligned with fintech standards, based on its paperless transaction integration, electronic biometric legal signing, and advanced data analytics platforms.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Digital Trade Network &amp;</w:t>
      </w:r>
      <w:r>
        <w:rPr>
          <w:b/>
          <w:color w:val="0F172A"/>
          <w:sz w:val="20"/>
        </w:rPr>
        <w:t xml:space="preserve"> Interoperability — scored 65/100</w:t>
      </w:r>
    </w:p>
    <w:p w:rsidR="00C508BE" w:rsidRDefault="00122E45">
      <w:pPr>
        <w:keepNext/>
        <w:pBdr>
          <w:left w:val="single" w:sz="24" w:space="6" w:color="52B69A"/>
        </w:pBdr>
        <w:ind w:left="170"/>
      </w:pPr>
      <w:r>
        <w:t>Based on primary research, the company's digital trade network integrations or interoperability partnerships can be estimated as broad across the major ERP platforms, based on its direct enterprise resource planning integr</w:t>
      </w:r>
      <w:r>
        <w:t>ations and cross border alliance with global trade financing networks.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Platform Architecture &amp; Scalability — scored 76/100</w:t>
      </w:r>
    </w:p>
    <w:p w:rsidR="00C508BE" w:rsidRDefault="00122E45">
      <w:pPr>
        <w:keepNext/>
        <w:pBdr>
          <w:left w:val="single" w:sz="24" w:space="6" w:color="52B69A"/>
        </w:pBdr>
        <w:ind w:left="170"/>
      </w:pPr>
      <w:r>
        <w:t xml:space="preserve">The rating rests on the company's confirmed deployment of a digital infrastructure that allows </w:t>
      </w:r>
      <w:r>
        <w:t xml:space="preserve">two-way bank connectivity and electronic transaction tracking. Based on primary research, the company's details regarding its cloud-native design, microservices usage, API availability, uptime metrics, or can be estimated as scalable and enterprise grade, </w:t>
      </w:r>
      <w:r>
        <w:t>based on its digital platform infrastructure handling billions of ringgit over tens of thousands of transactions.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a technical infrastructure that electronically connects its platform to banks, establishing a two-way sy</w:t>
      </w:r>
      <w:r>
        <w:t>stem to track transaction flows.</w:t>
      </w:r>
    </w:p>
    <w:p w:rsidR="00C508BE" w:rsidRDefault="00122E45">
      <w:pPr>
        <w:keepNext/>
        <w:pBdr>
          <w:left w:val="single" w:sz="24" w:space="6" w:color="52B69A"/>
        </w:pBdr>
        <w:spacing w:before="120" w:after="60"/>
        <w:ind w:left="170"/>
      </w:pPr>
      <w:r>
        <w:rPr>
          <w:b/>
          <w:color w:val="0F172A"/>
          <w:sz w:val="20"/>
        </w:rPr>
        <w:t>Innovation &amp; Roadmap — scored 91/100</w:t>
      </w:r>
    </w:p>
    <w:p w:rsidR="00C508BE" w:rsidRDefault="00122E45">
      <w:pPr>
        <w:keepNext/>
        <w:pBdr>
          <w:left w:val="single" w:sz="24" w:space="6" w:color="52B69A"/>
        </w:pBdr>
        <w:ind w:left="170"/>
      </w:pPr>
      <w:r>
        <w:t>The assessment rests on the company's verified utilization of artificial intelligence for document processing and risk evaluation alongside its recent product launch with CGC Digital. Ba</w:t>
      </w:r>
      <w:r>
        <w:t>sed on primary research, the company's future product feature roadmap, emerging technology investment figures, or technology patents can be estimated as growing steadily, based on its capital allocations from institutional investors to build digital e invo</w:t>
      </w:r>
      <w:r>
        <w:t>icing infrastructure and automated procurement solutions.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utilizes artificial intelligence in its proprietary credit-decisioning model to reduce evaluation times and enable rapid capital allocation for micro, small, and medium</w:t>
      </w:r>
      <w:r>
        <w:t>-sized enterprises.</w:t>
      </w:r>
    </w:p>
    <w:p w:rsidR="00C508BE" w:rsidRDefault="00122E45">
      <w:pPr>
        <w:pStyle w:val="ListBullet"/>
        <w:spacing w:after="60"/>
        <w:ind w:left="510"/>
      </w:pPr>
      <w:r>
        <w:t>In April 2026, the company's Malaysian operations, Bay Smart Capital Ventures Sdn. Bhd., partnered with CGC Digital to launch a digital guarantee scheme that provides dual-facility Islamic and conventional financing to support underserv</w:t>
      </w:r>
      <w:r>
        <w:t>ed firms.</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77/100</w:t>
      </w:r>
    </w:p>
    <w:p w:rsidR="00C508BE" w:rsidRDefault="00122E45">
      <w:pPr>
        <w:keepNext/>
        <w:pBdr>
          <w:left w:val="single" w:sz="24" w:space="6" w:color="52B69A"/>
        </w:pBdr>
        <w:ind w:left="170"/>
      </w:pPr>
      <w:r>
        <w:t>The evaluation is based on verified strategic partnerships and operational relationships with regional institutional entities such as CGC Digital and AmBank's MTrustee Berha</w:t>
      </w:r>
      <w:r>
        <w:t xml:space="preserve">d within the Malaysian market. Based on primary research, the company's global corporate clients outside localized network can be estimated as limited but expanding </w:t>
      </w:r>
      <w:r>
        <w:lastRenderedPageBreak/>
        <w:t>via cross-border alliances, based on its strategic alliance with Singapore-based Olea Globa</w:t>
      </w:r>
      <w:r>
        <w:t>l to finance Malaysian exporters.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In April 2026, the company's Malaysian operations, under the parent brand CapBay, launched a strategic digital guarantee scheme in partnership with CGC Digital to offer dual-facility Islamic and conventio</w:t>
      </w:r>
      <w:r>
        <w:t>nal financing to micro, small, and medium-sized enterprises.</w:t>
      </w:r>
    </w:p>
    <w:p w:rsidR="00C508BE" w:rsidRDefault="00122E45">
      <w:pPr>
        <w:pStyle w:val="ListBullet"/>
        <w:spacing w:after="60"/>
        <w:ind w:left="510"/>
      </w:pPr>
      <w:r>
        <w:t>The company maintains transactional trust accounts with MTrustee Berhad (AmBank) to administer and safeguard investor funds for its peer-to-peer financing platform.</w:t>
      </w:r>
    </w:p>
    <w:p w:rsidR="00C508BE" w:rsidRDefault="00122E45">
      <w:pPr>
        <w:keepNext/>
        <w:pBdr>
          <w:left w:val="single" w:sz="24" w:space="6" w:color="52B69A"/>
        </w:pBdr>
        <w:spacing w:before="120" w:after="60"/>
        <w:ind w:left="170"/>
      </w:pPr>
      <w:r>
        <w:rPr>
          <w:b/>
          <w:color w:val="0F172A"/>
          <w:sz w:val="20"/>
        </w:rPr>
        <w:t>Revenue &amp; Growth — scored 65/1</w:t>
      </w:r>
      <w:r>
        <w:rPr>
          <w:b/>
          <w:color w:val="0F172A"/>
          <w:sz w:val="20"/>
        </w:rPr>
        <w:t>00</w:t>
      </w:r>
    </w:p>
    <w:p w:rsidR="00C508BE" w:rsidRDefault="00122E45">
      <w:pPr>
        <w:keepNext/>
        <w:pBdr>
          <w:left w:val="single" w:sz="24" w:space="6" w:color="52B69A"/>
        </w:pBdr>
        <w:ind w:left="170"/>
      </w:pPr>
      <w:r>
        <w:t>Ltd. Based on primary research, the company's annual recurring revenue and growth rate can be estimated as growing steadily through regional scaling, based on its facilitation of billions of ringgit over tens of thousands of transactions for thousands o</w:t>
      </w:r>
      <w:r>
        <w:t>f SMEs.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Global Footprint &amp; Local Support — scored 65/100</w:t>
      </w:r>
    </w:p>
    <w:p w:rsidR="00C508BE" w:rsidRDefault="00122E45">
      <w:pPr>
        <w:keepNext/>
        <w:pBdr>
          <w:left w:val="single" w:sz="24" w:space="6" w:color="52B69A"/>
        </w:pBdr>
        <w:ind w:left="170"/>
      </w:pPr>
      <w:r>
        <w:t xml:space="preserve">Based on primary research, the company's office locations and regional resources can be estimated as concentrated in Southeast Asian hubs, based on its established </w:t>
      </w:r>
      <w:r>
        <w:t>headquarters in Petaling Jaya, Malaysia, and its newer private limited setup in Singapore.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Funding &amp; Ownership — scored 85/100</w:t>
      </w:r>
    </w:p>
    <w:p w:rsidR="00C508BE" w:rsidRDefault="00122E45">
      <w:pPr>
        <w:keepNext/>
        <w:pBdr>
          <w:left w:val="single" w:sz="24" w:space="6" w:color="52B69A"/>
        </w:pBdr>
        <w:ind w:left="170"/>
      </w:pPr>
      <w:r>
        <w:t>The rating rests on the confirmed venture capital backing of the parent entity, CapBay, including</w:t>
      </w:r>
      <w:r>
        <w:t xml:space="preserve"> its Series A funding from institutional investors. Based on primary research, the company's standalone subsidiary capital allocation can be estimated as backed entirely by parent and strategic fintech partnerships, based on its status as a subsidiary unde</w:t>
      </w:r>
      <w:r>
        <w:t>r Bay Group Holdings and its direct technology collaboration with regional platforms. Ltd.</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parent group of Bay Smart Capital Ventures (Singapore) Pte. Ltd., CapBay (Bay Group Holdings Sdn Bhd), announced that it raised US$20 million i</w:t>
      </w:r>
      <w:r>
        <w:t>n its Series A funding round in January 2021, led by Singapore-based venture capital firm KK Fund.</w:t>
      </w:r>
    </w:p>
    <w:p w:rsidR="00C508BE" w:rsidRDefault="00122E45">
      <w:pPr>
        <w:pStyle w:val="ListBullet"/>
        <w:spacing w:after="60"/>
        <w:ind w:left="510"/>
      </w:pPr>
      <w:r>
        <w:t>CapBay previously secured approximately US$500,000 during its seed funding round led by KK Fund in 2017.</w:t>
      </w:r>
    </w:p>
    <w:p w:rsidR="00C508BE" w:rsidRDefault="00122E45">
      <w:pPr>
        <w:keepNext/>
        <w:pBdr>
          <w:left w:val="single" w:sz="24" w:space="6" w:color="52B69A"/>
        </w:pBdr>
        <w:spacing w:before="120" w:after="60"/>
        <w:ind w:left="170"/>
      </w:pPr>
      <w:r>
        <w:rPr>
          <w:b/>
          <w:color w:val="0F172A"/>
          <w:sz w:val="20"/>
        </w:rPr>
        <w:t>Market Share &amp; Installed Base — scored 86/100</w:t>
      </w:r>
    </w:p>
    <w:p w:rsidR="00C508BE" w:rsidRDefault="00122E45">
      <w:pPr>
        <w:keepNext/>
        <w:pBdr>
          <w:left w:val="single" w:sz="24" w:space="6" w:color="52B69A"/>
        </w:pBdr>
        <w:ind w:left="170"/>
      </w:pPr>
      <w:r>
        <w:t xml:space="preserve">We </w:t>
      </w:r>
      <w:r>
        <w:t>verified that the company's regional footprint rests on its reported transaction metrics and localized operational rollout within Southeast Asia. Based on primary research, the company's technology landscape percentage market share can be estimated as nich</w:t>
      </w:r>
      <w:r>
        <w:t>e but regionally dominant among Southeast Asian fintechs, based on its recognition as a Fortune Fintech Innovator and its multi-bank supply chain finance platform deployments.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facilitating over USD $650 million across </w:t>
      </w:r>
      <w:r>
        <w:t>over 26,000 transactions to finance thousands of SMEs through its Singapore platform.</w:t>
      </w:r>
    </w:p>
    <w:p w:rsidR="00C508BE" w:rsidRDefault="00122E45">
      <w:pPr>
        <w:pStyle w:val="ListBullet"/>
        <w:spacing w:after="60"/>
        <w:ind w:left="510"/>
      </w:pPr>
      <w:r>
        <w:t>Across the broader CapBay Group, the company reports a cumulative disbursement of over RM 5.6 billion (approximately USD 1.36 billion) to more than 2,600 small and medium</w:t>
      </w:r>
      <w:r>
        <w:t>-sized enterprise clients since its founding.</w:t>
      </w:r>
    </w:p>
    <w:p w:rsidR="00C508BE" w:rsidRDefault="00122E45">
      <w:pPr>
        <w:pStyle w:val="Heading2"/>
        <w:pageBreakBefore/>
        <w:shd w:val="clear" w:color="auto" w:fill="002857"/>
        <w:spacing w:after="0"/>
      </w:pPr>
      <w:bookmarkStart w:id="25" w:name="_Toc242420555"/>
      <w:r>
        <w:lastRenderedPageBreak/>
        <w:t>Fiducia Data Services Limited</w:t>
      </w:r>
      <w:bookmarkEnd w:id="25"/>
    </w:p>
    <w:p w:rsidR="00C508BE" w:rsidRDefault="00122E45">
      <w:pPr>
        <w:shd w:val="clear" w:color="auto" w:fill="002857"/>
        <w:spacing w:after="200"/>
      </w:pPr>
      <w:r>
        <w:rPr>
          <w:color w:val="CBD5E1"/>
          <w:sz w:val="18"/>
        </w:rPr>
        <w:t xml:space="preserve">Fiducia   </w:t>
      </w: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83</w:t>
      </w:r>
      <w:r>
        <w:rPr>
          <w:color w:val="CBD5E1"/>
          <w:sz w:val="18"/>
        </w:rPr>
        <w:t xml:space="preserve">     Overall </w:t>
      </w:r>
      <w:r>
        <w:rPr>
          <w:b/>
          <w:color w:val="FFFFFF"/>
          <w:sz w:val="20"/>
        </w:rPr>
        <w:t>77</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Trade Finance Product Breadth — scored 83/100</w:t>
      </w:r>
    </w:p>
    <w:p w:rsidR="00C508BE" w:rsidRDefault="00122E45">
      <w:pPr>
        <w:keepNext/>
        <w:pBdr>
          <w:left w:val="single" w:sz="24" w:space="6" w:color="52B69A"/>
        </w:pBdr>
        <w:ind w:left="170"/>
      </w:pPr>
      <w:r>
        <w:t xml:space="preserve">We verified that the company's capabilities </w:t>
      </w:r>
      <w:r>
        <w:t>are focused entirely on supply chain finance and digital receivables marketplace solutions, with zero confirmed capability in documentary trade instruments. Based on primary research, the company's supporting traditional trade finance instruments can be es</w:t>
      </w:r>
      <w:r>
        <w:t>timated as limited to non-traditional receivables and factoring, based on its focus on digital supply chain financing, invoice discounting, and reverse factoring.</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operates a digital supply chain financing marketplace specifica</w:t>
      </w:r>
      <w:r>
        <w:t>lly engineered to facilitate invoice financing, factoring, and receivables discounting.</w:t>
      </w:r>
    </w:p>
    <w:p w:rsidR="00C508BE" w:rsidRDefault="00122E45">
      <w:pPr>
        <w:pStyle w:val="ListBullet"/>
        <w:spacing w:after="60"/>
        <w:ind w:left="510"/>
      </w:pPr>
      <w:r>
        <w:t>The company reports its platform enables corporate buyers, suppliers, and financiers to connect in an open bid process to trade eligible receivables and unlock short-te</w:t>
      </w:r>
      <w:r>
        <w:t>rm working capital.</w:t>
      </w:r>
    </w:p>
    <w:p w:rsidR="00C508BE" w:rsidRDefault="00122E45">
      <w:pPr>
        <w:keepNext/>
        <w:pBdr>
          <w:left w:val="single" w:sz="24" w:space="6" w:color="52B69A"/>
        </w:pBdr>
        <w:spacing w:before="120" w:after="60"/>
        <w:ind w:left="170"/>
      </w:pPr>
      <w:r>
        <w:rPr>
          <w:b/>
          <w:color w:val="0F172A"/>
          <w:sz w:val="20"/>
        </w:rPr>
        <w:t>Document Checking &amp; Compliance Automation — scored 66/100</w:t>
      </w:r>
    </w:p>
    <w:p w:rsidR="00C508BE" w:rsidRDefault="00122E45">
      <w:pPr>
        <w:keepNext/>
        <w:pBdr>
          <w:left w:val="single" w:sz="24" w:space="6" w:color="52B69A"/>
        </w:pBdr>
        <w:ind w:left="170"/>
      </w:pPr>
      <w:r>
        <w:t xml:space="preserve">We verified that the company operates as a digital supply chain financing platform focused primarily on invoice factoring and receivables discounting. Based on primary research, </w:t>
      </w:r>
      <w:r>
        <w:t>the company's automated compliance screening or traditional trade document checking can be estimated as basic and focused on electronic validation of invoices, based on its automated platform for invoice discounting, buyer validation of invoices, and digit</w:t>
      </w:r>
      <w:r>
        <w:t>al marketplace onboarding.</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Digital Trade Network &amp; Interoperability — scored 65/100</w:t>
      </w:r>
    </w:p>
    <w:p w:rsidR="00C508BE" w:rsidRDefault="00122E45">
      <w:pPr>
        <w:keepNext/>
        <w:pBdr>
          <w:left w:val="single" w:sz="24" w:space="6" w:color="52B69A"/>
        </w:pBdr>
        <w:ind w:left="170"/>
      </w:pPr>
      <w:r>
        <w:t>Based on primary research, the company's digital trade document network connectivity can be estimated as restricted to local digital marketp</w:t>
      </w:r>
      <w:r>
        <w:t>lace ecosystem and international factoring standards, based on its corporate membership in Factors Chain International and strategic partnerships with Afreximbank and NEXIM. We verified its operations focus primarily on a regional digital supply chain fina</w:t>
      </w:r>
      <w:r>
        <w:t>nce marketplace for invoice and receivables trading in Nigeria and emerging markets.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Platform Architecture &amp; Scalability — scored 65/100</w:t>
      </w:r>
    </w:p>
    <w:p w:rsidR="00C508BE" w:rsidRDefault="00122E45">
      <w:pPr>
        <w:keepNext/>
        <w:pBdr>
          <w:left w:val="single" w:sz="24" w:space="6" w:color="52B69A"/>
        </w:pBdr>
        <w:ind w:left="170"/>
      </w:pPr>
      <w:r>
        <w:t>The assessment rests on the company's high-level transaction metrics and a disclosed op</w:t>
      </w:r>
      <w:r>
        <w:t>erational recovery timeline, alongside its platform launch leveraging M1xchange's technology expertise. Based on primary research, the company's technical design and throughput capacities can be estimated as robust for automated transactional operations, b</w:t>
      </w:r>
      <w:r>
        <w:t>ased on its electronic platform facilitating open competitive bidding, a self-onboarding portal, and a 5 hour business resumption recovery target.</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platform has facilitated more than ₦1 trillion in discounted i</w:t>
      </w:r>
      <w:r>
        <w:t>nvoices, which includes ₦25 billion in transactions processed with microfinance banks and finance houses during the first half of 2026.</w:t>
      </w:r>
    </w:p>
    <w:p w:rsidR="00C508BE" w:rsidRDefault="00122E45">
      <w:pPr>
        <w:pStyle w:val="ListBullet"/>
        <w:spacing w:after="60"/>
        <w:ind w:left="510"/>
      </w:pPr>
      <w:r>
        <w:t>The company reports that its platform operations recovery strategy targets a 5-hour business resumption window following</w:t>
      </w:r>
      <w:r>
        <w:t xml:space="preserve"> a disruption. Instagram ·myfiduciahq +2</w:t>
      </w:r>
    </w:p>
    <w:p w:rsidR="00C508BE" w:rsidRDefault="00122E45">
      <w:pPr>
        <w:keepNext/>
        <w:pBdr>
          <w:left w:val="single" w:sz="24" w:space="6" w:color="52B69A"/>
        </w:pBdr>
        <w:spacing w:before="120" w:after="60"/>
        <w:ind w:left="170"/>
      </w:pPr>
      <w:r>
        <w:rPr>
          <w:b/>
          <w:color w:val="0F172A"/>
          <w:sz w:val="20"/>
        </w:rPr>
        <w:t>Innovation &amp; Roadmap — scored 74/100</w:t>
      </w:r>
    </w:p>
    <w:p w:rsidR="00C508BE" w:rsidRDefault="00122E45">
      <w:pPr>
        <w:keepNext/>
        <w:pBdr>
          <w:left w:val="single" w:sz="24" w:space="6" w:color="52B69A"/>
        </w:pBdr>
        <w:ind w:left="170"/>
      </w:pPr>
      <w:r>
        <w:t xml:space="preserve">The assessment rests on the company's regional platform expansion timeline and demonstrations of its automated marketplace protocols. Based on primary research, the company's </w:t>
      </w:r>
      <w:r>
        <w:t>investments in emerging technologies can be estimated as growing through platform automation and value chain partnerships, based on its acting chief executive officer participating in events focused on artificial intelligence, big data analytics, and autom</w:t>
      </w:r>
      <w:r>
        <w:t>ation in the supply chain.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Fiducia Data Services Limited expanded its strategic partnership with Mynd Fintech in December 2024 to extend its digital supply chain financing platform into new markets across Africa and the Caribbean by 2025.</w:t>
      </w:r>
    </w:p>
    <w:p w:rsidR="00C508BE" w:rsidRDefault="00122E45">
      <w:pPr>
        <w:pStyle w:val="ListBullet"/>
        <w:spacing w:after="60"/>
        <w:ind w:left="510"/>
      </w:pPr>
      <w:r>
        <w:t>The company demonstrated its core digital marketplace backend infrastructure in June 2026, highlighting platform-generated legal assignment frameworks and automated risk mitigation protocols.</w:t>
      </w:r>
    </w:p>
    <w:p w:rsidR="00C508BE" w:rsidRDefault="00122E45">
      <w:pPr>
        <w:keepNext/>
        <w:pBdr>
          <w:bottom w:val="single" w:sz="6" w:space="3" w:color="E2E8F0"/>
        </w:pBdr>
        <w:spacing w:before="120" w:after="120"/>
      </w:pPr>
      <w:r>
        <w:rPr>
          <w:b/>
          <w:caps/>
          <w:color w:val="1A759F"/>
        </w:rPr>
        <w:lastRenderedPageBreak/>
        <w:t>Y — Business Capability</w:t>
      </w:r>
    </w:p>
    <w:p w:rsidR="00C508BE" w:rsidRDefault="00122E45">
      <w:pPr>
        <w:keepNext/>
        <w:pBdr>
          <w:left w:val="single" w:sz="24" w:space="6" w:color="52B69A"/>
        </w:pBdr>
        <w:spacing w:before="120" w:after="60"/>
        <w:ind w:left="170"/>
      </w:pPr>
      <w:r>
        <w:rPr>
          <w:b/>
          <w:color w:val="0F172A"/>
          <w:sz w:val="20"/>
        </w:rPr>
        <w:t xml:space="preserve">Named Bank &amp; Corporate Customers — </w:t>
      </w:r>
      <w:r>
        <w:rPr>
          <w:b/>
          <w:color w:val="0F172A"/>
          <w:sz w:val="20"/>
        </w:rPr>
        <w:t>scored 82/100</w:t>
      </w:r>
    </w:p>
    <w:p w:rsidR="00C508BE" w:rsidRDefault="00122E45">
      <w:pPr>
        <w:keepNext/>
        <w:pBdr>
          <w:left w:val="single" w:sz="24" w:space="6" w:color="52B69A"/>
        </w:pBdr>
        <w:ind w:left="170"/>
      </w:pPr>
      <w:r>
        <w:t xml:space="preserve">The rating rests on verified, publicly stated onboarding milestones and corporate participant names across the Nigerian market within the platform's supply chain finance landscape. Based on primary research, the company's transaction volumes </w:t>
      </w:r>
      <w:r>
        <w:t>outside west africa can be estimated as emerging into new geographic territories, based on its expanding strategic partnership with Mynd Fintech to launch supply chain finance solutions across Africa and the Caribbean.</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Fiducia Data Servic</w:t>
      </w:r>
      <w:r>
        <w:t>es Limited has onboarded 110+ large corporates—including prominent entities like Olam, 7UP, ShopRite, and Access Bank—as participants onto its digital supply chain finance marketplace.</w:t>
      </w:r>
    </w:p>
    <w:p w:rsidR="00C508BE" w:rsidRDefault="00122E45">
      <w:pPr>
        <w:pStyle w:val="ListBullet"/>
        <w:spacing w:after="60"/>
        <w:ind w:left="510"/>
      </w:pPr>
      <w:r>
        <w:t>The company reports a strategic vendor and supplier early payment progr</w:t>
      </w:r>
      <w:r>
        <w:t>am partnership with major telecommunications operator MTN Nigeria to strengthen supplier ecosystems and access to finance.</w:t>
      </w:r>
    </w:p>
    <w:p w:rsidR="00C508BE" w:rsidRDefault="00122E45">
      <w:pPr>
        <w:keepNext/>
        <w:pBdr>
          <w:left w:val="single" w:sz="24" w:space="6" w:color="52B69A"/>
        </w:pBdr>
        <w:spacing w:before="120" w:after="60"/>
        <w:ind w:left="170"/>
      </w:pPr>
      <w:r>
        <w:rPr>
          <w:b/>
          <w:color w:val="0F172A"/>
          <w:sz w:val="20"/>
        </w:rPr>
        <w:t>Revenue &amp; Growth — scored 97/100</w:t>
      </w:r>
    </w:p>
    <w:p w:rsidR="00C508BE" w:rsidRDefault="00122E45">
      <w:pPr>
        <w:keepNext/>
        <w:pBdr>
          <w:left w:val="single" w:sz="24" w:space="6" w:color="52B69A"/>
        </w:pBdr>
        <w:ind w:left="170"/>
      </w:pPr>
      <w:r>
        <w:t>The rating rests on the company's disclosed historical cumulative revenue of over ₦3 billion and its</w:t>
      </w:r>
      <w:r>
        <w:t xml:space="preserve"> transactional volume milestones since entering the digital supply chain finance segment. Based on primary research, the company's annual recurring revenue or growth rate can be estimated as increasing rapidly over recent quarters, based on its financing o</w:t>
      </w:r>
      <w:r>
        <w:t>f over 15 billion Naira in invoices during the last quarter of 2,023 alone.</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digital supply chain financing platform has facilitated over ₦1 trillion in total transaction throughput and discounted invoices, gen</w:t>
      </w:r>
      <w:r>
        <w:t>erating more than ₦3 billion in cumulative revenue since its launch.</w:t>
      </w:r>
    </w:p>
    <w:p w:rsidR="00C508BE" w:rsidRDefault="00122E45">
      <w:pPr>
        <w:pStyle w:val="ListBullet"/>
        <w:spacing w:after="60"/>
        <w:ind w:left="510"/>
      </w:pPr>
      <w:r>
        <w:t>The company reports that it processed ₦25 billion in transactions through its network specifically with microfinance banks and finance houses during the first half of 2026.</w:t>
      </w:r>
    </w:p>
    <w:p w:rsidR="00C508BE" w:rsidRDefault="00122E45">
      <w:pPr>
        <w:keepNext/>
        <w:pBdr>
          <w:left w:val="single" w:sz="24" w:space="6" w:color="52B69A"/>
        </w:pBdr>
        <w:spacing w:before="120" w:after="60"/>
        <w:ind w:left="170"/>
      </w:pPr>
      <w:r>
        <w:rPr>
          <w:b/>
          <w:color w:val="0F172A"/>
          <w:sz w:val="20"/>
        </w:rPr>
        <w:t>Global Footpri</w:t>
      </w:r>
      <w:r>
        <w:rPr>
          <w:b/>
          <w:color w:val="0F172A"/>
          <w:sz w:val="20"/>
        </w:rPr>
        <w:t>nt &amp; Local Support — scored 82/100</w:t>
      </w:r>
    </w:p>
    <w:p w:rsidR="00C508BE" w:rsidRDefault="00122E45">
      <w:pPr>
        <w:keepNext/>
        <w:pBdr>
          <w:left w:val="single" w:sz="24" w:space="6" w:color="52B69A"/>
        </w:pBdr>
        <w:ind w:left="170"/>
      </w:pPr>
      <w:r>
        <w:t>The evaluation rests on the company's verified operational office locations situated exclusively within West Africa. Based on primary research, the company's physical infrastructure in global trade hubs can be estimated a</w:t>
      </w:r>
      <w:r>
        <w:t>s absent outside its domestic operational headquarters, based on its single stated corporate office located at Lekki Phase One in Lagos Nigeria.</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Fiducia Data Services Limited maintains its primary corporate headquarters in Lagos, Nigeria,</w:t>
      </w:r>
      <w:r>
        <w:t xml:space="preserve"> and has published a physical office presence in Accra, Ghana.</w:t>
      </w:r>
    </w:p>
    <w:p w:rsidR="00C508BE" w:rsidRDefault="00122E45">
      <w:pPr>
        <w:pStyle w:val="ListBullet"/>
        <w:spacing w:after="60"/>
        <w:ind w:left="510"/>
      </w:pPr>
      <w:r>
        <w:t>The company reports a strategic fintech partnership targeted for regional trade and supply chain financing expansion across Africa and the Caribbean markets.</w:t>
      </w:r>
    </w:p>
    <w:p w:rsidR="00C508BE" w:rsidRDefault="00122E45">
      <w:pPr>
        <w:keepNext/>
        <w:pBdr>
          <w:left w:val="single" w:sz="24" w:space="6" w:color="52B69A"/>
        </w:pBdr>
        <w:spacing w:before="120" w:after="60"/>
        <w:ind w:left="170"/>
      </w:pPr>
      <w:r>
        <w:rPr>
          <w:b/>
          <w:color w:val="0F172A"/>
          <w:sz w:val="20"/>
        </w:rPr>
        <w:t>Funding &amp; Ownership — scored 66/100</w:t>
      </w:r>
    </w:p>
    <w:p w:rsidR="00C508BE" w:rsidRDefault="00122E45">
      <w:pPr>
        <w:keepNext/>
        <w:pBdr>
          <w:left w:val="single" w:sz="24" w:space="6" w:color="52B69A"/>
        </w:pBdr>
        <w:ind w:left="170"/>
      </w:pPr>
      <w:r>
        <w:t>We verified that Fiducia Data Services Limited operates a digital supply chain financing platform, but based on primary research, the company has not disclosed information regarding external venture capital rounds, private equity investments, or strategic</w:t>
      </w:r>
      <w:r>
        <w:t xml:space="preserve"> ownership stakes. Based on primary research, the company's institutional capitalization details can be estimated as heavily backed by prominent African financial sponsors, based on its formal launch under the chairmanship of Coronation X and strategic all</w:t>
      </w:r>
      <w:r>
        <w:t>iances with developmental financial institutions.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Market Share &amp; Installed Base — scored 86/100</w:t>
      </w:r>
    </w:p>
    <w:p w:rsidR="00C508BE" w:rsidRDefault="00122E45">
      <w:pPr>
        <w:keepNext/>
        <w:pBdr>
          <w:left w:val="single" w:sz="24" w:space="6" w:color="52B69A"/>
        </w:pBdr>
        <w:ind w:left="170"/>
      </w:pPr>
      <w:r>
        <w:t xml:space="preserve">We verified that the platform has established active usage metrics across Nigeria with a defined group of onboarded corporates </w:t>
      </w:r>
      <w:r>
        <w:t>and processed quarterly volumes since its launch. Based on primary research, the company's global installations or market share can be estimated as concentrated primarily within its domestic market, based on its successful onboarding of over 110 large corp</w:t>
      </w:r>
      <w:r>
        <w:t>orate clients within its Nigerian ecosystem.</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it has onboarded more than 110 large corporate entities, including Olam, 7UP, ShopRite, and Access Bank, onto its digital marketplace since launching in June 2023.</w:t>
      </w:r>
    </w:p>
    <w:p w:rsidR="00C508BE" w:rsidRDefault="00122E45">
      <w:pPr>
        <w:pStyle w:val="ListBullet"/>
        <w:spacing w:after="60"/>
        <w:ind w:left="510"/>
      </w:pPr>
      <w:r>
        <w:t>The compa</w:t>
      </w:r>
      <w:r>
        <w:t>ny reports that its platform financed over N15 billion in invoices during the fourth quarter of 2023.</w:t>
      </w:r>
    </w:p>
    <w:p w:rsidR="00C508BE" w:rsidRDefault="00122E45">
      <w:pPr>
        <w:pStyle w:val="Heading2"/>
        <w:pageBreakBefore/>
        <w:shd w:val="clear" w:color="auto" w:fill="002857"/>
        <w:spacing w:after="0"/>
      </w:pPr>
      <w:bookmarkStart w:id="26" w:name="_Toc242420556"/>
      <w:r>
        <w:lastRenderedPageBreak/>
        <w:t>Efficient Finance Ltd.</w:t>
      </w:r>
      <w:bookmarkEnd w:id="26"/>
    </w:p>
    <w:p w:rsidR="00C508BE" w:rsidRDefault="00122E45">
      <w:pPr>
        <w:shd w:val="clear" w:color="auto" w:fill="002857"/>
        <w:spacing w:after="200"/>
      </w:pPr>
      <w:r>
        <w:rPr>
          <w:color w:val="CBD5E1"/>
          <w:sz w:val="18"/>
        </w:rPr>
        <w:t xml:space="preserve">Efficient Finance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74</w:t>
      </w:r>
      <w:r>
        <w:rPr>
          <w:color w:val="CBD5E1"/>
          <w:sz w:val="18"/>
        </w:rPr>
        <w:t xml:space="preserve">     Overall </w:t>
      </w:r>
      <w:r>
        <w:rPr>
          <w:b/>
          <w:color w:val="FFFFFF"/>
          <w:sz w:val="20"/>
        </w:rPr>
        <w:t>74</w:t>
      </w:r>
    </w:p>
    <w:p w:rsidR="00C508BE" w:rsidRDefault="00122E45">
      <w:pPr>
        <w:keepNext/>
        <w:pBdr>
          <w:bottom w:val="single" w:sz="6" w:space="3" w:color="E2E8F0"/>
        </w:pBdr>
        <w:spacing w:before="120" w:after="120"/>
      </w:pPr>
      <w:r>
        <w:rPr>
          <w:b/>
          <w:caps/>
          <w:color w:val="1A759F"/>
        </w:rPr>
        <w:t>X — Technology Capability</w:t>
      </w:r>
    </w:p>
    <w:p w:rsidR="00C508BE" w:rsidRDefault="00122E45">
      <w:pPr>
        <w:keepNext/>
        <w:pBdr>
          <w:left w:val="single" w:sz="24" w:space="6" w:color="52B69A"/>
        </w:pBdr>
        <w:spacing w:before="120" w:after="60"/>
        <w:ind w:left="170"/>
      </w:pPr>
      <w:r>
        <w:rPr>
          <w:b/>
          <w:color w:val="0F172A"/>
          <w:sz w:val="20"/>
        </w:rPr>
        <w:t xml:space="preserve">Trade Finance Product Breadth — </w:t>
      </w:r>
      <w:r>
        <w:rPr>
          <w:b/>
          <w:color w:val="0F172A"/>
          <w:sz w:val="20"/>
        </w:rPr>
        <w:t>scored 65/100</w:t>
      </w:r>
    </w:p>
    <w:p w:rsidR="00C508BE" w:rsidRDefault="00122E45">
      <w:pPr>
        <w:keepNext/>
        <w:pBdr>
          <w:left w:val="single" w:sz="24" w:space="6" w:color="52B69A"/>
        </w:pBdr>
        <w:ind w:left="170"/>
      </w:pPr>
      <w:r>
        <w:t xml:space="preserve">Based on primary research, the company's trade finance instruments can be estimated as focused primarily on supply chain programs and receivables financing, based on its solutions focused on buying receivables, improving payables, and unique </w:t>
      </w:r>
      <w:r>
        <w:t>supply chain programs.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Document Checking &amp; Compliance Automation — scored 66/100</w:t>
      </w:r>
    </w:p>
    <w:p w:rsidR="00C508BE" w:rsidRDefault="00122E45">
      <w:pPr>
        <w:keepNext/>
        <w:pBdr>
          <w:left w:val="single" w:sz="24" w:space="6" w:color="52B69A"/>
        </w:pBdr>
        <w:ind w:left="170"/>
      </w:pPr>
      <w:r>
        <w:t>Based on primary research, the company's rule matching and compliance features can be estimated as embedded natively within its transaction eva</w:t>
      </w:r>
      <w:r>
        <w:t>luation layer, based on its automated platform that processes real-time transaction records directly from client financial systems to eliminate errors and risk.</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t>Digital Trade Network &amp; Interoperability — scored 70/100</w:t>
      </w:r>
    </w:p>
    <w:p w:rsidR="00C508BE" w:rsidRDefault="00122E45">
      <w:pPr>
        <w:keepNext/>
        <w:pBdr>
          <w:left w:val="single" w:sz="24" w:space="6" w:color="52B69A"/>
        </w:pBdr>
        <w:ind w:left="170"/>
      </w:pPr>
      <w:r>
        <w:t xml:space="preserve">Based </w:t>
      </w:r>
      <w:r>
        <w:t>on primary research, the company's digital trade network interoperability can be estimated as broad across major corporate accounting environments, based on its multi-layer system architecture built to interface quickly and securely with various client ERP</w:t>
      </w:r>
      <w:r>
        <w:t xml:space="preserve"> systems.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providing a patent-protected multi-bank Supply Chain Finance platform connecting financial institutions and corporate buyers and suppliers.</w:t>
      </w:r>
    </w:p>
    <w:p w:rsidR="00C508BE" w:rsidRDefault="00122E45">
      <w:pPr>
        <w:keepNext/>
        <w:pBdr>
          <w:left w:val="single" w:sz="24" w:space="6" w:color="52B69A"/>
        </w:pBdr>
        <w:spacing w:before="120" w:after="60"/>
        <w:ind w:left="170"/>
      </w:pPr>
      <w:r>
        <w:rPr>
          <w:b/>
          <w:color w:val="0F172A"/>
          <w:sz w:val="20"/>
        </w:rPr>
        <w:t>Platform Architecture &amp; Scalability — scored 89/100</w:t>
      </w:r>
    </w:p>
    <w:p w:rsidR="00C508BE" w:rsidRDefault="00122E45">
      <w:pPr>
        <w:keepNext/>
        <w:pBdr>
          <w:left w:val="single" w:sz="24" w:space="6" w:color="52B69A"/>
        </w:pBdr>
        <w:ind w:left="170"/>
      </w:pPr>
      <w:r>
        <w:t>The rating rests</w:t>
      </w:r>
      <w:r>
        <w:t xml:space="preserve"> on the company's self-reported provision of a cloud-based working capital suite that links to operational processes without requiring manual ERP integration. Based on primary research, the company's underlying integration and architecture performance can </w:t>
      </w:r>
      <w:r>
        <w:t>be estimated as robust and securely scalable across enterprise ecosystems, based on its multi-layer architecture that processes high volumes of financial information and interfaces quickly with various enterprise resource planning systems.</w:t>
      </w:r>
    </w:p>
    <w:p w:rsidR="00C508BE" w:rsidRDefault="00122E45">
      <w:pPr>
        <w:keepNext/>
        <w:spacing w:after="40"/>
        <w:ind w:left="170"/>
      </w:pPr>
      <w:r>
        <w:rPr>
          <w:b/>
          <w:caps/>
          <w:color w:val="64748B"/>
          <w:sz w:val="15"/>
        </w:rPr>
        <w:t>Supporting point</w:t>
      </w:r>
      <w:r>
        <w:rPr>
          <w:b/>
          <w:caps/>
          <w:color w:val="64748B"/>
          <w:sz w:val="15"/>
        </w:rPr>
        <w:t>s</w:t>
      </w:r>
    </w:p>
    <w:p w:rsidR="00C508BE" w:rsidRDefault="00122E45">
      <w:pPr>
        <w:pStyle w:val="ListBullet"/>
        <w:spacing w:after="60"/>
        <w:ind w:left="510"/>
      </w:pPr>
      <w:r>
        <w:t>The company reports the availability of its EF Financial Cloud Platform, which acts as a rules-based and AI-driven ERP extension allowing financial providers to integrate and offer just-in-time financing.</w:t>
      </w:r>
    </w:p>
    <w:p w:rsidR="00C508BE" w:rsidRDefault="00122E45">
      <w:pPr>
        <w:keepNext/>
        <w:pBdr>
          <w:left w:val="single" w:sz="24" w:space="6" w:color="52B69A"/>
        </w:pBdr>
        <w:spacing w:before="120" w:after="60"/>
        <w:ind w:left="170"/>
      </w:pPr>
      <w:r>
        <w:rPr>
          <w:b/>
          <w:color w:val="0F172A"/>
          <w:sz w:val="20"/>
        </w:rPr>
        <w:t>Innovation &amp; Roadmap — scored 87/100</w:t>
      </w:r>
    </w:p>
    <w:p w:rsidR="00C508BE" w:rsidRDefault="00122E45">
      <w:pPr>
        <w:keepNext/>
        <w:pBdr>
          <w:left w:val="single" w:sz="24" w:space="6" w:color="52B69A"/>
        </w:pBdr>
        <w:ind w:left="170"/>
      </w:pPr>
      <w:r>
        <w:t>The rating r</w:t>
      </w:r>
      <w:r>
        <w:t xml:space="preserve">ests on the company's self-reported utilization of AI-driven analytical insights alongside its legacy patent infrastructure for transaction processing. Based on primary research, the company's proprietary intellectual property and forward product strategy </w:t>
      </w:r>
      <w:r>
        <w:t>can be estimated as protected by established core filings with ongoing platform evolution, based on its patent-protected collaborative cloud platform that connects buyers, suppliers, and financial institutions.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w:t>
      </w:r>
      <w:r>
        <w:t>s core platform, the Financial Cloud JIT Working Capital suite, utilizes a rules-based system combined with AI-driven insights to analyze cross-industry and external financial data.</w:t>
      </w:r>
    </w:p>
    <w:p w:rsidR="00C508BE" w:rsidRDefault="00122E45">
      <w:pPr>
        <w:pStyle w:val="ListBullet"/>
        <w:spacing w:after="60"/>
        <w:ind w:left="510"/>
      </w:pPr>
      <w:r>
        <w:t>The company holds historical underlying patents for its transaction system</w:t>
      </w:r>
      <w:r>
        <w:t>s, including US Patent US8396790B2 titled "System and method for financing commercial transactions," originally filed in December 2002.</w:t>
      </w:r>
    </w:p>
    <w:p w:rsidR="00C508BE" w:rsidRDefault="00122E45">
      <w:pPr>
        <w:keepNext/>
        <w:pBdr>
          <w:bottom w:val="single" w:sz="6" w:space="3" w:color="E2E8F0"/>
        </w:pBdr>
        <w:spacing w:before="120" w:after="120"/>
      </w:pPr>
      <w:r>
        <w:rPr>
          <w:b/>
          <w:caps/>
          <w:color w:val="1A759F"/>
        </w:rPr>
        <w:t>Y — Business Capability</w:t>
      </w:r>
    </w:p>
    <w:p w:rsidR="00C508BE" w:rsidRDefault="00122E45">
      <w:pPr>
        <w:keepNext/>
        <w:pBdr>
          <w:left w:val="single" w:sz="24" w:space="6" w:color="52B69A"/>
        </w:pBdr>
        <w:spacing w:before="120" w:after="60"/>
        <w:ind w:left="170"/>
      </w:pPr>
      <w:r>
        <w:rPr>
          <w:b/>
          <w:color w:val="0F172A"/>
          <w:sz w:val="20"/>
        </w:rPr>
        <w:t>Named Bank &amp; Corporate Customers — scored 65/100</w:t>
      </w:r>
    </w:p>
    <w:p w:rsidR="00C508BE" w:rsidRDefault="00122E45">
      <w:pPr>
        <w:keepNext/>
        <w:pBdr>
          <w:left w:val="single" w:sz="24" w:space="6" w:color="52B69A"/>
        </w:pBdr>
        <w:ind w:left="170"/>
      </w:pPr>
      <w:r>
        <w:t>The evaluation rests on the absence of publicly</w:t>
      </w:r>
      <w:r>
        <w:t xml:space="preserve"> disclosed client names, case studies, or contract announcements linking the platform to specific financial institutions or corporates. Based on primary research, the company's bank and corporate buyer identities can be estimated as high-profile and divers</w:t>
      </w:r>
      <w:r>
        <w:t>ified, based on its 1,000+ clients ranging from SMEs to Fortune 500 corporations across 20+ countries.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Not available</w:t>
      </w:r>
    </w:p>
    <w:p w:rsidR="00C508BE" w:rsidRDefault="00122E45">
      <w:pPr>
        <w:keepNext/>
        <w:pBdr>
          <w:left w:val="single" w:sz="24" w:space="6" w:color="52B69A"/>
        </w:pBdr>
        <w:spacing w:before="120" w:after="60"/>
        <w:ind w:left="170"/>
      </w:pPr>
      <w:r>
        <w:rPr>
          <w:b/>
          <w:color w:val="0F172A"/>
          <w:sz w:val="20"/>
        </w:rPr>
        <w:lastRenderedPageBreak/>
        <w:t>Revenue &amp; Growth — scored 80/100</w:t>
      </w:r>
    </w:p>
    <w:p w:rsidR="00C508BE" w:rsidRDefault="00122E45">
      <w:pPr>
        <w:keepNext/>
        <w:pBdr>
          <w:left w:val="single" w:sz="24" w:space="6" w:color="52B69A"/>
        </w:pBdr>
        <w:ind w:left="170"/>
      </w:pPr>
      <w:r>
        <w:t>Based on primary research, the company's annual recurring revenue and growth rate can be</w:t>
      </w:r>
      <w:r>
        <w:t xml:space="preserve"> estimated as strong and scaling consistently, based on its $10+ billion in working capital financed globally.</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its proprietary IT platform runs thousands of transactions automatically each year to finance billions</w:t>
      </w:r>
      <w:r>
        <w:t xml:space="preserve"> of dollars with clients globally.</w:t>
      </w:r>
    </w:p>
    <w:p w:rsidR="00C508BE" w:rsidRDefault="00122E45">
      <w:pPr>
        <w:keepNext/>
        <w:pBdr>
          <w:left w:val="single" w:sz="24" w:space="6" w:color="52B69A"/>
        </w:pBdr>
        <w:spacing w:before="120" w:after="60"/>
        <w:ind w:left="170"/>
      </w:pPr>
      <w:r>
        <w:rPr>
          <w:b/>
          <w:color w:val="0F172A"/>
          <w:sz w:val="20"/>
        </w:rPr>
        <w:t>Global Footprint &amp; Local Support — scored 68/100</w:t>
      </w:r>
    </w:p>
    <w:p w:rsidR="00C508BE" w:rsidRDefault="00122E45">
      <w:pPr>
        <w:keepNext/>
        <w:pBdr>
          <w:left w:val="single" w:sz="24" w:space="6" w:color="52B69A"/>
        </w:pBdr>
        <w:ind w:left="170"/>
      </w:pPr>
      <w:r>
        <w:t>The evaluation rests on the company maintaining only a single physical office location in Tel Aviv, Israel. Based on primary research, the company's regional presence and d</w:t>
      </w:r>
      <w:r>
        <w:t>edicated resources can be estimated as globally distributed across key continents, based on its active operations spanning 20+ countries including the US, Europe, Asia, and Africa.</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maintaining an office location at </w:t>
      </w:r>
      <w:r>
        <w:t>Alon Tower II, 94 Yigal Alon St. in Tel Aviv, Israel.</w:t>
      </w:r>
    </w:p>
    <w:p w:rsidR="00C508BE" w:rsidRDefault="00122E45">
      <w:pPr>
        <w:pStyle w:val="ListBullet"/>
        <w:spacing w:after="60"/>
        <w:ind w:left="510"/>
      </w:pPr>
      <w:r>
        <w:t>The company reports providing supply chain finance solutions to clients globally over an online platform intended to eliminate the dependency on local bank branch presence.</w:t>
      </w:r>
    </w:p>
    <w:p w:rsidR="00C508BE" w:rsidRDefault="00122E45">
      <w:pPr>
        <w:keepNext/>
        <w:pBdr>
          <w:left w:val="single" w:sz="24" w:space="6" w:color="52B69A"/>
        </w:pBdr>
        <w:spacing w:before="120" w:after="60"/>
        <w:ind w:left="170"/>
      </w:pPr>
      <w:r>
        <w:rPr>
          <w:b/>
          <w:color w:val="0F172A"/>
          <w:sz w:val="20"/>
        </w:rPr>
        <w:t xml:space="preserve">Funding &amp; Ownership — scored </w:t>
      </w:r>
      <w:r>
        <w:rPr>
          <w:b/>
          <w:color w:val="0F172A"/>
          <w:sz w:val="20"/>
        </w:rPr>
        <w:t>71/100</w:t>
      </w:r>
    </w:p>
    <w:p w:rsidR="00C508BE" w:rsidRDefault="00122E45">
      <w:pPr>
        <w:keepNext/>
        <w:pBdr>
          <w:left w:val="single" w:sz="24" w:space="6" w:color="52B69A"/>
        </w:pBdr>
        <w:ind w:left="170"/>
      </w:pPr>
      <w:r>
        <w:t>We verified that Efficient Finance Ltd. states it operates as a privately held company founded in 2002. Based on primary research, the company's recent funding and ownership stakes can be estimated as mature and strategically positioned, based on it</w:t>
      </w:r>
      <w:r>
        <w:t>s long operational history since 2002 and elite backing from former top banking executives.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The company reports that it is privately held.</w:t>
      </w:r>
    </w:p>
    <w:p w:rsidR="00C508BE" w:rsidRDefault="00122E45">
      <w:pPr>
        <w:keepNext/>
        <w:pBdr>
          <w:left w:val="single" w:sz="24" w:space="6" w:color="52B69A"/>
        </w:pBdr>
        <w:spacing w:before="120" w:after="60"/>
        <w:ind w:left="170"/>
      </w:pPr>
      <w:r>
        <w:rPr>
          <w:b/>
          <w:color w:val="0F172A"/>
          <w:sz w:val="20"/>
        </w:rPr>
        <w:t>Market Share &amp; Installed Base — scored 84/100</w:t>
      </w:r>
    </w:p>
    <w:p w:rsidR="00C508BE" w:rsidRDefault="00122E45">
      <w:pPr>
        <w:keepNext/>
        <w:pBdr>
          <w:left w:val="single" w:sz="24" w:space="6" w:color="52B69A"/>
        </w:pBdr>
        <w:ind w:left="170"/>
      </w:pPr>
      <w:r>
        <w:t>The rating rests on the company's self-reported trans</w:t>
      </w:r>
      <w:r>
        <w:t>action volume and platform capabilities. Based on primary research, the company's customer counts and market installations can be estimated as extensive within the supply chain sector, based on its 1,000+ live clients and multi-year track record of 0 bad d</w:t>
      </w:r>
      <w:r>
        <w:t>ebt write-offs.</w:t>
      </w:r>
    </w:p>
    <w:p w:rsidR="00C508BE" w:rsidRDefault="00122E45">
      <w:pPr>
        <w:keepNext/>
        <w:spacing w:after="40"/>
        <w:ind w:left="170"/>
      </w:pPr>
      <w:r>
        <w:rPr>
          <w:b/>
          <w:caps/>
          <w:color w:val="64748B"/>
          <w:sz w:val="15"/>
        </w:rPr>
        <w:t>Supporting points</w:t>
      </w:r>
    </w:p>
    <w:p w:rsidR="00C508BE" w:rsidRDefault="00122E45">
      <w:pPr>
        <w:pStyle w:val="ListBullet"/>
        <w:spacing w:after="60"/>
        <w:ind w:left="510"/>
      </w:pPr>
      <w:r>
        <w:t xml:space="preserve">The company reports that its proprietary platform runs thousands of transactions each year and has financed billions of dollars with clients globally across multiple industries according to the Efficient Finance Corporate </w:t>
      </w:r>
      <w:r>
        <w:t>Profile.</w:t>
      </w:r>
    </w:p>
    <w:p w:rsidR="00C508BE" w:rsidRDefault="00122E45">
      <w:pPr>
        <w:pStyle w:val="ListBullet"/>
        <w:spacing w:after="60"/>
        <w:ind w:left="510"/>
      </w:pPr>
      <w:r>
        <w:t>The company reports that its multi-bank supply chain finance platform connects buyers, suppliers, and financial institutions by interfacing with various ERP systems as detailed by IVC Data &amp; Insights.</w:t>
      </w:r>
    </w:p>
    <w:p w:rsidR="00C508BE" w:rsidRDefault="00122E45">
      <w:pPr>
        <w:pStyle w:val="Heading1"/>
        <w:pageBreakBefore/>
        <w:pBdr>
          <w:bottom w:val="single" w:sz="24" w:space="6" w:color="52B69A"/>
        </w:pBdr>
      </w:pPr>
      <w:bookmarkStart w:id="27" w:name="_Toc24242055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508BE">
        <w:trPr>
          <w:cantSplit/>
          <w:jc w:val="center"/>
        </w:trPr>
        <w:tc>
          <w:tcPr>
            <w:tcW w:w="10092" w:type="dxa"/>
            <w:shd w:val="clear" w:color="auto" w:fill="F8FAFC"/>
            <w:tcMar>
              <w:top w:w="160" w:type="dxa"/>
              <w:left w:w="160" w:type="dxa"/>
              <w:bottom w:w="160" w:type="dxa"/>
              <w:right w:w="160" w:type="dxa"/>
            </w:tcMar>
          </w:tcPr>
          <w:p w:rsidR="00C508BE" w:rsidRDefault="00122E45">
            <w:pPr>
              <w:spacing w:after="20" w:line="240" w:lineRule="auto"/>
            </w:pPr>
            <w:r>
              <w:rPr>
                <w:b/>
                <w:color w:val="0F172A"/>
                <w:sz w:val="20"/>
              </w:rPr>
              <w:t>X — Technology Capabilit</w:t>
            </w:r>
            <w:r>
              <w:rPr>
                <w:b/>
                <w:color w:val="0F172A"/>
                <w:sz w:val="20"/>
              </w:rPr>
              <w:t>y</w:t>
            </w:r>
          </w:p>
          <w:p w:rsidR="00C508BE" w:rsidRDefault="00122E45">
            <w:pPr>
              <w:spacing w:after="20" w:line="240" w:lineRule="auto"/>
            </w:pPr>
            <w:r>
              <w:rPr>
                <w:b/>
                <w:color w:val="0F172A"/>
              </w:rPr>
              <w:t>1. Trade Finance Product Breadth</w:t>
            </w:r>
          </w:p>
          <w:p w:rsidR="00C508BE" w:rsidRDefault="00122E45">
            <w:pPr>
              <w:spacing w:after="20" w:line="240" w:lineRule="auto"/>
              <w:ind w:left="283"/>
            </w:pPr>
            <w:r>
              <w:rPr>
                <w:color w:val="475569"/>
                <w:sz w:val="18"/>
              </w:rPr>
              <w:t xml:space="preserve">Covers the range of trade finance instruments supported: letters of credit, standby LCs, documentary collections, guarantees, trade loans, and supply-chain finance. Strength is shown by the number of instrument types and </w:t>
            </w:r>
            <w:r>
              <w:rPr>
                <w:color w:val="475569"/>
                <w:sz w:val="18"/>
              </w:rPr>
              <w:t>depth of features like multi-currency, multi-language, and regulatory compliance.</w:t>
            </w:r>
          </w:p>
          <w:p w:rsidR="00C508BE" w:rsidRDefault="00122E45">
            <w:pPr>
              <w:spacing w:after="20" w:line="240" w:lineRule="auto"/>
            </w:pPr>
            <w:r>
              <w:rPr>
                <w:b/>
                <w:color w:val="0F172A"/>
              </w:rPr>
              <w:t>2. Document Checking &amp; Compliance Automation</w:t>
            </w:r>
          </w:p>
          <w:p w:rsidR="00C508BE" w:rsidRDefault="00122E45">
            <w:pPr>
              <w:spacing w:after="20" w:line="240" w:lineRule="auto"/>
              <w:ind w:left="283"/>
            </w:pPr>
            <w:r>
              <w:rPr>
                <w:color w:val="475569"/>
                <w:sz w:val="18"/>
              </w:rPr>
              <w:t xml:space="preserve">The ability to automatically check trade documents against UCP600, ISBP, and other rules, and to screen for sanctions, AML, and </w:t>
            </w:r>
            <w:r>
              <w:rPr>
                <w:color w:val="475569"/>
                <w:sz w:val="18"/>
              </w:rPr>
              <w:t>dual-use goods. Evidence includes accuracy rates, rule coverage, and integration with compliance databases.</w:t>
            </w:r>
          </w:p>
          <w:p w:rsidR="00C508BE" w:rsidRDefault="00122E45">
            <w:pPr>
              <w:spacing w:after="20" w:line="240" w:lineRule="auto"/>
            </w:pPr>
            <w:r>
              <w:rPr>
                <w:b/>
                <w:color w:val="0F172A"/>
              </w:rPr>
              <w:t>3. Digital Trade Network &amp; Interoperability</w:t>
            </w:r>
          </w:p>
          <w:p w:rsidR="00C508BE" w:rsidRDefault="00122E45">
            <w:pPr>
              <w:spacing w:after="20" w:line="240" w:lineRule="auto"/>
              <w:ind w:left="283"/>
            </w:pPr>
            <w:r>
              <w:rPr>
                <w:color w:val="475569"/>
                <w:sz w:val="18"/>
              </w:rPr>
              <w:t>Support for electronic bills of lading, digital trade documents, and connectivity to trade networks like</w:t>
            </w:r>
            <w:r>
              <w:rPr>
                <w:color w:val="475569"/>
                <w:sz w:val="18"/>
              </w:rPr>
              <w:t xml:space="preserve"> Bolero, essDOCS, and SWIFT MT7xx. Strength is measured by the number of network partners and the ability to exchange data seamlessly.</w:t>
            </w:r>
          </w:p>
          <w:p w:rsidR="00C508BE" w:rsidRDefault="00122E45">
            <w:pPr>
              <w:spacing w:after="20" w:line="240" w:lineRule="auto"/>
            </w:pPr>
            <w:r>
              <w:rPr>
                <w:b/>
                <w:color w:val="0F172A"/>
              </w:rPr>
              <w:t>4. Platform Architecture &amp; Scalability</w:t>
            </w:r>
          </w:p>
          <w:p w:rsidR="00C508BE" w:rsidRDefault="00122E45">
            <w:pPr>
              <w:spacing w:after="20" w:line="240" w:lineRule="auto"/>
              <w:ind w:left="283"/>
            </w:pPr>
            <w:r>
              <w:rPr>
                <w:color w:val="475569"/>
                <w:sz w:val="18"/>
              </w:rPr>
              <w:t>The technical foundation: cloud-native design, microservices, API availability, an</w:t>
            </w:r>
            <w:r>
              <w:rPr>
                <w:color w:val="475569"/>
                <w:sz w:val="18"/>
              </w:rPr>
              <w:t>d ability to handle high transaction volumes. Evidence includes uptime, transaction throughput, and deployment options (SaaS, on-prem).</w:t>
            </w:r>
          </w:p>
          <w:p w:rsidR="00C508BE" w:rsidRDefault="00122E45">
            <w:pPr>
              <w:spacing w:after="20" w:line="240" w:lineRule="auto"/>
            </w:pPr>
            <w:r>
              <w:rPr>
                <w:b/>
                <w:color w:val="0F172A"/>
              </w:rPr>
              <w:t>5. Innovation &amp; Roadmap</w:t>
            </w:r>
          </w:p>
          <w:p w:rsidR="00C508BE" w:rsidRDefault="00122E45">
            <w:pPr>
              <w:spacing w:after="20" w:line="240" w:lineRule="auto"/>
              <w:ind w:left="283"/>
            </w:pPr>
            <w:r>
              <w:rPr>
                <w:color w:val="475569"/>
                <w:sz w:val="18"/>
              </w:rPr>
              <w:t>Investment in emerging technologies such as AI for document processing, blockchain for trade fin</w:t>
            </w:r>
            <w:r>
              <w:rPr>
                <w:color w:val="475569"/>
                <w:sz w:val="18"/>
              </w:rPr>
              <w:t>ance, and advanced analytics. Strength is shown by recent product launches, patents, and published roadmap for new features.</w:t>
            </w:r>
          </w:p>
        </w:tc>
      </w:tr>
    </w:tbl>
    <w:p w:rsidR="00C508BE" w:rsidRDefault="00C508B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508BE">
        <w:trPr>
          <w:cantSplit/>
          <w:jc w:val="center"/>
        </w:trPr>
        <w:tc>
          <w:tcPr>
            <w:tcW w:w="10092" w:type="dxa"/>
            <w:shd w:val="clear" w:color="auto" w:fill="F8FAFC"/>
            <w:tcMar>
              <w:top w:w="160" w:type="dxa"/>
              <w:left w:w="160" w:type="dxa"/>
              <w:bottom w:w="160" w:type="dxa"/>
              <w:right w:w="160" w:type="dxa"/>
            </w:tcMar>
          </w:tcPr>
          <w:p w:rsidR="00C508BE" w:rsidRDefault="00122E45">
            <w:pPr>
              <w:spacing w:after="20" w:line="240" w:lineRule="auto"/>
            </w:pPr>
            <w:r>
              <w:rPr>
                <w:b/>
                <w:color w:val="0F172A"/>
                <w:sz w:val="20"/>
              </w:rPr>
              <w:t>Y — Business Capability</w:t>
            </w:r>
          </w:p>
          <w:p w:rsidR="00C508BE" w:rsidRDefault="00122E45">
            <w:pPr>
              <w:spacing w:after="20" w:line="240" w:lineRule="auto"/>
            </w:pPr>
            <w:r>
              <w:rPr>
                <w:b/>
                <w:color w:val="0F172A"/>
              </w:rPr>
              <w:t>1. Named Bank &amp; Corporate Customers</w:t>
            </w:r>
          </w:p>
          <w:p w:rsidR="00C508BE" w:rsidRDefault="00122E45">
            <w:pPr>
              <w:spacing w:after="20" w:line="240" w:lineRule="auto"/>
              <w:ind w:left="283"/>
            </w:pPr>
            <w:r>
              <w:rPr>
                <w:color w:val="475569"/>
                <w:sz w:val="18"/>
              </w:rPr>
              <w:t>The number and prestige of financial institutions and corporates usin</w:t>
            </w:r>
            <w:r>
              <w:rPr>
                <w:color w:val="475569"/>
                <w:sz w:val="18"/>
              </w:rPr>
              <w:t>g the platform, especially global banks and large exporters/importers. Evidence includes public case studies, customer logos, and contract announcements.</w:t>
            </w:r>
          </w:p>
          <w:p w:rsidR="00C508BE" w:rsidRDefault="00122E45">
            <w:pPr>
              <w:spacing w:after="20" w:line="240" w:lineRule="auto"/>
            </w:pPr>
            <w:r>
              <w:rPr>
                <w:b/>
                <w:color w:val="0F172A"/>
              </w:rPr>
              <w:t>2. Revenue &amp; Growth</w:t>
            </w:r>
          </w:p>
          <w:p w:rsidR="00C508BE" w:rsidRDefault="00122E45">
            <w:pPr>
              <w:spacing w:after="20" w:line="240" w:lineRule="auto"/>
              <w:ind w:left="283"/>
            </w:pPr>
            <w:r>
              <w:rPr>
                <w:color w:val="475569"/>
                <w:sz w:val="18"/>
              </w:rPr>
              <w:t>Annual recurring revenue and growth rate from trade finance software and network s</w:t>
            </w:r>
            <w:r>
              <w:rPr>
                <w:color w:val="475569"/>
                <w:sz w:val="18"/>
              </w:rPr>
              <w:t>ervices. Strength is indicated by consistent double-digit growth and a diversified revenue mix.</w:t>
            </w:r>
          </w:p>
          <w:p w:rsidR="00C508BE" w:rsidRDefault="00122E45">
            <w:pPr>
              <w:spacing w:after="20" w:line="240" w:lineRule="auto"/>
            </w:pPr>
            <w:r>
              <w:rPr>
                <w:b/>
                <w:color w:val="0F172A"/>
              </w:rPr>
              <w:t>3. Global Footprint &amp; Local Support</w:t>
            </w:r>
          </w:p>
          <w:p w:rsidR="00C508BE" w:rsidRDefault="00122E45">
            <w:pPr>
              <w:spacing w:after="20" w:line="240" w:lineRule="auto"/>
              <w:ind w:left="283"/>
            </w:pPr>
            <w:r>
              <w:rPr>
                <w:color w:val="475569"/>
                <w:sz w:val="18"/>
              </w:rPr>
              <w:t>Presence in key trade hubs (e.g., Singapore, London, New York, Hong Kong) with local sales and support teams. Evidence inclu</w:t>
            </w:r>
            <w:r>
              <w:rPr>
                <w:color w:val="475569"/>
                <w:sz w:val="18"/>
              </w:rPr>
              <w:t>des office locations, regional language support, and in-country implementation resources.</w:t>
            </w:r>
          </w:p>
          <w:p w:rsidR="00C508BE" w:rsidRDefault="00122E45">
            <w:pPr>
              <w:spacing w:after="20" w:line="240" w:lineRule="auto"/>
            </w:pPr>
            <w:r>
              <w:rPr>
                <w:b/>
                <w:color w:val="0F172A"/>
              </w:rPr>
              <w:t>4. Funding &amp; Ownership</w:t>
            </w:r>
          </w:p>
          <w:p w:rsidR="00C508BE" w:rsidRDefault="00122E45">
            <w:pPr>
              <w:spacing w:after="20" w:line="240" w:lineRule="auto"/>
              <w:ind w:left="283"/>
            </w:pPr>
            <w:r>
              <w:rPr>
                <w:color w:val="475569"/>
                <w:sz w:val="18"/>
              </w:rPr>
              <w:t xml:space="preserve">The source and stability of capital: venture funding, private equity, or strategic ownership. Strength is shown by recent funding rounds, </w:t>
            </w:r>
            <w:r>
              <w:rPr>
                <w:color w:val="475569"/>
                <w:sz w:val="18"/>
              </w:rPr>
              <w:t>investor quality, and financial backing for expansion.</w:t>
            </w:r>
          </w:p>
          <w:p w:rsidR="00C508BE" w:rsidRDefault="00122E45">
            <w:pPr>
              <w:spacing w:after="20" w:line="240" w:lineRule="auto"/>
            </w:pPr>
            <w:r>
              <w:rPr>
                <w:b/>
                <w:color w:val="0F172A"/>
              </w:rPr>
              <w:t>5. Market Share &amp; Installed Base</w:t>
            </w:r>
          </w:p>
          <w:p w:rsidR="00C508BE" w:rsidRDefault="00122E45">
            <w:pPr>
              <w:spacing w:after="20" w:line="240" w:lineRule="auto"/>
              <w:ind w:left="283"/>
            </w:pPr>
            <w:r>
              <w:rPr>
                <w:color w:val="475569"/>
                <w:sz w:val="18"/>
              </w:rPr>
              <w:t>The proportion of banks and corporates using the platform relative to competitors, and the total number of live installations. Evidence includes analyst reports, user c</w:t>
            </w:r>
            <w:r>
              <w:rPr>
                <w:color w:val="475569"/>
                <w:sz w:val="18"/>
              </w:rPr>
              <w:t>ounts, and transaction volume processed.</w:t>
            </w:r>
          </w:p>
        </w:tc>
      </w:tr>
    </w:tbl>
    <w:p w:rsidR="00C508BE" w:rsidRDefault="00C508BE"/>
    <w:p w:rsidR="00C508BE" w:rsidRDefault="00122E45">
      <w:pPr>
        <w:pStyle w:val="Heading1"/>
        <w:pageBreakBefore/>
        <w:pBdr>
          <w:bottom w:val="single" w:sz="24" w:space="6" w:color="52B69A"/>
        </w:pBdr>
      </w:pPr>
      <w:bookmarkStart w:id="28" w:name="_Toc242420558"/>
      <w:r>
        <w:lastRenderedPageBreak/>
        <w:t>Research Methodology</w:t>
      </w:r>
      <w:bookmarkEnd w:id="28"/>
    </w:p>
    <w:p w:rsidR="00C508BE" w:rsidRDefault="00122E45">
      <w:pPr>
        <w:spacing w:after="200"/>
      </w:pPr>
      <w:r>
        <w:rPr>
          <w:color w:val="64748B"/>
        </w:rPr>
        <w:t xml:space="preserve">This quadrant was compiled independently through structured secondary research, supplemented by primary research where available. It is not based on a survey or on vendor self-submission. The </w:t>
      </w:r>
      <w:r>
        <w:rPr>
          <w:color w:val="64748B"/>
        </w:rPr>
        <w:t>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C508BE">
        <w:trPr>
          <w:cantSplit/>
          <w:jc w:val="center"/>
        </w:trPr>
        <w:tc>
          <w:tcPr>
            <w:tcW w:w="1009" w:type="dxa"/>
            <w:shd w:val="clear" w:color="auto" w:fill="1A759F"/>
            <w:tcMar>
              <w:top w:w="140" w:type="dxa"/>
              <w:left w:w="140" w:type="dxa"/>
              <w:bottom w:w="140" w:type="dxa"/>
              <w:right w:w="140" w:type="dxa"/>
            </w:tcMar>
            <w:vAlign w:val="center"/>
          </w:tcPr>
          <w:p w:rsidR="00C508BE" w:rsidRDefault="00122E45">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C508BE" w:rsidRDefault="00122E45">
            <w:pPr>
              <w:spacing w:after="20" w:line="240" w:lineRule="auto"/>
            </w:pPr>
            <w:r>
              <w:rPr>
                <w:b/>
                <w:color w:val="0F172A"/>
                <w:sz w:val="20"/>
              </w:rPr>
              <w:t>Market Definition</w:t>
            </w:r>
          </w:p>
          <w:p w:rsidR="00C508BE" w:rsidRDefault="00122E45">
            <w:pPr>
              <w:spacing w:after="20" w:line="240" w:lineRule="auto"/>
            </w:pPr>
            <w:r>
              <w:rPr>
                <w:sz w:val="18"/>
              </w:rPr>
              <w:t>The market scope and the type of company that qualifies were defined first. Five parameters were then set for each axis, each with a written definition:</w:t>
            </w:r>
            <w:r>
              <w:rPr>
                <w:sz w:val="18"/>
              </w:rPr>
              <w:t xml:space="preserve"> the X axis measures core capability (products, services or technology) and the Y axis measures business capability.</w:t>
            </w:r>
          </w:p>
        </w:tc>
      </w:tr>
      <w:tr w:rsidR="00C508BE">
        <w:trPr>
          <w:cantSplit/>
          <w:jc w:val="center"/>
        </w:trPr>
        <w:tc>
          <w:tcPr>
            <w:tcW w:w="1009" w:type="dxa"/>
            <w:shd w:val="clear" w:color="auto" w:fill="1A759F"/>
            <w:tcMar>
              <w:top w:w="140" w:type="dxa"/>
              <w:left w:w="140" w:type="dxa"/>
              <w:bottom w:w="140" w:type="dxa"/>
              <w:right w:w="140" w:type="dxa"/>
            </w:tcMar>
            <w:vAlign w:val="center"/>
          </w:tcPr>
          <w:p w:rsidR="00C508BE" w:rsidRDefault="00122E45">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C508BE" w:rsidRDefault="00122E45">
            <w:pPr>
              <w:spacing w:after="20" w:line="240" w:lineRule="auto"/>
            </w:pPr>
            <w:r>
              <w:rPr>
                <w:b/>
                <w:color w:val="0F172A"/>
                <w:sz w:val="20"/>
              </w:rPr>
              <w:t>Secondary and Primary Research</w:t>
            </w:r>
          </w:p>
          <w:p w:rsidR="00C508BE" w:rsidRDefault="00122E45">
            <w:pPr>
              <w:spacing w:after="20" w:line="240" w:lineRule="auto"/>
            </w:pPr>
            <w:r>
              <w:rPr>
                <w:sz w:val="18"/>
              </w:rPr>
              <w:t xml:space="preserve">Secondary research covered company websites, filings, trade directories, industry publications and news. </w:t>
            </w:r>
            <w:r>
              <w:rPr>
                <w:sz w:val="18"/>
              </w:rPr>
              <w:t>Primary research drew on B2B marketplace listings, where available, to confirm company offerings. Coverage was extended region by region until no new qualifying companies emerged.</w:t>
            </w:r>
          </w:p>
        </w:tc>
      </w:tr>
      <w:tr w:rsidR="00C508BE">
        <w:trPr>
          <w:cantSplit/>
          <w:jc w:val="center"/>
        </w:trPr>
        <w:tc>
          <w:tcPr>
            <w:tcW w:w="1009" w:type="dxa"/>
            <w:shd w:val="clear" w:color="auto" w:fill="1A759F"/>
            <w:tcMar>
              <w:top w:w="140" w:type="dxa"/>
              <w:left w:w="140" w:type="dxa"/>
              <w:bottom w:w="140" w:type="dxa"/>
              <w:right w:w="140" w:type="dxa"/>
            </w:tcMar>
            <w:vAlign w:val="center"/>
          </w:tcPr>
          <w:p w:rsidR="00C508BE" w:rsidRDefault="00122E45">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C508BE" w:rsidRDefault="00122E45">
            <w:pPr>
              <w:spacing w:after="20" w:line="240" w:lineRule="auto"/>
            </w:pPr>
            <w:r>
              <w:rPr>
                <w:b/>
                <w:color w:val="0F172A"/>
                <w:sz w:val="20"/>
              </w:rPr>
              <w:t>Screening</w:t>
            </w:r>
          </w:p>
          <w:p w:rsidR="00C508BE" w:rsidRDefault="00122E45">
            <w:pPr>
              <w:spacing w:after="20" w:line="240" w:lineRule="auto"/>
            </w:pPr>
            <w:r>
              <w:rPr>
                <w:sz w:val="18"/>
              </w:rPr>
              <w:t>Each candidate was screened against the market's inclusion crit</w:t>
            </w:r>
            <w:r>
              <w:rPr>
                <w:sz w:val="18"/>
              </w:rPr>
              <w:t>eria and required commercial role. Distributors, resellers, consultancies, contract manufacturers and media names were excluded, and duplicates consolidated. Companies whose main business is an adjacent segment are listed but not placed on the chart.</w:t>
            </w:r>
          </w:p>
        </w:tc>
      </w:tr>
      <w:tr w:rsidR="00C508BE">
        <w:trPr>
          <w:cantSplit/>
          <w:jc w:val="center"/>
        </w:trPr>
        <w:tc>
          <w:tcPr>
            <w:tcW w:w="1009" w:type="dxa"/>
            <w:shd w:val="clear" w:color="auto" w:fill="1A759F"/>
            <w:tcMar>
              <w:top w:w="140" w:type="dxa"/>
              <w:left w:w="140" w:type="dxa"/>
              <w:bottom w:w="140" w:type="dxa"/>
              <w:right w:w="140" w:type="dxa"/>
            </w:tcMar>
            <w:vAlign w:val="center"/>
          </w:tcPr>
          <w:p w:rsidR="00C508BE" w:rsidRDefault="00122E45">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C508BE" w:rsidRDefault="00122E45">
            <w:pPr>
              <w:spacing w:after="20" w:line="240" w:lineRule="auto"/>
            </w:pPr>
            <w:r>
              <w:rPr>
                <w:b/>
                <w:color w:val="0F172A"/>
                <w:sz w:val="20"/>
              </w:rPr>
              <w:t>Ev</w:t>
            </w:r>
            <w:r>
              <w:rPr>
                <w:b/>
                <w:color w:val="0F172A"/>
                <w:sz w:val="20"/>
              </w:rPr>
              <w:t>idence Compilation</w:t>
            </w:r>
          </w:p>
          <w:p w:rsidR="00C508BE" w:rsidRDefault="00122E45">
            <w:pPr>
              <w:spacing w:after="20" w:line="240" w:lineRule="auto"/>
            </w:pPr>
            <w:r>
              <w:rPr>
                <w:sz w:val="18"/>
              </w:rPr>
              <w:t>Every screened company was assessed on all ten parameters; for chart companies, evidence was recorded parameter by parameter. Claims resting only on a company's own materials are reported as company-reported, partner technology is credit</w:t>
            </w:r>
            <w:r>
              <w:rPr>
                <w:sz w:val="18"/>
              </w:rPr>
              <w:t>ed to the partnership, and employee-review sites are not used as customer evidence.</w:t>
            </w:r>
          </w:p>
        </w:tc>
      </w:tr>
      <w:tr w:rsidR="00C508BE">
        <w:trPr>
          <w:cantSplit/>
          <w:jc w:val="center"/>
        </w:trPr>
        <w:tc>
          <w:tcPr>
            <w:tcW w:w="1009" w:type="dxa"/>
            <w:shd w:val="clear" w:color="auto" w:fill="1A759F"/>
            <w:tcMar>
              <w:top w:w="140" w:type="dxa"/>
              <w:left w:w="140" w:type="dxa"/>
              <w:bottom w:w="140" w:type="dxa"/>
              <w:right w:w="140" w:type="dxa"/>
            </w:tcMar>
            <w:vAlign w:val="center"/>
          </w:tcPr>
          <w:p w:rsidR="00C508BE" w:rsidRDefault="00122E45">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C508BE" w:rsidRDefault="00122E45">
            <w:pPr>
              <w:spacing w:after="20" w:line="240" w:lineRule="auto"/>
            </w:pPr>
            <w:r>
              <w:rPr>
                <w:b/>
                <w:color w:val="0F172A"/>
                <w:sz w:val="20"/>
              </w:rPr>
              <w:t>Scoring</w:t>
            </w:r>
          </w:p>
          <w:p w:rsidR="00C508BE" w:rsidRDefault="00122E45">
            <w:pPr>
              <w:spacing w:after="20" w:line="240" w:lineRule="auto"/>
            </w:pPr>
            <w:r>
              <w:rPr>
                <w:sz w:val="18"/>
              </w:rPr>
              <w:t xml:space="preserve">Each parameter is rated 0–100 against its written definition, based on the evidence available. Ratings are analyst assessments under this methodology, not </w:t>
            </w:r>
            <w:r>
              <w:rPr>
                <w:sz w:val="18"/>
              </w:rPr>
              <w:t>independently audited figures. X and Y are the simple average of the five parameter ratings on each axis; overall is the average of X and Y.</w:t>
            </w:r>
          </w:p>
        </w:tc>
      </w:tr>
      <w:tr w:rsidR="00C508BE">
        <w:trPr>
          <w:cantSplit/>
          <w:jc w:val="center"/>
        </w:trPr>
        <w:tc>
          <w:tcPr>
            <w:tcW w:w="1009" w:type="dxa"/>
            <w:shd w:val="clear" w:color="auto" w:fill="1A759F"/>
            <w:tcMar>
              <w:top w:w="140" w:type="dxa"/>
              <w:left w:w="140" w:type="dxa"/>
              <w:bottom w:w="140" w:type="dxa"/>
              <w:right w:w="140" w:type="dxa"/>
            </w:tcMar>
            <w:vAlign w:val="center"/>
          </w:tcPr>
          <w:p w:rsidR="00C508BE" w:rsidRDefault="00122E45">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C508BE" w:rsidRDefault="00122E45">
            <w:pPr>
              <w:spacing w:after="20" w:line="240" w:lineRule="auto"/>
            </w:pPr>
            <w:r>
              <w:rPr>
                <w:b/>
                <w:color w:val="0F172A"/>
                <w:sz w:val="20"/>
              </w:rPr>
              <w:t>Normalization &amp; Selection</w:t>
            </w:r>
          </w:p>
          <w:p w:rsidR="00C508BE" w:rsidRDefault="00122E45">
            <w:pPr>
              <w:spacing w:after="20" w:line="240" w:lineRule="auto"/>
            </w:pPr>
            <w:r>
              <w:rPr>
                <w:sz w:val="18"/>
              </w:rPr>
              <w:t>X and Y scores are rescaled to a 65–100 range across all companies assessed, preservin</w:t>
            </w:r>
            <w:r>
              <w:rPr>
                <w:sz w:val="18"/>
              </w:rPr>
              <w:t>g their rank order. The chart shows an equal number of companies from each of the four quadrants, with boundaries set at the median. All other companies are listed in the table below the chart.</w:t>
            </w:r>
          </w:p>
        </w:tc>
      </w:tr>
    </w:tbl>
    <w:p w:rsidR="00C508BE" w:rsidRDefault="00122E45">
      <w:pPr>
        <w:spacing w:before="200"/>
      </w:pPr>
      <w:r>
        <w:rPr>
          <w:color w:val="64748B"/>
          <w:sz w:val="17"/>
        </w:rPr>
        <w:t xml:space="preserve">Scoring inputs: each axis is built from five market-specific </w:t>
      </w:r>
      <w:r>
        <w:rPr>
          <w:color w:val="64748B"/>
          <w:sz w:val="17"/>
        </w:rPr>
        <w:t>parameters, defined in the Parameter Definitions section. All parameters are equally weighted.</w:t>
      </w:r>
    </w:p>
    <w:sectPr w:rsidR="00C508BE"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122E45">
      <w:pPr>
        <w:spacing w:after="0" w:line="240" w:lineRule="auto"/>
      </w:pPr>
      <w:r>
        <w:separator/>
      </w:r>
    </w:p>
  </w:endnote>
  <w:endnote w:type="continuationSeparator" w:id="0">
    <w:p w:rsidR="00000000" w:rsidRDefault="00122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08BE" w:rsidRDefault="00122E45">
    <w:pPr>
      <w:pStyle w:val="Footer"/>
    </w:pPr>
    <w:r>
      <w:rPr>
        <w:color w:val="64748B"/>
        <w:sz w:val="14"/>
      </w:rPr>
      <w:t>Coherent Quadrant · Global Trade Finance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122E45">
      <w:pPr>
        <w:spacing w:after="0" w:line="240" w:lineRule="auto"/>
      </w:pPr>
      <w:r>
        <w:separator/>
      </w:r>
    </w:p>
  </w:footnote>
  <w:footnote w:type="continuationSeparator" w:id="0">
    <w:p w:rsidR="00000000" w:rsidRDefault="00122E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2E45"/>
    <w:rsid w:val="0015074B"/>
    <w:rsid w:val="0029639D"/>
    <w:rsid w:val="00326F90"/>
    <w:rsid w:val="00AA1D8D"/>
    <w:rsid w:val="00B47730"/>
    <w:rsid w:val="00C508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B607D7E-0D5E-46E5-8C30-20F1E79E7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22E45"/>
    <w:pPr>
      <w:spacing w:after="100"/>
    </w:pPr>
  </w:style>
  <w:style w:type="paragraph" w:styleId="TOC2">
    <w:name w:val="toc 2"/>
    <w:basedOn w:val="Normal"/>
    <w:next w:val="Normal"/>
    <w:autoRedefine/>
    <w:uiPriority w:val="39"/>
    <w:unhideWhenUsed/>
    <w:rsid w:val="00122E45"/>
    <w:pPr>
      <w:spacing w:after="100"/>
      <w:ind w:left="190"/>
    </w:pPr>
  </w:style>
  <w:style w:type="character" w:styleId="Hyperlink">
    <w:name w:val="Hyperlink"/>
    <w:basedOn w:val="DefaultParagraphFont"/>
    <w:uiPriority w:val="99"/>
    <w:unhideWhenUsed/>
    <w:rsid w:val="00122E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2E9893-C2CC-492F-9C2D-44E634446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29363</Words>
  <Characters>167373</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2026-10-09T13:41:00Z</dcterms:modified>
  <cp:category/>
</cp:coreProperties>
</file>