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29F" w:rsidRDefault="005C3D9E">
      <w:pPr>
        <w:spacing w:after="0" w:line="240" w:lineRule="auto"/>
      </w:pPr>
      <w:bookmarkStart w:id="0" w:name="_GoBack"/>
      <w:bookmarkEnd w:id="0"/>
      <w:r>
        <w:rPr>
          <w:noProof/>
        </w:rPr>
        <w:drawing>
          <wp:inline distT="0" distB="0" distL="0" distR="0">
            <wp:extent cx="7560000" cy="106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0000" cy="10656000"/>
                    </a:xfrm>
                    <a:prstGeom prst="rect">
                      <a:avLst/>
                    </a:prstGeom>
                  </pic:spPr>
                </pic:pic>
              </a:graphicData>
            </a:graphic>
          </wp:inline>
        </w:drawing>
      </w:r>
    </w:p>
    <w:p w:rsidR="0071529F" w:rsidRDefault="0071529F">
      <w:pPr>
        <w:sectPr w:rsidR="0071529F">
          <w:footerReference w:type="default" r:id="rId9"/>
          <w:pgSz w:w="11906" w:h="16838"/>
          <w:pgMar w:top="0" w:right="0" w:bottom="0" w:left="0" w:header="0" w:footer="0" w:gutter="0"/>
          <w:cols w:space="720"/>
          <w:docGrid w:linePitch="360"/>
        </w:sectPr>
      </w:pPr>
    </w:p>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1529F">
        <w:trPr>
          <w:cantSplit/>
          <w:jc w:val="center"/>
        </w:trPr>
        <w:tc>
          <w:tcPr>
            <w:tcW w:w="10092" w:type="dxa"/>
            <w:shd w:val="clear" w:color="auto" w:fill="002857"/>
            <w:tcMar>
              <w:top w:w="600" w:type="dxa"/>
              <w:left w:w="600" w:type="dxa"/>
              <w:bottom w:w="600" w:type="dxa"/>
              <w:right w:w="600" w:type="dxa"/>
            </w:tcMar>
            <w:vAlign w:val="bottom"/>
          </w:tcPr>
          <w:p w:rsidR="0071529F" w:rsidRDefault="005C3D9E">
            <w:pPr>
              <w:spacing w:before="2400" w:after="20" w:line="240" w:lineRule="auto"/>
            </w:pPr>
            <w:r>
              <w:rPr>
                <w:b/>
                <w:color w:val="E2E8F0"/>
                <w:spacing w:val="60"/>
                <w:sz w:val="21"/>
              </w:rPr>
              <w:lastRenderedPageBreak/>
              <w:t>Coherent Quadrant</w:t>
            </w:r>
          </w:p>
          <w:p w:rsidR="0071529F" w:rsidRDefault="005C3D9E">
            <w:pPr>
              <w:pBdr>
                <w:bottom w:val="single" w:sz="24" w:space="10" w:color="52B69A"/>
              </w:pBdr>
              <w:spacing w:after="120" w:line="240" w:lineRule="auto"/>
            </w:pPr>
            <w:r>
              <w:rPr>
                <w:b/>
                <w:color w:val="FFFFFF"/>
                <w:sz w:val="52"/>
              </w:rPr>
              <w:t>Accounts Payable Automation Market</w:t>
            </w:r>
          </w:p>
          <w:p w:rsidR="0071529F" w:rsidRDefault="005C3D9E">
            <w:pPr>
              <w:spacing w:after="40" w:line="240" w:lineRule="auto"/>
            </w:pPr>
            <w:r>
              <w:rPr>
                <w:b/>
                <w:color w:val="FFFFFF"/>
                <w:sz w:val="22"/>
              </w:rPr>
              <w:t>Global</w:t>
            </w:r>
          </w:p>
          <w:p w:rsidR="0071529F" w:rsidRDefault="005C3D9E">
            <w:pPr>
              <w:spacing w:after="360" w:line="240" w:lineRule="auto"/>
            </w:pPr>
            <w:r>
              <w:rPr>
                <w:color w:val="CBD5E1"/>
                <w:sz w:val="20"/>
              </w:rPr>
              <w:t>239 Solution Provider scored on Technology Capability (X) and Business Capability (Y)</w:t>
            </w:r>
          </w:p>
        </w:tc>
      </w:tr>
    </w:tbl>
    <w:p w:rsidR="0071529F" w:rsidRDefault="0071529F">
      <w:pPr>
        <w:spacing w:after="120"/>
      </w:pPr>
    </w:p>
    <w:p w:rsidR="0071529F" w:rsidRDefault="005C3D9E">
      <w:pPr>
        <w:keepNext/>
        <w:pBdr>
          <w:bottom w:val="single" w:sz="24" w:space="6" w:color="52B69A"/>
        </w:pBdr>
        <w:spacing w:after="160"/>
      </w:pPr>
      <w:r>
        <w:rPr>
          <w:b/>
          <w:color w:val="002857"/>
          <w:sz w:val="40"/>
        </w:rPr>
        <w:t xml:space="preserve">Market </w:t>
      </w:r>
      <w:r>
        <w:rPr>
          <w:b/>
          <w:color w:val="002857"/>
          <w:sz w:val="40"/>
        </w:rPr>
        <w:t>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1529F">
        <w:trPr>
          <w:cantSplit/>
          <w:jc w:val="center"/>
        </w:trPr>
        <w:tc>
          <w:tcPr>
            <w:tcW w:w="5046" w:type="dxa"/>
            <w:gridSpan w:val="2"/>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Market</w:t>
            </w:r>
          </w:p>
          <w:p w:rsidR="0071529F" w:rsidRDefault="005C3D9E">
            <w:pPr>
              <w:spacing w:after="20" w:line="240" w:lineRule="auto"/>
            </w:pPr>
            <w:r>
              <w:t>Accounts Payable Automation Market</w:t>
            </w:r>
          </w:p>
          <w:p w:rsidR="0071529F" w:rsidRDefault="005C3D9E">
            <w:pPr>
              <w:spacing w:after="20" w:line="240" w:lineRule="auto"/>
            </w:pPr>
            <w:r>
              <w:rPr>
                <w:b/>
                <w:color w:val="0F172A"/>
                <w:sz w:val="20"/>
              </w:rPr>
              <w:t>Market Type</w:t>
            </w:r>
          </w:p>
          <w:p w:rsidR="0071529F" w:rsidRDefault="005C3D9E">
            <w:pPr>
              <w:spacing w:after="20" w:line="240" w:lineRule="auto"/>
            </w:pPr>
            <w:r>
              <w:t>Accounts Payable (AP) Automation Market refers to the market for software solutions designed to digitize, automate, and manage accounts payable workflows across the supplier invoice-to-pa</w:t>
            </w:r>
            <w:r>
              <w:t>yment lifecycle. AP automation solutions automate activities such as invoice receipt and capture, invoice data extraction, validation, coding, purchase-order matching, approval routing, exception management, payment workflow/execution, reconciliation, ERP/</w:t>
            </w:r>
            <w:r>
              <w:t>accounting-system synchronization, audit trails, and AP analytics.</w:t>
            </w:r>
          </w:p>
        </w:tc>
        <w:tc>
          <w:tcPr>
            <w:tcW w:w="5046" w:type="dxa"/>
            <w:gridSpan w:val="2"/>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Provider Categories in this Market</w:t>
            </w:r>
          </w:p>
          <w:p w:rsidR="0071529F" w:rsidRDefault="005C3D9E">
            <w:pPr>
              <w:spacing w:after="20" w:line="240" w:lineRule="auto"/>
            </w:pPr>
            <w:r>
              <w:rPr>
                <w:b/>
                <w:color w:val="0F172A"/>
              </w:rPr>
              <w:t xml:space="preserve">1. </w:t>
            </w:r>
            <w:r>
              <w:rPr>
                <w:color w:val="0F172A"/>
              </w:rPr>
              <w:t>Solution Provider</w:t>
            </w:r>
          </w:p>
          <w:p w:rsidR="0071529F" w:rsidRDefault="005C3D9E">
            <w:pPr>
              <w:spacing w:after="20" w:line="240" w:lineRule="auto"/>
            </w:pPr>
            <w:r>
              <w:rPr>
                <w:color w:val="64748B"/>
                <w:sz w:val="17"/>
              </w:rPr>
              <w:t>Solution Provider was chosen because the market is defined by software technology and digital platforms used to automate workflow tas</w:t>
            </w:r>
            <w:r>
              <w:rPr>
                <w:color w:val="64748B"/>
                <w:sz w:val="17"/>
              </w:rPr>
              <w:t>ks rather than physical goods or manual services.</w:t>
            </w:r>
          </w:p>
        </w:tc>
      </w:tr>
      <w:tr w:rsidR="0071529F">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1529F" w:rsidRDefault="005C3D9E">
            <w:pPr>
              <w:spacing w:after="20" w:line="240" w:lineRule="auto"/>
            </w:pPr>
            <w:r>
              <w:rPr>
                <w:b/>
                <w:color w:val="FFFFFF"/>
                <w:sz w:val="48"/>
              </w:rPr>
              <w:t>239</w:t>
            </w:r>
          </w:p>
          <w:p w:rsidR="0071529F" w:rsidRDefault="005C3D9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1529F" w:rsidRDefault="005C3D9E">
            <w:pPr>
              <w:spacing w:after="20" w:line="240" w:lineRule="auto"/>
            </w:pPr>
            <w:r>
              <w:rPr>
                <w:b/>
                <w:color w:val="FFFFFF"/>
                <w:sz w:val="48"/>
              </w:rPr>
              <w:t>20</w:t>
            </w:r>
          </w:p>
          <w:p w:rsidR="0071529F" w:rsidRDefault="005C3D9E">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71529F" w:rsidRDefault="005C3D9E">
            <w:pPr>
              <w:spacing w:after="20" w:line="240" w:lineRule="auto"/>
            </w:pPr>
            <w:r>
              <w:rPr>
                <w:b/>
                <w:color w:val="FFFFFF"/>
                <w:sz w:val="48"/>
              </w:rPr>
              <w:t>20</w:t>
            </w:r>
          </w:p>
          <w:p w:rsidR="0071529F" w:rsidRDefault="005C3D9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1529F" w:rsidRDefault="005C3D9E">
            <w:pPr>
              <w:spacing w:after="20" w:line="240" w:lineRule="auto"/>
            </w:pPr>
            <w:r>
              <w:rPr>
                <w:b/>
                <w:color w:val="FFFFFF"/>
                <w:sz w:val="48"/>
              </w:rPr>
              <w:t>4</w:t>
            </w:r>
          </w:p>
          <w:p w:rsidR="0071529F" w:rsidRDefault="005C3D9E">
            <w:pPr>
              <w:spacing w:after="20" w:line="240" w:lineRule="auto"/>
            </w:pPr>
            <w:r>
              <w:rPr>
                <w:color w:val="E2E8F0"/>
                <w:sz w:val="18"/>
              </w:rPr>
              <w:t>Quadrants</w:t>
            </w:r>
          </w:p>
        </w:tc>
      </w:tr>
    </w:tbl>
    <w:p w:rsidR="0071529F" w:rsidRDefault="005C3D9E">
      <w:pPr>
        <w:pageBreakBefore/>
        <w:pBdr>
          <w:bottom w:val="single" w:sz="24" w:space="6" w:color="52B69A"/>
        </w:pBdr>
        <w:spacing w:after="160"/>
      </w:pPr>
      <w:r>
        <w:rPr>
          <w:b/>
          <w:color w:val="002857"/>
          <w:sz w:val="40"/>
        </w:rPr>
        <w:lastRenderedPageBreak/>
        <w:t>Contents</w:t>
      </w:r>
    </w:p>
    <w:p w:rsidR="005C3D9E" w:rsidRDefault="005C3D9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447145" w:history="1">
        <w:r w:rsidRPr="00C85C08">
          <w:rPr>
            <w:rStyle w:val="Hyperlink"/>
            <w:noProof/>
          </w:rPr>
          <w:t>Market Scoring Parameters</w:t>
        </w:r>
        <w:r>
          <w:rPr>
            <w:noProof/>
            <w:webHidden/>
          </w:rPr>
          <w:tab/>
        </w:r>
        <w:r>
          <w:rPr>
            <w:noProof/>
            <w:webHidden/>
          </w:rPr>
          <w:fldChar w:fldCharType="begin"/>
        </w:r>
        <w:r>
          <w:rPr>
            <w:noProof/>
            <w:webHidden/>
          </w:rPr>
          <w:instrText xml:space="preserve"> PAGEREF _Toc242447145 \h </w:instrText>
        </w:r>
        <w:r>
          <w:rPr>
            <w:noProof/>
            <w:webHidden/>
          </w:rPr>
        </w:r>
        <w:r>
          <w:rPr>
            <w:noProof/>
            <w:webHidden/>
          </w:rPr>
          <w:fldChar w:fldCharType="separate"/>
        </w:r>
        <w:r>
          <w:rPr>
            <w:noProof/>
            <w:webHidden/>
          </w:rPr>
          <w:t>4</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46" w:history="1">
        <w:r w:rsidRPr="00C85C08">
          <w:rPr>
            <w:rStyle w:val="Hyperlink"/>
            <w:noProof/>
          </w:rPr>
          <w:t>Quadrant Positioning</w:t>
        </w:r>
        <w:r>
          <w:rPr>
            <w:noProof/>
            <w:webHidden/>
          </w:rPr>
          <w:tab/>
        </w:r>
        <w:r>
          <w:rPr>
            <w:noProof/>
            <w:webHidden/>
          </w:rPr>
          <w:fldChar w:fldCharType="begin"/>
        </w:r>
        <w:r>
          <w:rPr>
            <w:noProof/>
            <w:webHidden/>
          </w:rPr>
          <w:instrText xml:space="preserve"> PAGEREF _Toc242447146 \h </w:instrText>
        </w:r>
        <w:r>
          <w:rPr>
            <w:noProof/>
            <w:webHidden/>
          </w:rPr>
        </w:r>
        <w:r>
          <w:rPr>
            <w:noProof/>
            <w:webHidden/>
          </w:rPr>
          <w:fldChar w:fldCharType="separate"/>
        </w:r>
        <w:r>
          <w:rPr>
            <w:noProof/>
            <w:webHidden/>
          </w:rPr>
          <w:t>5</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47" w:history="1">
        <w:r w:rsidRPr="00C85C08">
          <w:rPr>
            <w:rStyle w:val="Hyperlink"/>
            <w:noProof/>
          </w:rPr>
          <w:t>What Each Quadrant Means</w:t>
        </w:r>
        <w:r>
          <w:rPr>
            <w:noProof/>
            <w:webHidden/>
          </w:rPr>
          <w:tab/>
        </w:r>
        <w:r>
          <w:rPr>
            <w:noProof/>
            <w:webHidden/>
          </w:rPr>
          <w:fldChar w:fldCharType="begin"/>
        </w:r>
        <w:r>
          <w:rPr>
            <w:noProof/>
            <w:webHidden/>
          </w:rPr>
          <w:instrText xml:space="preserve"> PAGEREF _Toc242447147 \h </w:instrText>
        </w:r>
        <w:r>
          <w:rPr>
            <w:noProof/>
            <w:webHidden/>
          </w:rPr>
        </w:r>
        <w:r>
          <w:rPr>
            <w:noProof/>
            <w:webHidden/>
          </w:rPr>
          <w:fldChar w:fldCharType="separate"/>
        </w:r>
        <w:r>
          <w:rPr>
            <w:noProof/>
            <w:webHidden/>
          </w:rPr>
          <w:t>6</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48" w:history="1">
        <w:r w:rsidRPr="00C85C08">
          <w:rPr>
            <w:rStyle w:val="Hyperlink"/>
            <w:noProof/>
          </w:rPr>
          <w:t>Top 20 Companies</w:t>
        </w:r>
        <w:r>
          <w:rPr>
            <w:noProof/>
            <w:webHidden/>
          </w:rPr>
          <w:tab/>
        </w:r>
        <w:r>
          <w:rPr>
            <w:noProof/>
            <w:webHidden/>
          </w:rPr>
          <w:fldChar w:fldCharType="begin"/>
        </w:r>
        <w:r>
          <w:rPr>
            <w:noProof/>
            <w:webHidden/>
          </w:rPr>
          <w:instrText xml:space="preserve"> PAGEREF _Toc242447148 \h </w:instrText>
        </w:r>
        <w:r>
          <w:rPr>
            <w:noProof/>
            <w:webHidden/>
          </w:rPr>
        </w:r>
        <w:r>
          <w:rPr>
            <w:noProof/>
            <w:webHidden/>
          </w:rPr>
          <w:fldChar w:fldCharType="separate"/>
        </w:r>
        <w:r>
          <w:rPr>
            <w:noProof/>
            <w:webHidden/>
          </w:rPr>
          <w:t>7</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49" w:history="1">
        <w:r w:rsidRPr="00C85C08">
          <w:rPr>
            <w:rStyle w:val="Hyperlink"/>
            <w:noProof/>
          </w:rPr>
          <w:t>Other Noticeable Players</w:t>
        </w:r>
        <w:r>
          <w:rPr>
            <w:noProof/>
            <w:webHidden/>
          </w:rPr>
          <w:tab/>
        </w:r>
        <w:r>
          <w:rPr>
            <w:noProof/>
            <w:webHidden/>
          </w:rPr>
          <w:fldChar w:fldCharType="begin"/>
        </w:r>
        <w:r>
          <w:rPr>
            <w:noProof/>
            <w:webHidden/>
          </w:rPr>
          <w:instrText xml:space="preserve"> PAGEREF _Toc242447149 \h </w:instrText>
        </w:r>
        <w:r>
          <w:rPr>
            <w:noProof/>
            <w:webHidden/>
          </w:rPr>
        </w:r>
        <w:r>
          <w:rPr>
            <w:noProof/>
            <w:webHidden/>
          </w:rPr>
          <w:fldChar w:fldCharType="separate"/>
        </w:r>
        <w:r>
          <w:rPr>
            <w:noProof/>
            <w:webHidden/>
          </w:rPr>
          <w:t>8</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50" w:history="1">
        <w:r w:rsidRPr="00C85C08">
          <w:rPr>
            <w:rStyle w:val="Hyperlink"/>
            <w:noProof/>
          </w:rPr>
          <w:t>Parameter Detail by Company</w:t>
        </w:r>
        <w:r>
          <w:rPr>
            <w:noProof/>
            <w:webHidden/>
          </w:rPr>
          <w:tab/>
        </w:r>
        <w:r>
          <w:rPr>
            <w:noProof/>
            <w:webHidden/>
          </w:rPr>
          <w:fldChar w:fldCharType="begin"/>
        </w:r>
        <w:r>
          <w:rPr>
            <w:noProof/>
            <w:webHidden/>
          </w:rPr>
          <w:instrText xml:space="preserve"> PAGEREF _Toc242447150 \h </w:instrText>
        </w:r>
        <w:r>
          <w:rPr>
            <w:noProof/>
            <w:webHidden/>
          </w:rPr>
        </w:r>
        <w:r>
          <w:rPr>
            <w:noProof/>
            <w:webHidden/>
          </w:rPr>
          <w:fldChar w:fldCharType="separate"/>
        </w:r>
        <w:r>
          <w:rPr>
            <w:noProof/>
            <w:webHidden/>
          </w:rPr>
          <w:t>16</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1" w:history="1">
        <w:r w:rsidRPr="00C85C08">
          <w:rPr>
            <w:rStyle w:val="Hyperlink"/>
            <w:noProof/>
          </w:rPr>
          <w:t>Basware Oy (subsidiary of Accel-KKR)</w:t>
        </w:r>
        <w:r>
          <w:rPr>
            <w:noProof/>
            <w:webHidden/>
          </w:rPr>
          <w:tab/>
        </w:r>
        <w:r>
          <w:rPr>
            <w:noProof/>
            <w:webHidden/>
          </w:rPr>
          <w:fldChar w:fldCharType="begin"/>
        </w:r>
        <w:r>
          <w:rPr>
            <w:noProof/>
            <w:webHidden/>
          </w:rPr>
          <w:instrText xml:space="preserve"> PAGEREF _Toc242447151 \h </w:instrText>
        </w:r>
        <w:r>
          <w:rPr>
            <w:noProof/>
            <w:webHidden/>
          </w:rPr>
        </w:r>
        <w:r>
          <w:rPr>
            <w:noProof/>
            <w:webHidden/>
          </w:rPr>
          <w:fldChar w:fldCharType="separate"/>
        </w:r>
        <w:r>
          <w:rPr>
            <w:noProof/>
            <w:webHidden/>
          </w:rPr>
          <w:t>16</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2" w:history="1">
        <w:r w:rsidRPr="00C85C08">
          <w:rPr>
            <w:rStyle w:val="Hyperlink"/>
            <w:noProof/>
          </w:rPr>
          <w:t>Coupa Software (subsidiary of Thoma Bravo)</w:t>
        </w:r>
        <w:r>
          <w:rPr>
            <w:noProof/>
            <w:webHidden/>
          </w:rPr>
          <w:tab/>
        </w:r>
        <w:r>
          <w:rPr>
            <w:noProof/>
            <w:webHidden/>
          </w:rPr>
          <w:fldChar w:fldCharType="begin"/>
        </w:r>
        <w:r>
          <w:rPr>
            <w:noProof/>
            <w:webHidden/>
          </w:rPr>
          <w:instrText xml:space="preserve"> PAGEREF _Toc242447152 \h </w:instrText>
        </w:r>
        <w:r>
          <w:rPr>
            <w:noProof/>
            <w:webHidden/>
          </w:rPr>
        </w:r>
        <w:r>
          <w:rPr>
            <w:noProof/>
            <w:webHidden/>
          </w:rPr>
          <w:fldChar w:fldCharType="separate"/>
        </w:r>
        <w:r>
          <w:rPr>
            <w:noProof/>
            <w:webHidden/>
          </w:rPr>
          <w:t>19</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3" w:history="1">
        <w:r w:rsidRPr="00C85C08">
          <w:rPr>
            <w:rStyle w:val="Hyperlink"/>
            <w:noProof/>
          </w:rPr>
          <w:t>Tungsten Automation Corp (subsidiary of Clearlake Capital and TA Associates)</w:t>
        </w:r>
        <w:r>
          <w:rPr>
            <w:noProof/>
            <w:webHidden/>
          </w:rPr>
          <w:tab/>
        </w:r>
        <w:r>
          <w:rPr>
            <w:noProof/>
            <w:webHidden/>
          </w:rPr>
          <w:fldChar w:fldCharType="begin"/>
        </w:r>
        <w:r>
          <w:rPr>
            <w:noProof/>
            <w:webHidden/>
          </w:rPr>
          <w:instrText xml:space="preserve"> PAGEREF _Toc242447153 \h </w:instrText>
        </w:r>
        <w:r>
          <w:rPr>
            <w:noProof/>
            <w:webHidden/>
          </w:rPr>
        </w:r>
        <w:r>
          <w:rPr>
            <w:noProof/>
            <w:webHidden/>
          </w:rPr>
          <w:fldChar w:fldCharType="separate"/>
        </w:r>
        <w:r>
          <w:rPr>
            <w:noProof/>
            <w:webHidden/>
          </w:rPr>
          <w:t>22</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4" w:history="1">
        <w:r w:rsidRPr="00C85C08">
          <w:rPr>
            <w:rStyle w:val="Hyperlink"/>
            <w:noProof/>
          </w:rPr>
          <w:t>Medius AB (subsidiary of Marlin Equity Partners)</w:t>
        </w:r>
        <w:r>
          <w:rPr>
            <w:noProof/>
            <w:webHidden/>
          </w:rPr>
          <w:tab/>
        </w:r>
        <w:r>
          <w:rPr>
            <w:noProof/>
            <w:webHidden/>
          </w:rPr>
          <w:fldChar w:fldCharType="begin"/>
        </w:r>
        <w:r>
          <w:rPr>
            <w:noProof/>
            <w:webHidden/>
          </w:rPr>
          <w:instrText xml:space="preserve"> PAGEREF _Toc242447154 \h </w:instrText>
        </w:r>
        <w:r>
          <w:rPr>
            <w:noProof/>
            <w:webHidden/>
          </w:rPr>
        </w:r>
        <w:r>
          <w:rPr>
            <w:noProof/>
            <w:webHidden/>
          </w:rPr>
          <w:fldChar w:fldCharType="separate"/>
        </w:r>
        <w:r>
          <w:rPr>
            <w:noProof/>
            <w:webHidden/>
          </w:rPr>
          <w:t>25</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5" w:history="1">
        <w:r w:rsidRPr="00C85C08">
          <w:rPr>
            <w:rStyle w:val="Hyperlink"/>
            <w:noProof/>
          </w:rPr>
          <w:t>AvidXchange, Inc. (acquired by TPG and Corpay)</w:t>
        </w:r>
        <w:r>
          <w:rPr>
            <w:noProof/>
            <w:webHidden/>
          </w:rPr>
          <w:tab/>
        </w:r>
        <w:r>
          <w:rPr>
            <w:noProof/>
            <w:webHidden/>
          </w:rPr>
          <w:fldChar w:fldCharType="begin"/>
        </w:r>
        <w:r>
          <w:rPr>
            <w:noProof/>
            <w:webHidden/>
          </w:rPr>
          <w:instrText xml:space="preserve"> PAGEREF _Toc242447155 \h </w:instrText>
        </w:r>
        <w:r>
          <w:rPr>
            <w:noProof/>
            <w:webHidden/>
          </w:rPr>
        </w:r>
        <w:r>
          <w:rPr>
            <w:noProof/>
            <w:webHidden/>
          </w:rPr>
          <w:fldChar w:fldCharType="separate"/>
        </w:r>
        <w:r>
          <w:rPr>
            <w:noProof/>
            <w:webHidden/>
          </w:rPr>
          <w:t>28</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6" w:history="1">
        <w:r w:rsidRPr="00C85C08">
          <w:rPr>
            <w:rStyle w:val="Hyperlink"/>
            <w:noProof/>
          </w:rPr>
          <w:t>Zaggle Prepaid Ocean Services Limited</w:t>
        </w:r>
        <w:r>
          <w:rPr>
            <w:noProof/>
            <w:webHidden/>
          </w:rPr>
          <w:tab/>
        </w:r>
        <w:r>
          <w:rPr>
            <w:noProof/>
            <w:webHidden/>
          </w:rPr>
          <w:fldChar w:fldCharType="begin"/>
        </w:r>
        <w:r>
          <w:rPr>
            <w:noProof/>
            <w:webHidden/>
          </w:rPr>
          <w:instrText xml:space="preserve"> PAGEREF _Toc242447156 \h </w:instrText>
        </w:r>
        <w:r>
          <w:rPr>
            <w:noProof/>
            <w:webHidden/>
          </w:rPr>
        </w:r>
        <w:r>
          <w:rPr>
            <w:noProof/>
            <w:webHidden/>
          </w:rPr>
          <w:fldChar w:fldCharType="separate"/>
        </w:r>
        <w:r>
          <w:rPr>
            <w:noProof/>
            <w:webHidden/>
          </w:rPr>
          <w:t>31</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7" w:history="1">
        <w:r w:rsidRPr="00C85C08">
          <w:rPr>
            <w:rStyle w:val="Hyperlink"/>
            <w:noProof/>
          </w:rPr>
          <w:t>Sansan, Inc.</w:t>
        </w:r>
        <w:r>
          <w:rPr>
            <w:noProof/>
            <w:webHidden/>
          </w:rPr>
          <w:tab/>
        </w:r>
        <w:r>
          <w:rPr>
            <w:noProof/>
            <w:webHidden/>
          </w:rPr>
          <w:fldChar w:fldCharType="begin"/>
        </w:r>
        <w:r>
          <w:rPr>
            <w:noProof/>
            <w:webHidden/>
          </w:rPr>
          <w:instrText xml:space="preserve"> PAGEREF _Toc242447157 \h </w:instrText>
        </w:r>
        <w:r>
          <w:rPr>
            <w:noProof/>
            <w:webHidden/>
          </w:rPr>
        </w:r>
        <w:r>
          <w:rPr>
            <w:noProof/>
            <w:webHidden/>
          </w:rPr>
          <w:fldChar w:fldCharType="separate"/>
        </w:r>
        <w:r>
          <w:rPr>
            <w:noProof/>
            <w:webHidden/>
          </w:rPr>
          <w:t>34</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8" w:history="1">
        <w:r w:rsidRPr="00C85C08">
          <w:rPr>
            <w:rStyle w:val="Hyperlink"/>
            <w:noProof/>
          </w:rPr>
          <w:t>Alii Pty Ltd</w:t>
        </w:r>
        <w:r>
          <w:rPr>
            <w:noProof/>
            <w:webHidden/>
          </w:rPr>
          <w:tab/>
        </w:r>
        <w:r>
          <w:rPr>
            <w:noProof/>
            <w:webHidden/>
          </w:rPr>
          <w:fldChar w:fldCharType="begin"/>
        </w:r>
        <w:r>
          <w:rPr>
            <w:noProof/>
            <w:webHidden/>
          </w:rPr>
          <w:instrText xml:space="preserve"> PAGEREF _Toc242447158 \h </w:instrText>
        </w:r>
        <w:r>
          <w:rPr>
            <w:noProof/>
            <w:webHidden/>
          </w:rPr>
        </w:r>
        <w:r>
          <w:rPr>
            <w:noProof/>
            <w:webHidden/>
          </w:rPr>
          <w:fldChar w:fldCharType="separate"/>
        </w:r>
        <w:r>
          <w:rPr>
            <w:noProof/>
            <w:webHidden/>
          </w:rPr>
          <w:t>37</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59" w:history="1">
        <w:r w:rsidRPr="00C85C08">
          <w:rPr>
            <w:rStyle w:val="Hyperlink"/>
            <w:noProof/>
          </w:rPr>
          <w:t>Synertrade S.A.</w:t>
        </w:r>
        <w:r>
          <w:rPr>
            <w:noProof/>
            <w:webHidden/>
          </w:rPr>
          <w:tab/>
        </w:r>
        <w:r>
          <w:rPr>
            <w:noProof/>
            <w:webHidden/>
          </w:rPr>
          <w:fldChar w:fldCharType="begin"/>
        </w:r>
        <w:r>
          <w:rPr>
            <w:noProof/>
            <w:webHidden/>
          </w:rPr>
          <w:instrText xml:space="preserve"> PAGEREF _Toc242447159 \h </w:instrText>
        </w:r>
        <w:r>
          <w:rPr>
            <w:noProof/>
            <w:webHidden/>
          </w:rPr>
        </w:r>
        <w:r>
          <w:rPr>
            <w:noProof/>
            <w:webHidden/>
          </w:rPr>
          <w:fldChar w:fldCharType="separate"/>
        </w:r>
        <w:r>
          <w:rPr>
            <w:noProof/>
            <w:webHidden/>
          </w:rPr>
          <w:t>40</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0" w:history="1">
        <w:r w:rsidRPr="00C85C08">
          <w:rPr>
            <w:rStyle w:val="Hyperlink"/>
            <w:noProof/>
          </w:rPr>
          <w:t>Supplycart Technologies Sdn. Bhd.</w:t>
        </w:r>
        <w:r>
          <w:rPr>
            <w:noProof/>
            <w:webHidden/>
          </w:rPr>
          <w:tab/>
        </w:r>
        <w:r>
          <w:rPr>
            <w:noProof/>
            <w:webHidden/>
          </w:rPr>
          <w:fldChar w:fldCharType="begin"/>
        </w:r>
        <w:r>
          <w:rPr>
            <w:noProof/>
            <w:webHidden/>
          </w:rPr>
          <w:instrText xml:space="preserve"> PAGEREF _Toc242447160 \h </w:instrText>
        </w:r>
        <w:r>
          <w:rPr>
            <w:noProof/>
            <w:webHidden/>
          </w:rPr>
        </w:r>
        <w:r>
          <w:rPr>
            <w:noProof/>
            <w:webHidden/>
          </w:rPr>
          <w:fldChar w:fldCharType="separate"/>
        </w:r>
        <w:r>
          <w:rPr>
            <w:noProof/>
            <w:webHidden/>
          </w:rPr>
          <w:t>43</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1" w:history="1">
        <w:r w:rsidRPr="00C85C08">
          <w:rPr>
            <w:rStyle w:val="Hyperlink"/>
            <w:noProof/>
          </w:rPr>
          <w:t>Tipalti Inc.</w:t>
        </w:r>
        <w:r>
          <w:rPr>
            <w:noProof/>
            <w:webHidden/>
          </w:rPr>
          <w:tab/>
        </w:r>
        <w:r>
          <w:rPr>
            <w:noProof/>
            <w:webHidden/>
          </w:rPr>
          <w:fldChar w:fldCharType="begin"/>
        </w:r>
        <w:r>
          <w:rPr>
            <w:noProof/>
            <w:webHidden/>
          </w:rPr>
          <w:instrText xml:space="preserve"> PAGEREF _Toc242447161 \h </w:instrText>
        </w:r>
        <w:r>
          <w:rPr>
            <w:noProof/>
            <w:webHidden/>
          </w:rPr>
        </w:r>
        <w:r>
          <w:rPr>
            <w:noProof/>
            <w:webHidden/>
          </w:rPr>
          <w:fldChar w:fldCharType="separate"/>
        </w:r>
        <w:r>
          <w:rPr>
            <w:noProof/>
            <w:webHidden/>
          </w:rPr>
          <w:t>46</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2" w:history="1">
        <w:r w:rsidRPr="00C85C08">
          <w:rPr>
            <w:rStyle w:val="Hyperlink"/>
            <w:noProof/>
          </w:rPr>
          <w:t>cisbox GmbH (acquired by Main Capital Partners)</w:t>
        </w:r>
        <w:r>
          <w:rPr>
            <w:noProof/>
            <w:webHidden/>
          </w:rPr>
          <w:tab/>
        </w:r>
        <w:r>
          <w:rPr>
            <w:noProof/>
            <w:webHidden/>
          </w:rPr>
          <w:fldChar w:fldCharType="begin"/>
        </w:r>
        <w:r>
          <w:rPr>
            <w:noProof/>
            <w:webHidden/>
          </w:rPr>
          <w:instrText xml:space="preserve"> PAGEREF _Toc242447162 \h </w:instrText>
        </w:r>
        <w:r>
          <w:rPr>
            <w:noProof/>
            <w:webHidden/>
          </w:rPr>
        </w:r>
        <w:r>
          <w:rPr>
            <w:noProof/>
            <w:webHidden/>
          </w:rPr>
          <w:fldChar w:fldCharType="separate"/>
        </w:r>
        <w:r>
          <w:rPr>
            <w:noProof/>
            <w:webHidden/>
          </w:rPr>
          <w:t>49</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3" w:history="1">
        <w:r w:rsidRPr="00C85C08">
          <w:rPr>
            <w:rStyle w:val="Hyperlink"/>
            <w:noProof/>
          </w:rPr>
          <w:t>Zone &amp; Co</w:t>
        </w:r>
        <w:r>
          <w:rPr>
            <w:noProof/>
            <w:webHidden/>
          </w:rPr>
          <w:tab/>
        </w:r>
        <w:r>
          <w:rPr>
            <w:noProof/>
            <w:webHidden/>
          </w:rPr>
          <w:fldChar w:fldCharType="begin"/>
        </w:r>
        <w:r>
          <w:rPr>
            <w:noProof/>
            <w:webHidden/>
          </w:rPr>
          <w:instrText xml:space="preserve"> PAGEREF _Toc242447163 \h </w:instrText>
        </w:r>
        <w:r>
          <w:rPr>
            <w:noProof/>
            <w:webHidden/>
          </w:rPr>
        </w:r>
        <w:r>
          <w:rPr>
            <w:noProof/>
            <w:webHidden/>
          </w:rPr>
          <w:fldChar w:fldCharType="separate"/>
        </w:r>
        <w:r>
          <w:rPr>
            <w:noProof/>
            <w:webHidden/>
          </w:rPr>
          <w:t>52</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4" w:history="1">
        <w:r w:rsidRPr="00C85C08">
          <w:rPr>
            <w:rStyle w:val="Hyperlink"/>
            <w:noProof/>
          </w:rPr>
          <w:t>Candis GmbH</w:t>
        </w:r>
        <w:r>
          <w:rPr>
            <w:noProof/>
            <w:webHidden/>
          </w:rPr>
          <w:tab/>
        </w:r>
        <w:r>
          <w:rPr>
            <w:noProof/>
            <w:webHidden/>
          </w:rPr>
          <w:fldChar w:fldCharType="begin"/>
        </w:r>
        <w:r>
          <w:rPr>
            <w:noProof/>
            <w:webHidden/>
          </w:rPr>
          <w:instrText xml:space="preserve"> PAGEREF _Toc242447164 \h </w:instrText>
        </w:r>
        <w:r>
          <w:rPr>
            <w:noProof/>
            <w:webHidden/>
          </w:rPr>
        </w:r>
        <w:r>
          <w:rPr>
            <w:noProof/>
            <w:webHidden/>
          </w:rPr>
          <w:fldChar w:fldCharType="separate"/>
        </w:r>
        <w:r>
          <w:rPr>
            <w:noProof/>
            <w:webHidden/>
          </w:rPr>
          <w:t>55</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5" w:history="1">
        <w:r w:rsidRPr="00C85C08">
          <w:rPr>
            <w:rStyle w:val="Hyperlink"/>
            <w:noProof/>
          </w:rPr>
          <w:t>Dooap Inc.</w:t>
        </w:r>
        <w:r>
          <w:rPr>
            <w:noProof/>
            <w:webHidden/>
          </w:rPr>
          <w:tab/>
        </w:r>
        <w:r>
          <w:rPr>
            <w:noProof/>
            <w:webHidden/>
          </w:rPr>
          <w:fldChar w:fldCharType="begin"/>
        </w:r>
        <w:r>
          <w:rPr>
            <w:noProof/>
            <w:webHidden/>
          </w:rPr>
          <w:instrText xml:space="preserve"> PAGEREF _Toc242447165 \h </w:instrText>
        </w:r>
        <w:r>
          <w:rPr>
            <w:noProof/>
            <w:webHidden/>
          </w:rPr>
        </w:r>
        <w:r>
          <w:rPr>
            <w:noProof/>
            <w:webHidden/>
          </w:rPr>
          <w:fldChar w:fldCharType="separate"/>
        </w:r>
        <w:r>
          <w:rPr>
            <w:noProof/>
            <w:webHidden/>
          </w:rPr>
          <w:t>58</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6" w:history="1">
        <w:r w:rsidRPr="00C85C08">
          <w:rPr>
            <w:rStyle w:val="Hyperlink"/>
            <w:noProof/>
          </w:rPr>
          <w:t>Traild Software LLC</w:t>
        </w:r>
        <w:r>
          <w:rPr>
            <w:noProof/>
            <w:webHidden/>
          </w:rPr>
          <w:tab/>
        </w:r>
        <w:r>
          <w:rPr>
            <w:noProof/>
            <w:webHidden/>
          </w:rPr>
          <w:fldChar w:fldCharType="begin"/>
        </w:r>
        <w:r>
          <w:rPr>
            <w:noProof/>
            <w:webHidden/>
          </w:rPr>
          <w:instrText xml:space="preserve"> PAGEREF _Toc242447166 \h </w:instrText>
        </w:r>
        <w:r>
          <w:rPr>
            <w:noProof/>
            <w:webHidden/>
          </w:rPr>
        </w:r>
        <w:r>
          <w:rPr>
            <w:noProof/>
            <w:webHidden/>
          </w:rPr>
          <w:fldChar w:fldCharType="separate"/>
        </w:r>
        <w:r>
          <w:rPr>
            <w:noProof/>
            <w:webHidden/>
          </w:rPr>
          <w:t>60</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7" w:history="1">
        <w:r w:rsidRPr="00C85C08">
          <w:rPr>
            <w:rStyle w:val="Hyperlink"/>
            <w:noProof/>
          </w:rPr>
          <w:t>Payflows</w:t>
        </w:r>
        <w:r>
          <w:rPr>
            <w:noProof/>
            <w:webHidden/>
          </w:rPr>
          <w:tab/>
        </w:r>
        <w:r>
          <w:rPr>
            <w:noProof/>
            <w:webHidden/>
          </w:rPr>
          <w:fldChar w:fldCharType="begin"/>
        </w:r>
        <w:r>
          <w:rPr>
            <w:noProof/>
            <w:webHidden/>
          </w:rPr>
          <w:instrText xml:space="preserve"> PAGEREF _Toc242447167 \h </w:instrText>
        </w:r>
        <w:r>
          <w:rPr>
            <w:noProof/>
            <w:webHidden/>
          </w:rPr>
        </w:r>
        <w:r>
          <w:rPr>
            <w:noProof/>
            <w:webHidden/>
          </w:rPr>
          <w:fldChar w:fldCharType="separate"/>
        </w:r>
        <w:r>
          <w:rPr>
            <w:noProof/>
            <w:webHidden/>
          </w:rPr>
          <w:t>63</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8" w:history="1">
        <w:r w:rsidRPr="00C85C08">
          <w:rPr>
            <w:rStyle w:val="Hyperlink"/>
            <w:noProof/>
          </w:rPr>
          <w:t>Peakflo</w:t>
        </w:r>
        <w:r>
          <w:rPr>
            <w:noProof/>
            <w:webHidden/>
          </w:rPr>
          <w:tab/>
        </w:r>
        <w:r>
          <w:rPr>
            <w:noProof/>
            <w:webHidden/>
          </w:rPr>
          <w:fldChar w:fldCharType="begin"/>
        </w:r>
        <w:r>
          <w:rPr>
            <w:noProof/>
            <w:webHidden/>
          </w:rPr>
          <w:instrText xml:space="preserve"> PAGEREF _Toc242447168 \h </w:instrText>
        </w:r>
        <w:r>
          <w:rPr>
            <w:noProof/>
            <w:webHidden/>
          </w:rPr>
        </w:r>
        <w:r>
          <w:rPr>
            <w:noProof/>
            <w:webHidden/>
          </w:rPr>
          <w:fldChar w:fldCharType="separate"/>
        </w:r>
        <w:r>
          <w:rPr>
            <w:noProof/>
            <w:webHidden/>
          </w:rPr>
          <w:t>65</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69" w:history="1">
        <w:r w:rsidRPr="00C85C08">
          <w:rPr>
            <w:rStyle w:val="Hyperlink"/>
            <w:noProof/>
          </w:rPr>
          <w:t>Digipharmacie (acquired by Equasens)</w:t>
        </w:r>
        <w:r>
          <w:rPr>
            <w:noProof/>
            <w:webHidden/>
          </w:rPr>
          <w:tab/>
        </w:r>
        <w:r>
          <w:rPr>
            <w:noProof/>
            <w:webHidden/>
          </w:rPr>
          <w:fldChar w:fldCharType="begin"/>
        </w:r>
        <w:r>
          <w:rPr>
            <w:noProof/>
            <w:webHidden/>
          </w:rPr>
          <w:instrText xml:space="preserve"> PAGEREF _Toc242447169 \h </w:instrText>
        </w:r>
        <w:r>
          <w:rPr>
            <w:noProof/>
            <w:webHidden/>
          </w:rPr>
        </w:r>
        <w:r>
          <w:rPr>
            <w:noProof/>
            <w:webHidden/>
          </w:rPr>
          <w:fldChar w:fldCharType="separate"/>
        </w:r>
        <w:r>
          <w:rPr>
            <w:noProof/>
            <w:webHidden/>
          </w:rPr>
          <w:t>68</w:t>
        </w:r>
        <w:r>
          <w:rPr>
            <w:noProof/>
            <w:webHidden/>
          </w:rPr>
          <w:fldChar w:fldCharType="end"/>
        </w:r>
      </w:hyperlink>
    </w:p>
    <w:p w:rsidR="005C3D9E" w:rsidRDefault="005C3D9E">
      <w:pPr>
        <w:pStyle w:val="TOC2"/>
        <w:tabs>
          <w:tab w:val="right" w:leader="dot" w:pos="10082"/>
        </w:tabs>
        <w:rPr>
          <w:rFonts w:asciiTheme="minorHAnsi" w:eastAsiaTheme="minorEastAsia" w:hAnsiTheme="minorHAnsi"/>
          <w:noProof/>
          <w:color w:val="auto"/>
          <w:sz w:val="22"/>
        </w:rPr>
      </w:pPr>
      <w:hyperlink w:anchor="_Toc242447170" w:history="1">
        <w:r w:rsidRPr="00C85C08">
          <w:rPr>
            <w:rStyle w:val="Hyperlink"/>
            <w:noProof/>
          </w:rPr>
          <w:t>Klak Limited</w:t>
        </w:r>
        <w:r>
          <w:rPr>
            <w:noProof/>
            <w:webHidden/>
          </w:rPr>
          <w:tab/>
        </w:r>
        <w:r>
          <w:rPr>
            <w:noProof/>
            <w:webHidden/>
          </w:rPr>
          <w:fldChar w:fldCharType="begin"/>
        </w:r>
        <w:r>
          <w:rPr>
            <w:noProof/>
            <w:webHidden/>
          </w:rPr>
          <w:instrText xml:space="preserve"> PAGEREF _Toc242447170 \h </w:instrText>
        </w:r>
        <w:r>
          <w:rPr>
            <w:noProof/>
            <w:webHidden/>
          </w:rPr>
        </w:r>
        <w:r>
          <w:rPr>
            <w:noProof/>
            <w:webHidden/>
          </w:rPr>
          <w:fldChar w:fldCharType="separate"/>
        </w:r>
        <w:r>
          <w:rPr>
            <w:noProof/>
            <w:webHidden/>
          </w:rPr>
          <w:t>70</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71" w:history="1">
        <w:r w:rsidRPr="00C85C08">
          <w:rPr>
            <w:rStyle w:val="Hyperlink"/>
            <w:noProof/>
          </w:rPr>
          <w:t>Parameter Definitions</w:t>
        </w:r>
        <w:r>
          <w:rPr>
            <w:noProof/>
            <w:webHidden/>
          </w:rPr>
          <w:tab/>
        </w:r>
        <w:r>
          <w:rPr>
            <w:noProof/>
            <w:webHidden/>
          </w:rPr>
          <w:fldChar w:fldCharType="begin"/>
        </w:r>
        <w:r>
          <w:rPr>
            <w:noProof/>
            <w:webHidden/>
          </w:rPr>
          <w:instrText xml:space="preserve"> PAGEREF _Toc242447171 \h </w:instrText>
        </w:r>
        <w:r>
          <w:rPr>
            <w:noProof/>
            <w:webHidden/>
          </w:rPr>
        </w:r>
        <w:r>
          <w:rPr>
            <w:noProof/>
            <w:webHidden/>
          </w:rPr>
          <w:fldChar w:fldCharType="separate"/>
        </w:r>
        <w:r>
          <w:rPr>
            <w:noProof/>
            <w:webHidden/>
          </w:rPr>
          <w:t>72</w:t>
        </w:r>
        <w:r>
          <w:rPr>
            <w:noProof/>
            <w:webHidden/>
          </w:rPr>
          <w:fldChar w:fldCharType="end"/>
        </w:r>
      </w:hyperlink>
    </w:p>
    <w:p w:rsidR="005C3D9E" w:rsidRDefault="005C3D9E">
      <w:pPr>
        <w:pStyle w:val="TOC1"/>
        <w:tabs>
          <w:tab w:val="right" w:leader="dot" w:pos="10082"/>
        </w:tabs>
        <w:rPr>
          <w:rFonts w:asciiTheme="minorHAnsi" w:eastAsiaTheme="minorEastAsia" w:hAnsiTheme="minorHAnsi"/>
          <w:noProof/>
          <w:color w:val="auto"/>
          <w:sz w:val="22"/>
        </w:rPr>
      </w:pPr>
      <w:hyperlink w:anchor="_Toc242447172" w:history="1">
        <w:r w:rsidRPr="00C85C08">
          <w:rPr>
            <w:rStyle w:val="Hyperlink"/>
            <w:noProof/>
          </w:rPr>
          <w:t>Research Methodology</w:t>
        </w:r>
        <w:r>
          <w:rPr>
            <w:noProof/>
            <w:webHidden/>
          </w:rPr>
          <w:tab/>
        </w:r>
        <w:r>
          <w:rPr>
            <w:noProof/>
            <w:webHidden/>
          </w:rPr>
          <w:fldChar w:fldCharType="begin"/>
        </w:r>
        <w:r>
          <w:rPr>
            <w:noProof/>
            <w:webHidden/>
          </w:rPr>
          <w:instrText xml:space="preserve"> PAGEREF _Toc242447172 \h </w:instrText>
        </w:r>
        <w:r>
          <w:rPr>
            <w:noProof/>
            <w:webHidden/>
          </w:rPr>
        </w:r>
        <w:r>
          <w:rPr>
            <w:noProof/>
            <w:webHidden/>
          </w:rPr>
          <w:fldChar w:fldCharType="separate"/>
        </w:r>
        <w:r>
          <w:rPr>
            <w:noProof/>
            <w:webHidden/>
          </w:rPr>
          <w:t>73</w:t>
        </w:r>
        <w:r>
          <w:rPr>
            <w:noProof/>
            <w:webHidden/>
          </w:rPr>
          <w:fldChar w:fldCharType="end"/>
        </w:r>
      </w:hyperlink>
    </w:p>
    <w:p w:rsidR="0071529F" w:rsidRDefault="005C3D9E">
      <w:r>
        <w:fldChar w:fldCharType="end"/>
      </w:r>
    </w:p>
    <w:p w:rsidR="0071529F" w:rsidRDefault="005C3D9E">
      <w:pPr>
        <w:pStyle w:val="Heading1"/>
        <w:pageBreakBefore/>
        <w:pBdr>
          <w:bottom w:val="single" w:sz="24" w:space="6" w:color="52B69A"/>
        </w:pBdr>
      </w:pPr>
      <w:bookmarkStart w:id="1" w:name="_Toc24244714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1529F">
        <w:trPr>
          <w:cantSplit/>
          <w:jc w:val="center"/>
        </w:trPr>
        <w:tc>
          <w:tcPr>
            <w:tcW w:w="5046"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X — Technology Capability</w:t>
            </w:r>
          </w:p>
          <w:p w:rsidR="0071529F" w:rsidRDefault="005C3D9E">
            <w:pPr>
              <w:spacing w:after="20" w:line="240" w:lineRule="auto"/>
            </w:pPr>
            <w:r>
              <w:rPr>
                <w:b/>
                <w:color w:val="0F172A"/>
              </w:rPr>
              <w:t xml:space="preserve">1. </w:t>
            </w:r>
            <w:r>
              <w:rPr>
                <w:color w:val="0F172A"/>
              </w:rPr>
              <w:t>Invoice Capture &amp;</w:t>
            </w:r>
            <w:r>
              <w:rPr>
                <w:color w:val="0F172A"/>
              </w:rPr>
              <w:t xml:space="preserve"> Data Extraction Accuracy</w:t>
            </w:r>
          </w:p>
          <w:p w:rsidR="0071529F" w:rsidRDefault="005C3D9E">
            <w:pPr>
              <w:spacing w:after="20" w:line="240" w:lineRule="auto"/>
            </w:pPr>
            <w:r>
              <w:rPr>
                <w:b/>
                <w:color w:val="0F172A"/>
              </w:rPr>
              <w:t xml:space="preserve">2. </w:t>
            </w:r>
            <w:r>
              <w:rPr>
                <w:color w:val="0F172A"/>
              </w:rPr>
              <w:t>Workflow Automation &amp; Approval Routing</w:t>
            </w:r>
          </w:p>
          <w:p w:rsidR="0071529F" w:rsidRDefault="005C3D9E">
            <w:pPr>
              <w:spacing w:after="20" w:line="240" w:lineRule="auto"/>
            </w:pPr>
            <w:r>
              <w:rPr>
                <w:b/>
                <w:color w:val="0F172A"/>
              </w:rPr>
              <w:t xml:space="preserve">3. </w:t>
            </w:r>
            <w:r>
              <w:rPr>
                <w:color w:val="0F172A"/>
              </w:rPr>
              <w:t>ERP &amp; Accounting System Integration</w:t>
            </w:r>
          </w:p>
          <w:p w:rsidR="0071529F" w:rsidRDefault="005C3D9E">
            <w:pPr>
              <w:spacing w:after="20" w:line="240" w:lineRule="auto"/>
            </w:pPr>
            <w:r>
              <w:rPr>
                <w:b/>
                <w:color w:val="0F172A"/>
              </w:rPr>
              <w:t xml:space="preserve">4. </w:t>
            </w:r>
            <w:r>
              <w:rPr>
                <w:color w:val="0F172A"/>
              </w:rPr>
              <w:t>AI/ML &amp; Fraud Detection Capabilities</w:t>
            </w:r>
          </w:p>
          <w:p w:rsidR="0071529F" w:rsidRDefault="005C3D9E">
            <w:pPr>
              <w:spacing w:after="20" w:line="240" w:lineRule="auto"/>
            </w:pPr>
            <w:r>
              <w:rPr>
                <w:b/>
                <w:color w:val="0F172A"/>
              </w:rPr>
              <w:t xml:space="preserve">5. </w:t>
            </w:r>
            <w:r>
              <w:rPr>
                <w:color w:val="0F172A"/>
              </w:rPr>
              <w:t>Scalability &amp; Global Compliance Support</w:t>
            </w:r>
          </w:p>
        </w:tc>
        <w:tc>
          <w:tcPr>
            <w:tcW w:w="5046"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Y — Business Capability</w:t>
            </w:r>
          </w:p>
          <w:p w:rsidR="0071529F" w:rsidRDefault="005C3D9E">
            <w:pPr>
              <w:spacing w:after="20" w:line="240" w:lineRule="auto"/>
            </w:pPr>
            <w:r>
              <w:rPr>
                <w:b/>
                <w:color w:val="0F172A"/>
              </w:rPr>
              <w:t xml:space="preserve">1. </w:t>
            </w:r>
            <w:r>
              <w:rPr>
                <w:color w:val="0F172A"/>
              </w:rPr>
              <w:t>Customer Base &amp; Contract Wins</w:t>
            </w:r>
          </w:p>
          <w:p w:rsidR="0071529F" w:rsidRDefault="005C3D9E">
            <w:pPr>
              <w:spacing w:after="20" w:line="240" w:lineRule="auto"/>
            </w:pPr>
            <w:r>
              <w:rPr>
                <w:b/>
                <w:color w:val="0F172A"/>
              </w:rPr>
              <w:t xml:space="preserve">2. </w:t>
            </w:r>
            <w:r>
              <w:rPr>
                <w:color w:val="0F172A"/>
              </w:rPr>
              <w:t>Revenu</w:t>
            </w:r>
            <w:r>
              <w:rPr>
                <w:color w:val="0F172A"/>
              </w:rPr>
              <w:t>e Growth &amp; Financial Health</w:t>
            </w:r>
          </w:p>
          <w:p w:rsidR="0071529F" w:rsidRDefault="005C3D9E">
            <w:pPr>
              <w:spacing w:after="20" w:line="240" w:lineRule="auto"/>
            </w:pPr>
            <w:r>
              <w:rPr>
                <w:b/>
                <w:color w:val="0F172A"/>
              </w:rPr>
              <w:t xml:space="preserve">3. </w:t>
            </w:r>
            <w:r>
              <w:rPr>
                <w:color w:val="0F172A"/>
              </w:rPr>
              <w:t>Geographic Coverage &amp; Partner Network</w:t>
            </w:r>
          </w:p>
          <w:p w:rsidR="0071529F" w:rsidRDefault="005C3D9E">
            <w:pPr>
              <w:spacing w:after="20" w:line="240" w:lineRule="auto"/>
            </w:pPr>
            <w:r>
              <w:rPr>
                <w:b/>
                <w:color w:val="0F172A"/>
              </w:rPr>
              <w:t xml:space="preserve">4. </w:t>
            </w:r>
            <w:r>
              <w:rPr>
                <w:color w:val="0F172A"/>
              </w:rPr>
              <w:t>Market Share &amp; Competitive Positioning</w:t>
            </w:r>
          </w:p>
          <w:p w:rsidR="0071529F" w:rsidRDefault="005C3D9E">
            <w:pPr>
              <w:spacing w:after="20" w:line="240" w:lineRule="auto"/>
            </w:pPr>
            <w:r>
              <w:rPr>
                <w:b/>
                <w:color w:val="0F172A"/>
              </w:rPr>
              <w:t xml:space="preserve">5. </w:t>
            </w:r>
            <w:r>
              <w:rPr>
                <w:color w:val="0F172A"/>
              </w:rPr>
              <w:t>Funding &amp; Strategic Investments</w:t>
            </w:r>
          </w:p>
        </w:tc>
      </w:tr>
    </w:tbl>
    <w:p w:rsidR="0071529F" w:rsidRDefault="005C3D9E">
      <w:pPr>
        <w:pStyle w:val="Heading1"/>
        <w:pageBreakBefore/>
        <w:pBdr>
          <w:bottom w:val="single" w:sz="24" w:space="6" w:color="52B69A"/>
        </w:pBdr>
      </w:pPr>
      <w:bookmarkStart w:id="2" w:name="_Toc242447146"/>
      <w:r>
        <w:lastRenderedPageBreak/>
        <w:t>Quadrant Positioning</w:t>
      </w:r>
      <w:bookmarkEnd w:id="2"/>
    </w:p>
    <w:p w:rsidR="0071529F" w:rsidRDefault="005C3D9E">
      <w:pPr>
        <w:spacing w:after="200"/>
      </w:pPr>
      <w:r>
        <w:rPr>
          <w:color w:val="64748B"/>
        </w:rPr>
        <w:t>(20 on chart · 239 in total)</w:t>
      </w:r>
    </w:p>
    <w:p w:rsidR="0071529F" w:rsidRDefault="005C3D9E">
      <w:pPr>
        <w:spacing w:after="120"/>
        <w:jc w:val="center"/>
      </w:pPr>
      <w:r>
        <w:rPr>
          <w:noProof/>
        </w:rPr>
        <w:drawing>
          <wp:inline distT="0" distB="0" distL="0" distR="0">
            <wp:extent cx="6408420" cy="6733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08420" cy="6733848"/>
                    </a:xfrm>
                    <a:prstGeom prst="rect">
                      <a:avLst/>
                    </a:prstGeom>
                  </pic:spPr>
                </pic:pic>
              </a:graphicData>
            </a:graphic>
          </wp:inline>
        </w:drawing>
      </w:r>
    </w:p>
    <w:p w:rsidR="0071529F" w:rsidRDefault="005C3D9E">
      <w:pPr>
        <w:spacing w:after="20"/>
      </w:pPr>
      <w:r>
        <w:rPr>
          <w:b/>
          <w:sz w:val="18"/>
        </w:rPr>
        <w:t>Countries on chart (by quadrant)</w:t>
      </w:r>
    </w:p>
    <w:p w:rsidR="0071529F" w:rsidRDefault="005C3D9E">
      <w:r>
        <w:rPr>
          <w:sz w:val="18"/>
        </w:rPr>
        <w:t xml:space="preserve">Leaders: Finland×1, </w:t>
      </w:r>
      <w:r>
        <w:rPr>
          <w:sz w:val="18"/>
        </w:rPr>
        <w:t>United States×3, Sweden×1 · Challengers: India×1, Japan×1, Australia×1, France×1, Malaysia×1 · Trailblazers: United States×3, Germany×2 · Evolving Players: United States×1, France×2, Singapore×1, Nigeria×1</w:t>
      </w:r>
    </w:p>
    <w:p w:rsidR="0071529F" w:rsidRDefault="005C3D9E">
      <w:pPr>
        <w:pStyle w:val="Heading1"/>
        <w:pageBreakBefore/>
        <w:pBdr>
          <w:bottom w:val="single" w:sz="24" w:space="6" w:color="52B69A"/>
        </w:pBdr>
      </w:pPr>
      <w:bookmarkStart w:id="3" w:name="_Toc24244714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16"/>
              </w:rPr>
              <w:t>Leaders</w:t>
            </w:r>
            <w:r>
              <w:rPr>
                <w:b/>
                <w:color w:val="0F172A"/>
                <w:sz w:val="22"/>
              </w:rPr>
              <w:t xml:space="preserve">   Integrated Mark</w:t>
            </w:r>
            <w:r>
              <w:rPr>
                <w:b/>
                <w:color w:val="0F172A"/>
                <w:sz w:val="22"/>
              </w:rPr>
              <w:t>et Leaders</w:t>
            </w:r>
          </w:p>
          <w:p w:rsidR="0071529F" w:rsidRDefault="005C3D9E">
            <w:pPr>
              <w:spacing w:after="20" w:line="240" w:lineRule="auto"/>
            </w:pPr>
            <w:r>
              <w:rPr>
                <w:color w:val="64748B"/>
                <w:sz w:val="17"/>
              </w:rPr>
              <w:t>Best-in-class Technology Capability, Best-in-class Business Capability</w:t>
            </w:r>
          </w:p>
          <w:p w:rsidR="0071529F" w:rsidRDefault="005C3D9E">
            <w:pPr>
              <w:spacing w:after="20" w:line="240" w:lineRule="auto"/>
            </w:pPr>
            <w:r>
              <w:t>Companies demonstrating strong technology capabilities and robust business execution. They combine mature and differentiated offerings with established market presence, custo</w:t>
            </w:r>
            <w:r>
              <w:t>mer reach, commercial scale, and effective growth strategies, positioning them strongly for sustained market leadership.</w:t>
            </w:r>
          </w:p>
        </w:tc>
      </w:tr>
    </w:tbl>
    <w:p w:rsidR="0071529F" w:rsidRDefault="007152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16"/>
              </w:rPr>
              <w:t>Challengers</w:t>
            </w:r>
            <w:r>
              <w:rPr>
                <w:b/>
                <w:color w:val="0F172A"/>
                <w:sz w:val="22"/>
              </w:rPr>
              <w:t xml:space="preserve">   Scale-Driven Challengers</w:t>
            </w:r>
          </w:p>
          <w:p w:rsidR="0071529F" w:rsidRDefault="005C3D9E">
            <w:pPr>
              <w:spacing w:after="20" w:line="240" w:lineRule="auto"/>
            </w:pPr>
            <w:r>
              <w:rPr>
                <w:color w:val="64748B"/>
                <w:sz w:val="17"/>
              </w:rPr>
              <w:t>Emerging Technology Capability, Best-in-class Business Capability</w:t>
            </w:r>
          </w:p>
          <w:p w:rsidR="0071529F" w:rsidRDefault="005C3D9E">
            <w:pPr>
              <w:spacing w:after="20" w:line="240" w:lineRule="auto"/>
            </w:pPr>
            <w:r>
              <w:t xml:space="preserve">Companies with strong </w:t>
            </w:r>
            <w:r>
              <w:t>business presence and commercial capabilities, supported by established customer relationships, market reach, channels, or brand strength. However, their technology portfolio may have relatively lower differentiation, breadth, maturity, or innovation compa</w:t>
            </w:r>
            <w:r>
              <w:t>red with leading participants.</w:t>
            </w:r>
          </w:p>
        </w:tc>
      </w:tr>
    </w:tbl>
    <w:p w:rsidR="0071529F" w:rsidRDefault="007152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16"/>
              </w:rPr>
              <w:t>Trailblazers</w:t>
            </w:r>
            <w:r>
              <w:rPr>
                <w:b/>
                <w:color w:val="0F172A"/>
                <w:sz w:val="22"/>
              </w:rPr>
              <w:t xml:space="preserve">   Innovation-Driven Trailblazers</w:t>
            </w:r>
          </w:p>
          <w:p w:rsidR="0071529F" w:rsidRDefault="005C3D9E">
            <w:pPr>
              <w:spacing w:after="20" w:line="240" w:lineRule="auto"/>
            </w:pPr>
            <w:r>
              <w:rPr>
                <w:color w:val="64748B"/>
                <w:sz w:val="17"/>
              </w:rPr>
              <w:t>Best-in-class Technology Capability, Emerging Business Capability</w:t>
            </w:r>
          </w:p>
          <w:p w:rsidR="0071529F" w:rsidRDefault="005C3D9E">
            <w:pPr>
              <w:spacing w:after="20" w:line="240" w:lineRule="auto"/>
            </w:pPr>
            <w:r>
              <w:t>Companies demonstrating strong technology capabilities, innovation, or differentiated offerings, but with compa</w:t>
            </w:r>
            <w:r>
              <w:t>ratively lower business scale or market penetration. Their growth potential depends on strengthening commercial execution, customer reach, partnerships, geographic presence, and overall market visibility.</w:t>
            </w:r>
          </w:p>
        </w:tc>
      </w:tr>
    </w:tbl>
    <w:p w:rsidR="0071529F" w:rsidRDefault="007152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16"/>
              </w:rPr>
              <w:t>Emerging Players</w:t>
            </w:r>
            <w:r>
              <w:rPr>
                <w:b/>
                <w:color w:val="0F172A"/>
                <w:sz w:val="22"/>
              </w:rPr>
              <w:t xml:space="preserve">   Foundation-Building Evolving</w:t>
            </w:r>
          </w:p>
          <w:p w:rsidR="0071529F" w:rsidRDefault="005C3D9E">
            <w:pPr>
              <w:spacing w:after="20" w:line="240" w:lineRule="auto"/>
            </w:pPr>
            <w:r>
              <w:rPr>
                <w:color w:val="64748B"/>
                <w:sz w:val="17"/>
              </w:rPr>
              <w:t>E</w:t>
            </w:r>
            <w:r>
              <w:rPr>
                <w:color w:val="64748B"/>
                <w:sz w:val="17"/>
              </w:rPr>
              <w:t>merging Technology Capability, Emerging Business Capability</w:t>
            </w:r>
          </w:p>
          <w:p w:rsidR="0071529F" w:rsidRDefault="005C3D9E">
            <w:pPr>
              <w:spacing w:after="20" w:line="240" w:lineRule="auto"/>
            </w:pPr>
            <w:r>
              <w:t>Companies with developing technology capabilities and relatively limited business presence. These participants may be at an earlier stage of market development, serve focused segments or geographi</w:t>
            </w:r>
            <w:r>
              <w:t>es, and have opportunities to strengthen both their technology proposition and commercial footprint.</w:t>
            </w:r>
          </w:p>
        </w:tc>
      </w:tr>
    </w:tbl>
    <w:p w:rsidR="0071529F" w:rsidRDefault="0071529F"/>
    <w:p w:rsidR="0071529F" w:rsidRDefault="005C3D9E">
      <w:pPr>
        <w:pStyle w:val="Heading1"/>
        <w:pageBreakBefore/>
        <w:pBdr>
          <w:bottom w:val="single" w:sz="24" w:space="6" w:color="52B69A"/>
        </w:pBdr>
      </w:pPr>
      <w:bookmarkStart w:id="4" w:name="_Toc242447148"/>
      <w:r>
        <w:lastRenderedPageBreak/>
        <w:t>Top 20 Companies</w:t>
      </w:r>
      <w:bookmarkEnd w:id="4"/>
    </w:p>
    <w:p w:rsidR="0071529F" w:rsidRDefault="005C3D9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1529F">
        <w:trPr>
          <w:cantSplit/>
          <w:tblHeader/>
          <w:jc w:val="center"/>
        </w:trPr>
        <w:tc>
          <w:tcPr>
            <w:tcW w:w="1565"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 xml:space="preserve">OVERALL </w:t>
            </w:r>
            <w:r>
              <w:rPr>
                <w:b/>
                <w:color w:val="FFFFFF"/>
                <w:sz w:val="13"/>
              </w:rPr>
              <w:t>SCORE</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Basware</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Basware Oy (subsidiary of Accel-KKR)</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Espoo, Finland</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94</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Coupa</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Coupa Software (subsidiary of Thoma Bravo)</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San Mateo, California, USA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93</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Tungsten AP Agility</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Tungsten </w:t>
            </w:r>
            <w:r>
              <w:rPr>
                <w:sz w:val="16"/>
              </w:rPr>
              <w:t>Automation Corp (subsidiary of Clearlake Capital and TA Associates)</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Irvine, California, USA</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91</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Medius</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Medius AB (subsidiary of Marlin Equity Partners)</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Linköping, Sweden</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90</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AvidXchange</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AvidXchange, Inc. (acquired by TPG and Corpay)</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Charlotte, North Carolina, USA</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89</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Zaggle Zoyer</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Zaggle Prepaid Ocean Services Limited</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82</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Bill One</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Sansan, Inc.</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Tokyo, </w:t>
            </w:r>
            <w:r>
              <w:rPr>
                <w:sz w:val="16"/>
              </w:rPr>
              <w:t>Japan</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80</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Alii</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Alii Pty Ltd</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Brisbane, Queensland, Australia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80</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Synertrade 5</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Synertrade S.A.</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Puteaux, France</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79</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ADAM</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Supplycart Technologies </w:t>
            </w:r>
            <w:r>
              <w:rPr>
                <w:sz w:val="16"/>
              </w:rPr>
              <w:t>Sdn. Bhd.</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Kuala Lumpur, Malaysia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75</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Tipalti</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Tipalti Inc.</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Foster City, California, USA</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90</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cisbox</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cisbox GmbH (acquired by Main Capital Partners)</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Solingen, Germany</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84</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ZoneCapture</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Zone &amp; Co</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Boston, Massachusetts, USA</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81</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Candis</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Candis GmbH</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Berlin, Germany</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81</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Dooap</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Dooap Inc.</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Austin, Texas, USA</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78</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Traild</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Traild Software LLC</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Denver, Colorado, USA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78</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Payflows</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Payflows</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78</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Peakflo</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Peakflo</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Singapore, Singapore</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77</w:t>
            </w:r>
          </w:p>
        </w:tc>
      </w:tr>
      <w:tr w:rsidR="0071529F">
        <w:trPr>
          <w:cantSplit/>
          <w:jc w:val="center"/>
        </w:trPr>
        <w:tc>
          <w:tcPr>
            <w:tcW w:w="1565" w:type="dxa"/>
            <w:shd w:val="clear" w:color="auto" w:fill="FFFFFF"/>
            <w:tcMar>
              <w:top w:w="45" w:type="dxa"/>
              <w:left w:w="45" w:type="dxa"/>
              <w:bottom w:w="45" w:type="dxa"/>
              <w:right w:w="45" w:type="dxa"/>
            </w:tcMar>
          </w:tcPr>
          <w:p w:rsidR="0071529F" w:rsidRDefault="005C3D9E">
            <w:pPr>
              <w:spacing w:after="20" w:line="240" w:lineRule="auto"/>
            </w:pPr>
            <w:r>
              <w:rPr>
                <w:sz w:val="16"/>
              </w:rPr>
              <w:t>Digipharmacie</w:t>
            </w:r>
          </w:p>
        </w:tc>
        <w:tc>
          <w:tcPr>
            <w:tcW w:w="1721" w:type="dxa"/>
            <w:shd w:val="clear" w:color="auto" w:fill="FFFFFF"/>
            <w:tcMar>
              <w:top w:w="45" w:type="dxa"/>
              <w:left w:w="45" w:type="dxa"/>
              <w:bottom w:w="45" w:type="dxa"/>
              <w:right w:w="45" w:type="dxa"/>
            </w:tcMar>
          </w:tcPr>
          <w:p w:rsidR="0071529F" w:rsidRDefault="005C3D9E">
            <w:pPr>
              <w:spacing w:after="20" w:line="240" w:lineRule="auto"/>
            </w:pPr>
            <w:r>
              <w:rPr>
                <w:sz w:val="16"/>
              </w:rPr>
              <w:t>Digipharmacie (acquired by Equasens)</w:t>
            </w:r>
          </w:p>
        </w:tc>
        <w:tc>
          <w:tcPr>
            <w:tcW w:w="1330"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939"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68</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1529F" w:rsidRDefault="005C3D9E">
            <w:pPr>
              <w:spacing w:after="20" w:line="240" w:lineRule="auto"/>
            </w:pPr>
            <w:r>
              <w:rPr>
                <w:b/>
                <w:color w:val="1E3A8A"/>
                <w:sz w:val="18"/>
              </w:rPr>
              <w:t>72</w:t>
            </w:r>
          </w:p>
        </w:tc>
      </w:tr>
      <w:tr w:rsidR="0071529F">
        <w:trPr>
          <w:cantSplit/>
          <w:jc w:val="center"/>
        </w:trPr>
        <w:tc>
          <w:tcPr>
            <w:tcW w:w="1565" w:type="dxa"/>
            <w:shd w:val="clear" w:color="auto" w:fill="F8FAFC"/>
            <w:tcMar>
              <w:top w:w="45" w:type="dxa"/>
              <w:left w:w="45" w:type="dxa"/>
              <w:bottom w:w="45" w:type="dxa"/>
              <w:right w:w="45" w:type="dxa"/>
            </w:tcMar>
          </w:tcPr>
          <w:p w:rsidR="0071529F" w:rsidRDefault="005C3D9E">
            <w:pPr>
              <w:spacing w:after="20" w:line="240" w:lineRule="auto"/>
            </w:pPr>
            <w:r>
              <w:rPr>
                <w:sz w:val="16"/>
              </w:rPr>
              <w:t>Klak</w:t>
            </w:r>
          </w:p>
        </w:tc>
        <w:tc>
          <w:tcPr>
            <w:tcW w:w="1721" w:type="dxa"/>
            <w:shd w:val="clear" w:color="auto" w:fill="F8FAFC"/>
            <w:tcMar>
              <w:top w:w="45" w:type="dxa"/>
              <w:left w:w="45" w:type="dxa"/>
              <w:bottom w:w="45" w:type="dxa"/>
              <w:right w:w="45" w:type="dxa"/>
            </w:tcMar>
          </w:tcPr>
          <w:p w:rsidR="0071529F" w:rsidRDefault="005C3D9E">
            <w:pPr>
              <w:spacing w:after="20" w:line="240" w:lineRule="auto"/>
            </w:pPr>
            <w:r>
              <w:rPr>
                <w:sz w:val="16"/>
              </w:rPr>
              <w:t>Klak Limited</w:t>
            </w:r>
          </w:p>
        </w:tc>
        <w:tc>
          <w:tcPr>
            <w:tcW w:w="1330" w:type="dxa"/>
            <w:shd w:val="clear" w:color="auto" w:fill="F8FAFC"/>
            <w:tcMar>
              <w:top w:w="45" w:type="dxa"/>
              <w:left w:w="45" w:type="dxa"/>
              <w:bottom w:w="45" w:type="dxa"/>
              <w:right w:w="45" w:type="dxa"/>
            </w:tcMar>
          </w:tcPr>
          <w:p w:rsidR="0071529F" w:rsidRDefault="005C3D9E">
            <w:pPr>
              <w:spacing w:after="20" w:line="240" w:lineRule="auto"/>
            </w:pPr>
            <w:r>
              <w:rPr>
                <w:sz w:val="16"/>
              </w:rPr>
              <w:t>Lagos, Nigeria</w:t>
            </w:r>
          </w:p>
        </w:tc>
        <w:tc>
          <w:tcPr>
            <w:tcW w:w="939"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71529F" w:rsidRDefault="005C3D9E">
            <w:pPr>
              <w:spacing w:after="20" w:line="240" w:lineRule="auto"/>
            </w:pPr>
            <w:r>
              <w:rPr>
                <w:b/>
                <w:color w:val="1E3A8A"/>
                <w:sz w:val="18"/>
              </w:rPr>
              <w:t>72</w:t>
            </w:r>
          </w:p>
        </w:tc>
      </w:tr>
    </w:tbl>
    <w:p w:rsidR="0071529F" w:rsidRDefault="005C3D9E">
      <w:pPr>
        <w:pStyle w:val="Heading1"/>
        <w:pageBreakBefore/>
        <w:pBdr>
          <w:bottom w:val="single" w:sz="24" w:space="6" w:color="52B69A"/>
        </w:pBdr>
      </w:pPr>
      <w:bookmarkStart w:id="5" w:name="_Toc242447149"/>
      <w:r>
        <w:lastRenderedPageBreak/>
        <w:t>Other Noticeable Players</w:t>
      </w:r>
      <w:bookmarkEnd w:id="5"/>
    </w:p>
    <w:p w:rsidR="0071529F" w:rsidRDefault="005C3D9E">
      <w:pPr>
        <w:spacing w:after="200"/>
      </w:pPr>
      <w:r>
        <w:rPr>
          <w:color w:val="64748B"/>
        </w:rPr>
        <w:t>(219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1529F">
        <w:trPr>
          <w:cantSplit/>
          <w:tblHeader/>
          <w:jc w:val="center"/>
        </w:trPr>
        <w:tc>
          <w:tcPr>
            <w:tcW w:w="1979"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1529F" w:rsidRDefault="005C3D9E">
            <w:pPr>
              <w:spacing w:after="20" w:line="240" w:lineRule="auto"/>
            </w:pPr>
            <w:r>
              <w:rPr>
                <w:b/>
                <w:color w:val="FFFFFF"/>
                <w:sz w:val="13"/>
              </w:rPr>
              <w:t>STRENGTH</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Pipefy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Pipefy,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Concur 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SAP SE</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Walldorf,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Kefron AP</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Kefron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Dublin, Ireland</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AppZen</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AppZen,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San Jose, California,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JAGGAER Invoicing</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JAGGAER, Inc. (acquired by Vista Equity Partners)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Morrisville, North Carolina,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Corpay Payables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Corpay,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Atlanta, Georgia,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Ivalua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Ivalua (acquired by Hg)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Massy,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Flex Finance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Flex Finance</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Lagos, Nigeria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Bottomline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Bottomline Technologies, Inc. (subsidiary of Thoma Bravo)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Portsmouth, New Hampshire,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Emburse AP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Emburse,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Dallas, Texas,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Zahara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Zahara Software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Bath, United Kingdom</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MineralTree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MineralTree, Inc. (subsidiary of Global Payments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Boston, Massachusetts,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BILL</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BILL Holdings,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San Jose, California,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DocuWare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DocuWare GmbH (subsidiary of Ricoh)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Germering,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Stampli</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Stampli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Mountain View, California,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Esker</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Esker SA (acquired by Bridgepoint and General Atlantic)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Lyon, </w:t>
            </w:r>
            <w:r>
              <w:rPr>
                <w:sz w:val="16"/>
              </w:rPr>
              <w:t>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GEP</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GEP Worldwide</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Clark, New Jersey,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Ramp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Ramp Business Corporation</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Serrala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Serrala Group GmbH (subsidiary of Hg)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SoftCo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SoftCo (acquired by Keensight Capital)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Dublin, Ireland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Danea Easyfatt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TeamSystem S.p.A.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Pesaro,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Tradeshift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Tradeshift </w:t>
            </w:r>
            <w:r>
              <w:rPr>
                <w:sz w:val="16"/>
              </w:rPr>
              <w:t>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Verkkolaskut.fi</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Visma Solutions Oy</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Lappeenranta, Finland</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xSuite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xSuite Group GmbH (subsidiary of 3i Group plc)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Ahrensburg,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Doxis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Doxis GmbH (acquired by TA Associates)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Bonn,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Melio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Melio Payments Inc. (acquired by Xero)</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New York City, New York,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lastRenderedPageBreak/>
              <w:t xml:space="preserve">Quadient Accounts Payable </w:t>
            </w:r>
            <w:r>
              <w:rPr>
                <w:sz w:val="16"/>
              </w:rPr>
              <w:t>Automation</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Quadient AP</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Bagneux,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Cegid</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Cegid SA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Lyon,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Generix Group</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Generix Group SA (subsidiary of New Gen Holding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Lesquin,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Payhawk</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Payhawk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London, England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AFI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AFI Solutions GmbH (acquired by SER Group)</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Archiva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Archiva S.r.l. (acquired by Progressio SGR)</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Villafranca di Verona, </w:t>
            </w:r>
            <w:r>
              <w:rPr>
                <w:sz w:val="16"/>
              </w:rPr>
              <w:t>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JobRouter</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JobRouter AG (acquired by Aptean)</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Mannheim,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FatturePlus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Namirial S.p.A. (acquired by Bain Capital)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Senigallia,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Newgen</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Newgen Software Technologies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Onventis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Onventis GmbH (subsidiary of Keensight Capital)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Stuttgart,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onPhase (DocuPhase legacy)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onPhase</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Clearwater, Florida, </w:t>
            </w:r>
            <w:r>
              <w:rPr>
                <w:sz w:val="16"/>
              </w:rPr>
              <w:t>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easy 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easy software AG (subsidiary of conrizon AG)</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Essen,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ApprovalMax</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ApprovalMax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Hypatos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Hypatos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Potsdam,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Spendesk</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Spendesk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Zycus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Zycus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Princeton, New Jersey,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Diamant Software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Diamant Software GmbH (acquired by </w:t>
            </w:r>
            <w:r>
              <w:rPr>
                <w:sz w:val="16"/>
              </w:rPr>
              <w:t>Hg)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Bielefeld,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ELO 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ELO Digital Office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Stuttgart,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Xelix</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Xelix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d.velop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d.velop AG</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Gescher, </w:t>
            </w:r>
            <w:r>
              <w:rPr>
                <w:sz w:val="16"/>
              </w:rPr>
              <w:t>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PairSoft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PairSoft (acquired by TA Associates)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Miami, Florida,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Proactis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Proactis Limited (subsidiary of Cafe Bidco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Wetherby, United Kingdom</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Yooz</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YOOZ</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Aimargues,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invox</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invox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Lightyear</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Lightyear Cloud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Belfast, United Kingdom</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Pennylane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Pennylane SAS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ProSpend</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ProSpend Pty Ltd (acquired by Invincible Software Holdings)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North Sydney, New South Wales,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Vic.ai</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Vic.ai</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edoc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edoc solutions gmbh (acquired by EITCO Group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Weilerswist,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lastRenderedPageBreak/>
              <w:t>Libeo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Libeo (acquired by Shine)</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Routable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Routable </w:t>
            </w:r>
            <w:r>
              <w:rPr>
                <w:sz w:val="16"/>
              </w:rPr>
              <w:t>Inc. (acquired by Anchorage Digital)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San Francisco, California,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bluDELTA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blumatix consulting GmbH (acquired by CSS Group)</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Salzburg,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Freedz</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Docoon.immo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Marseille,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Airwallex</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Airwallex Pte.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Melbourne, Australia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Corcentric</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Corcentric, LLC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Cherry Hill, New Jersey,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Procountor</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Finago Oy</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Pleo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Pleo Technologies 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Copenhagen, Denmark</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TOTVS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TOTVS S.A.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nscale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Ceyoniq Technology GmbH (subsidiary of Kyocera Document </w:t>
            </w:r>
            <w:r>
              <w:rPr>
                <w:sz w:val="16"/>
              </w:rPr>
              <w:t>Solutions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Bielefeld,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Finmatics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Finmatics GmbH (subsidiary of Visma)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Fraxion</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Fraxion LLC (acquired by Main Capital Partners)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Seattle, Washington,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smartINVOICE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Insiders Technologies GmbH (acquired by Proalpha Group)</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Kaiserslautern,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Qashio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Qashio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Rillion</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Rillion </w:t>
            </w:r>
            <w:r>
              <w:rPr>
                <w:sz w:val="16"/>
              </w:rPr>
              <w:t>AB (subsidiary of Altor Equity Partners)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Stockholm, Sweden</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Scopevisio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Scopevisio AG (acquired by Hg)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Bonn,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Archiflow</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Siav S.p.A.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Rubano,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Traild</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Traild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ARXivar</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Able Tech S.p.A.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Lonato del Garda,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ISR Accounts Payable Flow</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ISR Information Products AG (subsidiary of CENIT AG)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Braunschweig, </w:t>
            </w:r>
            <w:r>
              <w:rPr>
                <w:sz w:val="16"/>
              </w:rPr>
              <w:t>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Money Forward Cloud 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Money Forward,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N2F</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N2JSOFT</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Montagnat,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Pluto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Pluto Technologies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Dubai, UAE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Credemtel</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Credemtel S.p.A.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Reggio Emilia,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MYNDAPX</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Mynd Integrated Solutions Pvt.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Gurugram, Haryana,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Precoro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Precoro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Brooklyn,</w:t>
            </w:r>
            <w:r>
              <w:rPr>
                <w:sz w:val="16"/>
              </w:rPr>
              <w:t xml:space="preserve"> New York,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Wintime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Visma Aquila Oy</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Volopay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Volopay</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Agicap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Agicap</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Lyon,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lastRenderedPageBreak/>
              <w:t>Aspire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Aspire FT Pte.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Singapore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Clear AP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Defmacro Software Pvt.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Finkraft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Finkraft Tech Private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Inqom</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Inqom SAS (subsidiary of Visma)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Tours,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Open Bee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Open Bee (acquired by Konica Minolta Business Solutions France)</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Metz-Tessy,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Pivot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Pivot</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Plooto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Plooto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Toronto, Canada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Qive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Qive</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São Carlos, Brazil</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easy'Invoice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Business Communication Solutions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Aix-en-Provence,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Flowers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Flowers-Software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Spenda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Spenda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ABSS Accounting</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Asian </w:t>
            </w:r>
            <w:r>
              <w:rPr>
                <w:sz w:val="16"/>
              </w:rPr>
              <w:t>Business Software Solutions Sdn Bhd (subsidiary of Censof Holdings Berhad)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Petaling Jaya, Malaysia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B2BE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B2BE Pty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RapidAP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Efficiency Leaders Pty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Nipendo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Nipendo Ltd. (subsidiary of American Express Company)</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Netanya, Israel</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Settle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Settle Payments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Invoicetrack</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Springtime Technologies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iPaidThat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iPaidThat (acquired by Groupe BPCE)</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BMD NTCS</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BMD Systemhaus GesmbH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Steyr, Austria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Digia Envision</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Digia Oyj</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DOKKA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Dokka Software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Tel Aviv, Israel</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ITESOFT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ITESOFT S.A. (acquired by Iteman)</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Aimargues, </w:t>
            </w:r>
            <w:r>
              <w:rPr>
                <w:sz w:val="16"/>
              </w:rPr>
              <w:t>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Kolecto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Kolecto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Lemonsoft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Lemonsoft Oyj</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Vaasa,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Cleemy Factures</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Lucca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Ottimate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Ottimate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Pemo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Pemo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Xstream AP</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Xcellerate IT Pty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GSTrobo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Binary Semantics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lastRenderedPageBreak/>
              <w:t>Dost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Dost Technologies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Madrid, Spain</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Duplo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Duplo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Lagos, Nigeria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MakersHub</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MakersHub Inc.</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Austin, Texas,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Shareflex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Portal Systems AG (acquired by conrizon AG)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Hamburg,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Ventya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VENTYA SAS (subsidiary of Everwin)</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Nanterre,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Vroozi</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Vroozi,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Sherman Oaks, California,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agorum core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agorum Software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Ostfildern,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finway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finway </w:t>
            </w:r>
            <w:r>
              <w:rPr>
                <w:sz w:val="16"/>
              </w:rPr>
              <w:t>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inPuncto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inPuncto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Esslingen am Neckar,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Alaan</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Alaan</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Bujeti</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Bujeti</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Lagos, </w:t>
            </w:r>
            <w:r>
              <w:rPr>
                <w:sz w:val="16"/>
              </w:rPr>
              <w:t>Nigeria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Centime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Centime,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Boston, Massachusetts, 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Century Software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Century Software (Malaysia) Sdn. Bhd.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Petaling Jaya, Selangor, Malaysia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TESISQUARE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TESI S.p.A.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Roreto di Cherasco,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Wafeq</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Wafeq</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Clara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Clara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Mexico City, Mexico</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Fennoa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Fennoa Oy</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Maxtrino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Maxtrino S.p.A.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Cagliari,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Mekari Expense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PT Mid Solusi Nusantara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Jakarta, Indonesia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Compleo Invoice Platform</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Symtrax SA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Nîmes,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Weel</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Weel Tech Pty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Sydney, New South Wales,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CLARC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CTO Balzuweit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sevdesk</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sevdesk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Offenburg,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Avanteam</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Avanteam (subsidiary of UI Investissement)</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DocFinance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Docfinance S.r.l.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Reggio Emilia,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SpendConsole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SpendConsole</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Xepelin</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X Capital SpA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Las Condes, Chile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Amagno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Amagno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Oldenburg,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Adiuto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Bluenext S.p.A.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Rimini,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Compleat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Compleat Software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London, United Kingdom</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lastRenderedPageBreak/>
              <w:t>Covoro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Covoro</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Efalia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Efalia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Lyon,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EmCe 365</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EmCe Solution Partner Oy (subsidiary of Administer Group)</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inPoint </w:t>
            </w:r>
            <w:r>
              <w:rPr>
                <w:sz w:val="16"/>
              </w:rPr>
              <w:t>DMS</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H&amp;S Heilig und Schubert Software AG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HighRadius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HighRadius Corporation</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Neil</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Light Information Systems Pvt.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Masters India Accounts Payable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Masters India Private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Nibo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Nibo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Bezala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Renance Oy</w:t>
            </w:r>
            <w:r>
              <w:rPr>
                <w:sz w:val="16"/>
              </w:rPr>
              <w:t xml:space="preserve"> (acquired by Greenstep Oy)</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Espoo,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Simmeth Flow</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Simmeth System GmbH (acquired by Waterkant Software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Burglengenfeld,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Snowfox AI</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Snowfox AI Oy </w:t>
            </w:r>
            <w:r>
              <w:rPr>
                <w:sz w:val="16"/>
              </w:rPr>
              <w:t>(subsidiary of Bravedo)</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Helsinki, Finland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TX2 Concept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TX2 Concept SAS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Olivet,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CashFlo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Valor Innovations Pvt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GetMyInvoices</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fino data services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Kassel,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free-com solutions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free-com solutions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TopMedia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Top Consult S.r.l.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Turin,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cks.eINVOICE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ck.solution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Ibbenbüren,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Elyx</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BISY S.r.l. (acquired by Zucchetti)</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Egixia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EGIXIA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Bogota, Colombia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Clearway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Pacific Commerce Pty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domonda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domonda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hmd.workflow</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hmd-software AG</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Andechs,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Acume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Acume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Konfuzio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Helm &amp; Nagel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Berlin,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Aavenir Invoiceflow</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Aavenir Software Private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Abstra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Abstra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rs2</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Aptean Austria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AutoCount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Auto Count Sdn. Bhd.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Selangor, Malaysia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Cashbook</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Cashbook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Limerick, Ireland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lastRenderedPageBreak/>
              <w:t>Cedalio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Cedalio Inc.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 xml:space="preserve">San Francisco, California, </w:t>
            </w:r>
            <w:r>
              <w:rPr>
                <w:sz w:val="16"/>
              </w:rPr>
              <w:t>USA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Finmo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Finmo Technologies Pte.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fulll</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Fulll SAS (acquired by In Extenso and Visma)</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Lyon,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Lentune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Lentune International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Christchurch, New Zealand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TypeLens</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Mastranet AI S.r.l.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Dalmine,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OCTA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Octa Fintech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PaperOffice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PaperOffice Europe</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Frankfurt am Main,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Pronobis Rechnungsmanagement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Pronobis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Pulsify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Pulsify Pty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QNE AI Cloud Accounting</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QNE Software Sdn. Bhd.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Seri Kembangan, Malaysia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Sibill</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Sibill S.r.l.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Agropoli,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w:t>
            </w:r>
            <w:r>
              <w:rPr>
                <w:sz w:val="16"/>
              </w:rPr>
              <w:t xml:space="preserve">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Sportello Fatture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Sistemi S.p.A.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Collegno,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artner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artner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Neutraubling,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Dataline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Dataline Group Pty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JustOn Cash Management</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JustOn GmbH (acquired by Cloud Coach)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Jena,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Taxilla</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Taxilla Private Limited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Weproc</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Weproc</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Toulon, France</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Azopio</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Azopio SAS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Paris,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Data Alchemy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CDBKR S.r.l.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Orchestrade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SAS Artéva</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Limonest,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Admicom Ultima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Admicom Oyj</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Jyväskylä, Finland</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Axonaut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Axonaut SAS</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Labège,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Serina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Data Semantics</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DocBits</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FELLOWPRO AG</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Poing, Germany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Finifi</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Finifi.io</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Nividous Platform</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Nividous Software Solutions Pvt.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Oscar ERP</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Oscar Software Oy (subsidiary of Panostaja Oyj)</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Tampere, Finland</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TYASuite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TYASuite </w:t>
            </w:r>
            <w:r>
              <w:rPr>
                <w:sz w:val="16"/>
              </w:rPr>
              <w:t>Software Solutions Pvt.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DocuSigner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softmate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Stuttgart,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Admin-IQ</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Admin-IQ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Wels,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lastRenderedPageBreak/>
              <w:t>AutoGo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BlueAura Technology Sdn. Bhd.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Petaling Jaya, Malaysia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SQL Account</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 Stream MSC Sdn. Bhd.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Petaling Jaya, Selangor, Malaysia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Hivebuy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Hivebuy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Berlin,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PMI Digitaler Eingangsrechnungsworkflow</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PMI-Software-Vertriebs GmbH</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Vienna, Austria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Swypex</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Swypex</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Cairo, Egypt</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Envoice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Envoice OÜ (acquired by Scoro)</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Tallinn, Estonia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Finnoto</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FINNOTO SOLUTIONS PRIVATE LIMITED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Focaltec</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Focaltec S.A.P.I. de C.V.</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 xml:space="preserve">Santiago de </w:t>
            </w:r>
            <w:r>
              <w:rPr>
                <w:sz w:val="16"/>
              </w:rPr>
              <w:t>Querétaro, Mexico</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Formcraft Invoice</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Formcraft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Wiesbaden,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Gestionale sul Web</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Gestionale sul Web S.r.l.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Brescia, Italy</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Ocerra</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Ocerra Ltd</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Auckland, New Zealand</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Big Ledger</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Big Ledger Sdn. Bhd.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Petaling Jaya, Malaysia</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B2B Easy</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Datalog S.r.l.</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Milan, Italy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OASIS eFinance</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Exedee Ltd</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Flowwer</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Flowwer Solutions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Garching, Germany</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8FAFC"/>
            <w:tcMar>
              <w:top w:w="45" w:type="dxa"/>
              <w:left w:w="45" w:type="dxa"/>
              <w:bottom w:w="45" w:type="dxa"/>
              <w:right w:w="45" w:type="dxa"/>
            </w:tcMar>
          </w:tcPr>
          <w:p w:rsidR="0071529F" w:rsidRDefault="005C3D9E">
            <w:pPr>
              <w:spacing w:after="20" w:line="240" w:lineRule="auto"/>
            </w:pPr>
            <w:r>
              <w:rPr>
                <w:sz w:val="16"/>
              </w:rPr>
              <w:t>ICD International</w:t>
            </w:r>
          </w:p>
        </w:tc>
        <w:tc>
          <w:tcPr>
            <w:tcW w:w="2177" w:type="dxa"/>
            <w:shd w:val="clear" w:color="auto" w:fill="F8FAFC"/>
            <w:tcMar>
              <w:top w:w="45" w:type="dxa"/>
              <w:left w:w="45" w:type="dxa"/>
              <w:bottom w:w="45" w:type="dxa"/>
              <w:right w:w="45" w:type="dxa"/>
            </w:tcMar>
          </w:tcPr>
          <w:p w:rsidR="0071529F" w:rsidRDefault="005C3D9E">
            <w:pPr>
              <w:spacing w:after="20" w:line="240" w:lineRule="auto"/>
            </w:pPr>
            <w:r>
              <w:rPr>
                <w:sz w:val="16"/>
              </w:rPr>
              <w:t>ICD International</w:t>
            </w:r>
          </w:p>
        </w:tc>
        <w:tc>
          <w:tcPr>
            <w:tcW w:w="1682" w:type="dxa"/>
            <w:shd w:val="clear" w:color="auto" w:fill="F8FAFC"/>
            <w:tcMar>
              <w:top w:w="45" w:type="dxa"/>
              <w:left w:w="45" w:type="dxa"/>
              <w:bottom w:w="45" w:type="dxa"/>
              <w:right w:w="45" w:type="dxa"/>
            </w:tcMar>
          </w:tcPr>
          <w:p w:rsidR="0071529F" w:rsidRDefault="005C3D9E">
            <w:pPr>
              <w:spacing w:after="20" w:line="240" w:lineRule="auto"/>
            </w:pPr>
            <w:r>
              <w:rPr>
                <w:sz w:val="16"/>
              </w:rPr>
              <w:t>Meudon, France</w:t>
            </w:r>
          </w:p>
        </w:tc>
        <w:tc>
          <w:tcPr>
            <w:tcW w:w="1187" w:type="dxa"/>
            <w:shd w:val="clear" w:color="auto" w:fill="F8FAFC"/>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1529F">
        <w:trPr>
          <w:cantSplit/>
          <w:jc w:val="center"/>
        </w:trPr>
        <w:tc>
          <w:tcPr>
            <w:tcW w:w="1979" w:type="dxa"/>
            <w:shd w:val="clear" w:color="auto" w:fill="FFFFFF"/>
            <w:tcMar>
              <w:top w:w="45" w:type="dxa"/>
              <w:left w:w="45" w:type="dxa"/>
              <w:bottom w:w="45" w:type="dxa"/>
              <w:right w:w="45" w:type="dxa"/>
            </w:tcMar>
          </w:tcPr>
          <w:p w:rsidR="0071529F" w:rsidRDefault="005C3D9E">
            <w:pPr>
              <w:spacing w:after="20" w:line="240" w:lineRule="auto"/>
            </w:pPr>
            <w:r>
              <w:rPr>
                <w:sz w:val="16"/>
              </w:rPr>
              <w:t>eCOUNT Dokumentenverwaltung</w:t>
            </w:r>
          </w:p>
        </w:tc>
        <w:tc>
          <w:tcPr>
            <w:tcW w:w="2177" w:type="dxa"/>
            <w:shd w:val="clear" w:color="auto" w:fill="FFFFFF"/>
            <w:tcMar>
              <w:top w:w="45" w:type="dxa"/>
              <w:left w:w="45" w:type="dxa"/>
              <w:bottom w:w="45" w:type="dxa"/>
              <w:right w:w="45" w:type="dxa"/>
            </w:tcMar>
          </w:tcPr>
          <w:p w:rsidR="0071529F" w:rsidRDefault="005C3D9E">
            <w:pPr>
              <w:spacing w:after="20" w:line="240" w:lineRule="auto"/>
            </w:pPr>
            <w:r>
              <w:rPr>
                <w:sz w:val="16"/>
              </w:rPr>
              <w:t>COUNT IT GmbH</w:t>
            </w:r>
          </w:p>
        </w:tc>
        <w:tc>
          <w:tcPr>
            <w:tcW w:w="1682" w:type="dxa"/>
            <w:shd w:val="clear" w:color="auto" w:fill="FFFFFF"/>
            <w:tcMar>
              <w:top w:w="45" w:type="dxa"/>
              <w:left w:w="45" w:type="dxa"/>
              <w:bottom w:w="45" w:type="dxa"/>
              <w:right w:w="45" w:type="dxa"/>
            </w:tcMar>
          </w:tcPr>
          <w:p w:rsidR="0071529F" w:rsidRDefault="005C3D9E">
            <w:pPr>
              <w:spacing w:after="20" w:line="240" w:lineRule="auto"/>
            </w:pPr>
            <w:r>
              <w:rPr>
                <w:sz w:val="16"/>
              </w:rPr>
              <w:t>Hagenberg, Austria</w:t>
            </w:r>
          </w:p>
        </w:tc>
        <w:tc>
          <w:tcPr>
            <w:tcW w:w="1187" w:type="dxa"/>
            <w:shd w:val="clear" w:color="auto" w:fill="FFFFFF"/>
            <w:tcMar>
              <w:top w:w="45" w:type="dxa"/>
              <w:left w:w="45" w:type="dxa"/>
              <w:bottom w:w="45" w:type="dxa"/>
              <w:right w:w="45" w:type="dxa"/>
            </w:tcMar>
          </w:tcPr>
          <w:p w:rsidR="0071529F" w:rsidRDefault="005C3D9E">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1529F" w:rsidRDefault="005C3D9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1529F" w:rsidRDefault="005C3D9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1529F" w:rsidRDefault="005C3D9E">
      <w:pPr>
        <w:pStyle w:val="Heading1"/>
        <w:pageBreakBefore/>
        <w:pBdr>
          <w:bottom w:val="single" w:sz="24" w:space="6" w:color="52B69A"/>
        </w:pBdr>
      </w:pPr>
      <w:bookmarkStart w:id="6" w:name="_Toc242447150"/>
      <w:r>
        <w:lastRenderedPageBreak/>
        <w:t>Parameter Detail by Company</w:t>
      </w:r>
      <w:bookmarkEnd w:id="6"/>
    </w:p>
    <w:p w:rsidR="0071529F" w:rsidRDefault="005C3D9E">
      <w:pPr>
        <w:spacing w:after="200"/>
      </w:pPr>
      <w:r>
        <w:rPr>
          <w:color w:val="64748B"/>
        </w:rPr>
        <w:t>(Technology Capability and Business Capability evidence for the 20 companies on</w:t>
      </w:r>
      <w:r>
        <w:rPr>
          <w:color w:val="64748B"/>
        </w:rPr>
        <w:t xml:space="preserve"> the chart)</w:t>
      </w:r>
    </w:p>
    <w:p w:rsidR="0071529F" w:rsidRDefault="005C3D9E">
      <w:pPr>
        <w:pStyle w:val="Heading2"/>
        <w:shd w:val="clear" w:color="auto" w:fill="002857"/>
        <w:spacing w:after="0"/>
      </w:pPr>
      <w:bookmarkStart w:id="7" w:name="_Toc242447151"/>
      <w:r>
        <w:t>Basware Oy (subsidiary of Accel-KKR)</w:t>
      </w:r>
      <w:bookmarkEnd w:id="7"/>
    </w:p>
    <w:p w:rsidR="0071529F" w:rsidRDefault="005C3D9E">
      <w:pPr>
        <w:shd w:val="clear" w:color="auto" w:fill="002857"/>
        <w:spacing w:after="200"/>
      </w:pPr>
      <w:r>
        <w:rPr>
          <w:color w:val="CBD5E1"/>
          <w:sz w:val="18"/>
        </w:rPr>
        <w:t xml:space="preserve">Basware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92</w:t>
      </w:r>
      <w:r>
        <w:rPr>
          <w:color w:val="CBD5E1"/>
          <w:sz w:val="18"/>
        </w:rPr>
        <w:t xml:space="preserve">     Overall </w:t>
      </w:r>
      <w:r>
        <w:rPr>
          <w:b/>
          <w:color w:val="FFFFFF"/>
          <w:sz w:val="20"/>
        </w:rPr>
        <w:t>94</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94/100</w:t>
      </w:r>
    </w:p>
    <w:p w:rsidR="0071529F" w:rsidRDefault="005C3D9E">
      <w:pPr>
        <w:keepNext/>
        <w:pBdr>
          <w:left w:val="single" w:sz="24" w:space="6" w:color="52B69A"/>
        </w:pBdr>
        <w:ind w:left="170"/>
      </w:pPr>
      <w:r>
        <w:t xml:space="preserve">The rating rests on the company's clear, documented performance </w:t>
      </w:r>
      <w:r>
        <w:t>metrics for automated PDF extraction and high overall straight-through processing capabilities. Based on primary research, the company's OCR and machine learning accuracy under mixed enterprise conditions can be estimated as strong, in line with leading ve</w:t>
      </w:r>
      <w:r>
        <w:t>ndors, based on its over 2 billion invoices processed and high customer retention rate.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AI-powered Basware SmartPDF data capturing software achieves an accuracy rate of over 97% without delays in extracting he</w:t>
      </w:r>
      <w:r>
        <w:t>ader and line-level data from machine-readable and image-based PDFs.</w:t>
      </w:r>
    </w:p>
    <w:p w:rsidR="0071529F" w:rsidRDefault="005C3D9E">
      <w:pPr>
        <w:pStyle w:val="ListBullet"/>
        <w:spacing w:after="60"/>
        <w:ind w:left="510"/>
      </w:pPr>
      <w:r>
        <w:t>The company reports that its best-in-class customers achieve an 89% touchless processing rate across all invoices from receipt until ready for payment.</w:t>
      </w:r>
    </w:p>
    <w:p w:rsidR="0071529F" w:rsidRDefault="005C3D9E">
      <w:pPr>
        <w:keepNext/>
        <w:pBdr>
          <w:left w:val="single" w:sz="24" w:space="6" w:color="52B69A"/>
        </w:pBdr>
        <w:spacing w:before="120" w:after="60"/>
        <w:ind w:left="170"/>
      </w:pPr>
      <w:r>
        <w:rPr>
          <w:b/>
          <w:color w:val="0F172A"/>
          <w:sz w:val="20"/>
        </w:rPr>
        <w:t>Workflow Automation &amp; Approval Rout</w:t>
      </w:r>
      <w:r>
        <w:rPr>
          <w:b/>
          <w:color w:val="0F172A"/>
          <w:sz w:val="20"/>
        </w:rPr>
        <w:t>ing — scored 94/100</w:t>
      </w:r>
    </w:p>
    <w:p w:rsidR="0071529F" w:rsidRDefault="005C3D9E">
      <w:pPr>
        <w:keepNext/>
        <w:pBdr>
          <w:left w:val="single" w:sz="24" w:space="6" w:color="52B69A"/>
        </w:pBdr>
        <w:ind w:left="170"/>
      </w:pPr>
      <w:r>
        <w:t>The evaluation rests on the company's clear and verifiable workflow routing capabilities, exception handling mechanisms, and automated audit trails designed to support large enterprise environments. Based on primary research, the compan</w:t>
      </w:r>
      <w:r>
        <w:t>y's standalone performance metrics or turnaround times tied exclusively to its mobile approval workflow speeds can be estimated as fast for most approvals, based on its 6,500 global customers and 220 million invoices handled annually.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w:t>
      </w:r>
      <w:r>
        <w:t xml:space="preserve"> company reports that its AP automation platform features a highly capable workflow engine supporting multi-level and complex, exception-rich approval processes, which automatically validates invoices against standard rules and routes failed lines to manua</w:t>
      </w:r>
      <w:r>
        <w:t>l human review.</w:t>
      </w:r>
    </w:p>
    <w:p w:rsidR="0071529F" w:rsidRDefault="005C3D9E">
      <w:pPr>
        <w:pStyle w:val="ListBullet"/>
        <w:spacing w:after="60"/>
        <w:ind w:left="510"/>
      </w:pPr>
      <w:r>
        <w:t>The company reports that its platform tracks and maintains a full, compliant digital audit trail of all historical activities spanning from the original purchase request creation through to the final payment approval.</w:t>
      </w:r>
    </w:p>
    <w:p w:rsidR="0071529F" w:rsidRDefault="005C3D9E">
      <w:pPr>
        <w:keepNext/>
        <w:pBdr>
          <w:left w:val="single" w:sz="24" w:space="6" w:color="52B69A"/>
        </w:pBdr>
        <w:spacing w:before="120" w:after="60"/>
        <w:ind w:left="170"/>
      </w:pPr>
      <w:r>
        <w:rPr>
          <w:b/>
          <w:color w:val="0F172A"/>
          <w:sz w:val="20"/>
        </w:rPr>
        <w:t>ERP &amp; Accounting Syste</w:t>
      </w:r>
      <w:r>
        <w:rPr>
          <w:b/>
          <w:color w:val="0F172A"/>
          <w:sz w:val="20"/>
        </w:rPr>
        <w:t>m Integration — scored 97/100</w:t>
      </w:r>
    </w:p>
    <w:p w:rsidR="0071529F" w:rsidRDefault="005C3D9E">
      <w:pPr>
        <w:keepNext/>
        <w:pBdr>
          <w:left w:val="single" w:sz="24" w:space="6" w:color="52B69A"/>
        </w:pBdr>
        <w:ind w:left="170"/>
      </w:pPr>
      <w:r>
        <w:t>The rating rests on the company's verified SAP Clean Core certification alongside its native connectors and recipes for Oracle Cloud ERP and Microsoft Dynamics. Based on primary research, the company's complete technical perfo</w:t>
      </w:r>
      <w:r>
        <w:t>rmance parameters for all 250+ legacy ERP adapters can be estimated as broad across the major ERP platforms, based on its 6,500 global customers and over 2.7 billion invoices processed.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integrates wit</w:t>
      </w:r>
      <w:r>
        <w:t>h over 250 different enterprise resource planning (ERP) systems through open APIs, preconfigured templates, and standard integration adapters, including setups supporting complex multi-ERP environments.</w:t>
      </w:r>
    </w:p>
    <w:p w:rsidR="0071529F" w:rsidRDefault="005C3D9E">
      <w:pPr>
        <w:pStyle w:val="ListBullet"/>
        <w:spacing w:after="60"/>
        <w:ind w:left="510"/>
      </w:pPr>
      <w:r>
        <w:t>In May 2026, the company announced that its Connector</w:t>
      </w:r>
      <w:r>
        <w:t xml:space="preserve"> for SAP Cloud ERP Private achieved the elite SAP Clean Core certification, verifying that it integrates according to SAP standards without modifying core code.</w:t>
      </w:r>
    </w:p>
    <w:p w:rsidR="0071529F" w:rsidRDefault="005C3D9E">
      <w:pPr>
        <w:keepNext/>
        <w:pBdr>
          <w:left w:val="single" w:sz="24" w:space="6" w:color="52B69A"/>
        </w:pBdr>
        <w:spacing w:before="120" w:after="60"/>
        <w:ind w:left="170"/>
      </w:pPr>
      <w:r>
        <w:rPr>
          <w:b/>
          <w:color w:val="0F172A"/>
          <w:sz w:val="20"/>
        </w:rPr>
        <w:t>AI/ML &amp; Fraud Detection Capabilities — scored 95/100</w:t>
      </w:r>
    </w:p>
    <w:p w:rsidR="0071529F" w:rsidRDefault="005C3D9E">
      <w:pPr>
        <w:keepNext/>
        <w:pBdr>
          <w:left w:val="single" w:sz="24" w:space="6" w:color="52B69A"/>
        </w:pBdr>
        <w:ind w:left="170"/>
      </w:pPr>
      <w:r>
        <w:t>The rating reflects the company's clear de</w:t>
      </w:r>
      <w:r>
        <w:t>ployment of machine learning models for anomaly detection and multi-algorithm data validation, supported by documented customer reliability metrics. Based on primary research, the company's mathematical models or error bounds governing its continuous learn</w:t>
      </w:r>
      <w:r>
        <w:t>ing algorithms can be estimated as strong, in line with leading vendors, based on its 2.7 billion invoices processed and 220 million invoices handled annually.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AI-powered solution, AP Protect, utilizes more th</w:t>
      </w:r>
      <w:r>
        <w:t>an 800 algorithms alongside continuous real-time monitoring to detect invoice anomalies, identify potentially fraudulent suppliers, and prevent overpayments.</w:t>
      </w:r>
    </w:p>
    <w:p w:rsidR="0071529F" w:rsidRDefault="005C3D9E">
      <w:pPr>
        <w:pStyle w:val="ListBullet"/>
        <w:spacing w:after="60"/>
        <w:ind w:left="510"/>
      </w:pPr>
      <w:r>
        <w:lastRenderedPageBreak/>
        <w:t>A case study from customer Nexans confirmed that implementing Basware's AI-enhanced SmartPDF solut</w:t>
      </w:r>
      <w:r>
        <w:t>ion achieved a 90% reliability rate in automated data processing and identification within its first weeks of use, successfully reducing fraud and error risks.</w:t>
      </w:r>
    </w:p>
    <w:p w:rsidR="0071529F" w:rsidRDefault="005C3D9E">
      <w:pPr>
        <w:keepNext/>
        <w:pBdr>
          <w:left w:val="single" w:sz="24" w:space="6" w:color="52B69A"/>
        </w:pBdr>
        <w:spacing w:before="120" w:after="60"/>
        <w:ind w:left="170"/>
      </w:pPr>
      <w:r>
        <w:rPr>
          <w:b/>
          <w:color w:val="0F172A"/>
          <w:sz w:val="20"/>
        </w:rPr>
        <w:t>Scalability &amp; Global Compliance Support — scored 98/100</w:t>
      </w:r>
    </w:p>
    <w:p w:rsidR="0071529F" w:rsidRDefault="005C3D9E">
      <w:pPr>
        <w:keepNext/>
        <w:pBdr>
          <w:left w:val="single" w:sz="24" w:space="6" w:color="52B69A"/>
        </w:pBdr>
        <w:ind w:left="170"/>
      </w:pPr>
      <w:r>
        <w:t>The rating rests on the company's verifi</w:t>
      </w:r>
      <w:r>
        <w:t>ed enterprise-scale architecture, multi-country configuration capabilities, and its prominent global network supporting extensive regional mandates such as Peppol BIS 3.0 self-billing. Based on primary research, the company's technical transaction throughp</w:t>
      </w:r>
      <w:r>
        <w:t>ut scalability and system uptime SLAs can be estimated as high and continuously maintained, based on its 220 million invoices handled annually and over $10 trillion spend managed.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handles over €900 bi</w:t>
      </w:r>
      <w:r>
        <w:t>llion in annual spend across more than 20 million users, and scales to provide native compliance for over 60 country e-invoicing mandates, Peppol standards, and Continuous Transaction Control (CTC) clearance models.</w:t>
      </w:r>
    </w:p>
    <w:p w:rsidR="0071529F" w:rsidRDefault="005C3D9E">
      <w:pPr>
        <w:pStyle w:val="ListBullet"/>
        <w:spacing w:after="60"/>
        <w:ind w:left="510"/>
      </w:pPr>
      <w:r>
        <w:t xml:space="preserve">The company reports that its global </w:t>
      </w:r>
      <w:r>
        <w:t>e-invoicing network supports electronic data formatting and tax compliance across more than 100 countries, leveraging over 220 interoperability partners and a localized compliance infrastructure.</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w:t>
      </w:r>
      <w:r>
        <w:rPr>
          <w:b/>
          <w:color w:val="0F172A"/>
          <w:sz w:val="20"/>
        </w:rPr>
        <w:t>ed 79/100</w:t>
      </w:r>
    </w:p>
    <w:p w:rsidR="0071529F" w:rsidRDefault="005C3D9E">
      <w:pPr>
        <w:keepNext/>
        <w:pBdr>
          <w:left w:val="single" w:sz="24" w:space="6" w:color="52B69A"/>
        </w:pBdr>
        <w:ind w:left="170"/>
      </w:pPr>
      <w:r>
        <w:t>We verified that the company possesses a massive global enterprise client footprint and high customer retention metrics. Based on primary research, the company's average contract value and transaction deal monetary sizes can be estimated as subst</w:t>
      </w:r>
      <w:r>
        <w:t>antial and geared toward large enterprises, based on its $900 billion in invoice spend managed across over 6,500 global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over 6,500 global customers, retaining 98% of its overall client base, and main</w:t>
      </w:r>
      <w:r>
        <w:t>taining a 100% retention rate for its top 70 customers over a three-year period.</w:t>
      </w:r>
    </w:p>
    <w:p w:rsidR="0071529F" w:rsidRDefault="005C3D9E">
      <w:pPr>
        <w:pStyle w:val="ListBullet"/>
        <w:spacing w:after="60"/>
        <w:ind w:left="510"/>
      </w:pPr>
      <w:r>
        <w:t>The company reports enterprise adoption by global named logos including DHL, Heineken, Sony, Belden, ABB, and NBC Universal Media.</w:t>
      </w:r>
    </w:p>
    <w:p w:rsidR="0071529F" w:rsidRDefault="005C3D9E">
      <w:pPr>
        <w:keepNext/>
        <w:pBdr>
          <w:left w:val="single" w:sz="24" w:space="6" w:color="52B69A"/>
        </w:pBdr>
        <w:spacing w:before="120" w:after="60"/>
        <w:ind w:left="170"/>
      </w:pPr>
      <w:r>
        <w:rPr>
          <w:b/>
          <w:color w:val="0F172A"/>
          <w:sz w:val="20"/>
        </w:rPr>
        <w:t>Revenue Growth &amp; Financial Health — scored 9</w:t>
      </w:r>
      <w:r>
        <w:rPr>
          <w:b/>
          <w:color w:val="0F172A"/>
          <w:sz w:val="20"/>
        </w:rPr>
        <w:t>0/100</w:t>
      </w:r>
    </w:p>
    <w:p w:rsidR="0071529F" w:rsidRDefault="005C3D9E">
      <w:pPr>
        <w:keepNext/>
        <w:pBdr>
          <w:left w:val="single" w:sz="24" w:space="6" w:color="52B69A"/>
        </w:pBdr>
        <w:ind w:left="170"/>
      </w:pPr>
      <w:r>
        <w:t xml:space="preserve">We verified that the company has strong corporate transaction momentum and bookings expansion, backed by private equity funding from Accel-KKR. Based on primary research, the company's annual recurring revenue and net profitability metrics can be </w:t>
      </w:r>
      <w:r>
        <w:t>estimated as growing steadily with significant momentum, based on its annual bookings growth of 52% year over year and 97.4% customer retention rate.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Basware announced a major global expansion drive driven by order bookings that grew 52% </w:t>
      </w:r>
      <w:r>
        <w:t>in 2023, while maintaining a customer retention rate of 97.4%.</w:t>
      </w:r>
    </w:p>
    <w:p w:rsidR="0071529F" w:rsidRDefault="005C3D9E">
      <w:pPr>
        <w:pStyle w:val="ListBullet"/>
        <w:spacing w:after="60"/>
        <w:ind w:left="510"/>
      </w:pPr>
      <w:r>
        <w:t>Basware announced its acquisition of payment fraud prevention platform Trustpair in August 2026 to enhance AI-driven security workflows across its platform.</w:t>
      </w:r>
    </w:p>
    <w:p w:rsidR="0071529F" w:rsidRDefault="005C3D9E">
      <w:pPr>
        <w:keepNext/>
        <w:pBdr>
          <w:left w:val="single" w:sz="24" w:space="6" w:color="52B69A"/>
        </w:pBdr>
        <w:spacing w:before="120" w:after="60"/>
        <w:ind w:left="170"/>
      </w:pPr>
      <w:r>
        <w:rPr>
          <w:b/>
          <w:color w:val="0F172A"/>
          <w:sz w:val="20"/>
        </w:rPr>
        <w:t>Geographic Coverage &amp; Partner Networ</w:t>
      </w:r>
      <w:r>
        <w:rPr>
          <w:b/>
          <w:color w:val="0F172A"/>
          <w:sz w:val="20"/>
        </w:rPr>
        <w:t>k — scored 100/100</w:t>
      </w:r>
    </w:p>
    <w:p w:rsidR="0071529F" w:rsidRDefault="005C3D9E">
      <w:pPr>
        <w:keepNext/>
        <w:pBdr>
          <w:left w:val="single" w:sz="24" w:space="6" w:color="52B69A"/>
        </w:pBdr>
        <w:ind w:left="170"/>
      </w:pPr>
      <w:r>
        <w:t>The rating rests on the company's verified deployment across 190+ countries and its established system integrator and technology alliances with firms like PwC Germany, SAP, and KPMG. Based on primary research, the company's regional reve</w:t>
      </w:r>
      <w:r>
        <w:t>nue breakdown and channel-driven sales volumes can be estimated as broad across the major global markets, based on its 1,350 employees across 16 countries and extensive ERP integrations.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over 6,500 customers ac</w:t>
      </w:r>
      <w:r>
        <w:t>ross 190+ countries with offices established in 16 countries, as documented in its corporate operations briefing.</w:t>
      </w:r>
    </w:p>
    <w:p w:rsidR="0071529F" w:rsidRDefault="005C3D9E">
      <w:pPr>
        <w:pStyle w:val="ListBullet"/>
        <w:spacing w:after="60"/>
        <w:ind w:left="510"/>
      </w:pPr>
      <w:r>
        <w:t>The company reports delivering multi-region coverage and a localized partner strategy through its open business network, which connects busine</w:t>
      </w:r>
      <w:r>
        <w:t>sses via 250+ ERP integrations and more than 220 network interoperability partners.</w:t>
      </w:r>
    </w:p>
    <w:p w:rsidR="0071529F" w:rsidRDefault="005C3D9E">
      <w:pPr>
        <w:keepNext/>
        <w:pBdr>
          <w:left w:val="single" w:sz="24" w:space="6" w:color="52B69A"/>
        </w:pBdr>
        <w:spacing w:before="120" w:after="60"/>
        <w:ind w:left="170"/>
      </w:pPr>
      <w:r>
        <w:rPr>
          <w:b/>
          <w:color w:val="0F172A"/>
          <w:sz w:val="20"/>
        </w:rPr>
        <w:lastRenderedPageBreak/>
        <w:t>Market Share &amp; Competitive Positioning — scored 95/100</w:t>
      </w:r>
    </w:p>
    <w:p w:rsidR="0071529F" w:rsidRDefault="005C3D9E">
      <w:pPr>
        <w:keepNext/>
        <w:pBdr>
          <w:left w:val="single" w:sz="24" w:space="6" w:color="52B69A"/>
        </w:pBdr>
        <w:ind w:left="170"/>
      </w:pPr>
      <w:r>
        <w:t xml:space="preserve">We verified the company's prominent positioning as a leading provider in independent enterprise software evaluations </w:t>
      </w:r>
      <w:r>
        <w:t>for accounts payable applications, supported by large transaction volumes and strong customer retention metrics. Based on primary research, the company's global market share and competitive win rates can be estimated as dominant and expanding, based on its</w:t>
      </w:r>
      <w:r>
        <w:t xml:space="preserve"> 97.4% customer retention rate and 52% annual bookings growth.</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managing more than $10 trillion in invoice spend and processing over 2 billion invoices in total for a global base of more than 6,500 enterprise customers.</w:t>
      </w:r>
    </w:p>
    <w:p w:rsidR="0071529F" w:rsidRDefault="005C3D9E">
      <w:pPr>
        <w:pStyle w:val="ListBullet"/>
        <w:spacing w:after="60"/>
        <w:ind w:left="510"/>
      </w:pPr>
      <w:r>
        <w:t>The company reports a 98% overall customer retention rate and a 100% retention rate among its top 70 customers over a three-year window.</w:t>
      </w:r>
    </w:p>
    <w:p w:rsidR="0071529F" w:rsidRDefault="005C3D9E">
      <w:pPr>
        <w:keepNext/>
        <w:pBdr>
          <w:left w:val="single" w:sz="24" w:space="6" w:color="52B69A"/>
        </w:pBdr>
        <w:spacing w:before="120" w:after="60"/>
        <w:ind w:left="170"/>
      </w:pPr>
      <w:r>
        <w:rPr>
          <w:b/>
          <w:color w:val="0F172A"/>
          <w:sz w:val="20"/>
        </w:rPr>
        <w:t>Funding &amp; Strategic Investments — scored 98/100</w:t>
      </w:r>
    </w:p>
    <w:p w:rsidR="0071529F" w:rsidRDefault="005C3D9E">
      <w:pPr>
        <w:keepNext/>
        <w:pBdr>
          <w:left w:val="single" w:sz="24" w:space="6" w:color="52B69A"/>
        </w:pBdr>
        <w:ind w:left="170"/>
      </w:pPr>
      <w:r>
        <w:t xml:space="preserve">The evaluation is based on independent confirmation of the company's </w:t>
      </w:r>
      <w:r>
        <w:t>take-private transaction by private equity investors alongside its consistent track record of strategic acquisitions to build out its accounts payable product suite. Based on primary research, the company's financial terms or transaction values for its acq</w:t>
      </w:r>
      <w:r>
        <w:t>uisitions of AP matching, redmap, and trustpair can be estimated as limited to a few markets, based on its 1,350+ employees across 16 countries and annual bookings growth.</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Basware Oy was acquired via a recommended public cash tender offer</w:t>
      </w:r>
      <w:r>
        <w:t xml:space="preserve"> completed on August 10, 2022, by a consortium comprising Accel-KKR, Long Path Partners, and Briarwood Capital Partners for an equity value of approximately EUR 619.91 million to transition the company into a private entity.</w:t>
      </w:r>
    </w:p>
    <w:p w:rsidR="0071529F" w:rsidRDefault="005C3D9E">
      <w:pPr>
        <w:pStyle w:val="ListBullet"/>
        <w:spacing w:after="60"/>
        <w:ind w:left="510"/>
      </w:pPr>
      <w:r>
        <w:t>Basware Oy completed the acquis</w:t>
      </w:r>
      <w:r>
        <w:t>ition of Glantus on October 18, 2023, acquired AP Matching on May 8, 2024, acquired Redmap on December 17, 2025, and completed the acquisition of Trustpair on October 5, 2026, to expand its automated invoice lifecycle and payment fraud prevention capabilit</w:t>
      </w:r>
      <w:r>
        <w:t>ies.</w:t>
      </w:r>
    </w:p>
    <w:p w:rsidR="0071529F" w:rsidRDefault="005C3D9E">
      <w:pPr>
        <w:pStyle w:val="Heading2"/>
        <w:pageBreakBefore/>
        <w:shd w:val="clear" w:color="auto" w:fill="002857"/>
        <w:spacing w:after="0"/>
      </w:pPr>
      <w:bookmarkStart w:id="8" w:name="_Toc242447152"/>
      <w:r>
        <w:lastRenderedPageBreak/>
        <w:t>Coupa Software (subsidiary of Thoma Bravo)</w:t>
      </w:r>
      <w:bookmarkEnd w:id="8"/>
    </w:p>
    <w:p w:rsidR="0071529F" w:rsidRDefault="005C3D9E">
      <w:pPr>
        <w:shd w:val="clear" w:color="auto" w:fill="002857"/>
        <w:spacing w:after="200"/>
      </w:pPr>
      <w:r>
        <w:rPr>
          <w:color w:val="CBD5E1"/>
          <w:sz w:val="18"/>
        </w:rPr>
        <w:t xml:space="preserve">Coupa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93</w:t>
      </w:r>
      <w:r>
        <w:rPr>
          <w:color w:val="CBD5E1"/>
          <w:sz w:val="18"/>
        </w:rPr>
        <w:t xml:space="preserve">     Overall </w:t>
      </w:r>
      <w:r>
        <w:rPr>
          <w:b/>
          <w:color w:val="FFFFFF"/>
          <w:sz w:val="20"/>
        </w:rPr>
        <w:t>93</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94/100</w:t>
      </w:r>
    </w:p>
    <w:p w:rsidR="0071529F" w:rsidRDefault="005C3D9E">
      <w:pPr>
        <w:keepNext/>
        <w:pBdr>
          <w:left w:val="single" w:sz="24" w:space="6" w:color="52B69A"/>
        </w:pBdr>
        <w:ind w:left="170"/>
      </w:pPr>
      <w:r>
        <w:t>The rating rests on the company's clear native capabilities and strategi</w:t>
      </w:r>
      <w:r>
        <w:t xml:space="preserve">c partnership with Rossum to deliver template-free, AI-driven data extraction across multi-format supplier invoices. Based on primary research, the company's data extraction accuracy rates can be estimated as exceptional and industry leading, based on its </w:t>
      </w:r>
      <w:r>
        <w:t>10 trillion dollar community generated transactional dataset and acquisition of rossum.</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Coupa Invoicing platform integrates with Rossum's transactional large language model (T-LLM) and AI-powered OCR to instan</w:t>
      </w:r>
      <w:r>
        <w:t>tly ingest multi-page invoices in any format or language without manual template building.</w:t>
      </w:r>
    </w:p>
    <w:p w:rsidR="0071529F" w:rsidRDefault="005C3D9E">
      <w:pPr>
        <w:pStyle w:val="ListBullet"/>
        <w:spacing w:after="60"/>
        <w:ind w:left="510"/>
      </w:pPr>
      <w:r>
        <w:t>The company reports that its customer John Lewis achieved a 91% touchless invoice processing rate using its automated workflows.</w:t>
      </w:r>
    </w:p>
    <w:p w:rsidR="0071529F" w:rsidRDefault="005C3D9E">
      <w:pPr>
        <w:keepNext/>
        <w:pBdr>
          <w:left w:val="single" w:sz="24" w:space="6" w:color="52B69A"/>
        </w:pBdr>
        <w:spacing w:before="120" w:after="60"/>
        <w:ind w:left="170"/>
      </w:pPr>
      <w:r>
        <w:rPr>
          <w:b/>
          <w:color w:val="0F172A"/>
          <w:sz w:val="20"/>
        </w:rPr>
        <w:t xml:space="preserve">Workflow Automation &amp; Approval </w:t>
      </w:r>
      <w:r>
        <w:rPr>
          <w:b/>
          <w:color w:val="0F172A"/>
          <w:sz w:val="20"/>
        </w:rPr>
        <w:t>Routing — scored 87/100</w:t>
      </w:r>
    </w:p>
    <w:p w:rsidR="0071529F" w:rsidRDefault="005C3D9E">
      <w:pPr>
        <w:keepNext/>
        <w:pBdr>
          <w:left w:val="single" w:sz="24" w:space="6" w:color="52B69A"/>
        </w:pBdr>
        <w:ind w:left="170"/>
      </w:pPr>
      <w:r>
        <w:t>The assessment rests on the company's documented suite of conditional routing rules, exception management, and multi-channel approval options across its spend management ecosystem. Based on primary research, the company's processing</w:t>
      </w:r>
      <w:r>
        <w:t xml:space="preserve"> turnaround data can be estimated as fast for most approvals, based on its over 3,000 total global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automated approval workflows evaluate attributes such as invoice amount, department, category, enti</w:t>
      </w:r>
      <w:r>
        <w:t>ty, supplier, and accounting dimensions to route transactions.</w:t>
      </w:r>
    </w:p>
    <w:p w:rsidR="0071529F" w:rsidRDefault="005C3D9E">
      <w:pPr>
        <w:pStyle w:val="ListBullet"/>
        <w:spacing w:after="60"/>
        <w:ind w:left="510"/>
      </w:pPr>
      <w:r>
        <w:t xml:space="preserve">The company reports that the platform supports exception handling to re-route mismatches, mobile workflow approvals, and a comprehensive audit trail that logs configuration changes, </w:t>
      </w:r>
      <w:r>
        <w:t>reassignments, and chronological authorization events.</w:t>
      </w:r>
    </w:p>
    <w:p w:rsidR="0071529F" w:rsidRDefault="005C3D9E">
      <w:pPr>
        <w:keepNext/>
        <w:pBdr>
          <w:left w:val="single" w:sz="24" w:space="6" w:color="52B69A"/>
        </w:pBdr>
        <w:spacing w:before="120" w:after="60"/>
        <w:ind w:left="170"/>
      </w:pPr>
      <w:r>
        <w:rPr>
          <w:b/>
          <w:color w:val="0F172A"/>
          <w:sz w:val="20"/>
        </w:rPr>
        <w:t>ERP &amp; Accounting System Integration — scored 97/100</w:t>
      </w:r>
    </w:p>
    <w:p w:rsidR="0071529F" w:rsidRDefault="005C3D9E">
      <w:pPr>
        <w:keepNext/>
        <w:pBdr>
          <w:left w:val="single" w:sz="24" w:space="6" w:color="52B69A"/>
        </w:pBdr>
        <w:ind w:left="170"/>
      </w:pPr>
      <w:r>
        <w:t>The rating rests on Coupa Software’s extensive portfolio of native adapters, pre-built ERP connector bundles, and verified technical alignment with t</w:t>
      </w:r>
      <w:r>
        <w:t>ier-one platforms like SAP, Oracle, and NetSuite. Based on primary research, the company's mid-market custom deployment percentage can be estimated as heavily leaning toward out-of-the-box setups, based on its 11 million buyers and suppliers on its network</w:t>
      </w:r>
      <w:r>
        <w: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pre-built out-of-the-box integration playbooks and native connectors for major enterprise platforms, including the Coupa NetSuite Purchase to Order (P2O) Bundle built on SuiteScript that supports near real-time maste</w:t>
      </w:r>
      <w:r>
        <w:t>r data synchronization for suppliers and account segments.</w:t>
      </w:r>
    </w:p>
    <w:p w:rsidR="0071529F" w:rsidRDefault="005C3D9E">
      <w:pPr>
        <w:pStyle w:val="ListBullet"/>
        <w:spacing w:after="60"/>
        <w:ind w:left="510"/>
      </w:pPr>
      <w:r>
        <w:t xml:space="preserve">Certified technical adapter integrations exist with major enterprise systems, such as the Coupa Adapter for SAP Integration Suite which natively supports OAuth 2.0 authentication and standard CRUD </w:t>
      </w:r>
      <w:r>
        <w:t>workflows with SAP S/4HANA, as well as the Coupa Sourcing Adapter developed for Oracle Integration 3 supporting bidirectional rest-based synchronization of invoices, payables, and suppliers.</w:t>
      </w:r>
    </w:p>
    <w:p w:rsidR="0071529F" w:rsidRDefault="005C3D9E">
      <w:pPr>
        <w:keepNext/>
        <w:pBdr>
          <w:left w:val="single" w:sz="24" w:space="6" w:color="52B69A"/>
        </w:pBdr>
        <w:spacing w:before="120" w:after="60"/>
        <w:ind w:left="170"/>
      </w:pPr>
      <w:r>
        <w:rPr>
          <w:b/>
          <w:color w:val="0F172A"/>
          <w:sz w:val="20"/>
        </w:rPr>
        <w:t>AI/ML &amp; Fraud Detection Capabilities — scored 95/100</w:t>
      </w:r>
    </w:p>
    <w:p w:rsidR="0071529F" w:rsidRDefault="005C3D9E">
      <w:pPr>
        <w:keepNext/>
        <w:pBdr>
          <w:left w:val="single" w:sz="24" w:space="6" w:color="52B69A"/>
        </w:pBdr>
        <w:ind w:left="170"/>
      </w:pPr>
      <w:r>
        <w:t>The rating r</w:t>
      </w:r>
      <w:r>
        <w:t>ests on Coupa Software's deep integration of native AI/ML capabilities for transaction-level anomaly and fraud detection (SpendGuard), alongside its May 2026 acquisition of Rossum to embed template-free document processing AI with native duplicate preventi</w:t>
      </w:r>
      <w:r>
        <w:t>on. Based on primary research, the company's statistical model accuracy rates can be estimated as high across the community, based on its more than 10 trillion dollar transactional dataset.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AI-powered SpendGuard co</w:t>
      </w:r>
      <w:r>
        <w:t>ntinuously monitors invoices, expenses, and payments to detect duplicate invoices, split requisitions, and suspicious activity in real time using 25+ alerts across six key categories.</w:t>
      </w:r>
    </w:p>
    <w:p w:rsidR="0071529F" w:rsidRDefault="005C3D9E">
      <w:pPr>
        <w:pStyle w:val="ListBullet"/>
        <w:spacing w:after="60"/>
        <w:ind w:left="510"/>
      </w:pPr>
      <w:r>
        <w:t>The company reports its platform utilizes "community intelligence" train</w:t>
      </w:r>
      <w:r>
        <w:t>ed on $6 trillion to $8 trillion in global transactional spend data to provide AI-driven fraud detection, anomaly detection, and automated invoice data extraction.</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94/100</w:t>
      </w:r>
    </w:p>
    <w:p w:rsidR="0071529F" w:rsidRDefault="005C3D9E">
      <w:pPr>
        <w:keepNext/>
        <w:pBdr>
          <w:left w:val="single" w:sz="24" w:space="6" w:color="52B69A"/>
        </w:pBdr>
        <w:ind w:left="170"/>
      </w:pPr>
      <w:r>
        <w:t>The assessment rests on the platform</w:t>
      </w:r>
      <w:r>
        <w:t xml:space="preserve">'s third-party verified, out-of-the-box international tax compliance capabilities and native integration into global networks like Peppol across dozens of countries. Based on primary research, the company's core accounts payable scalability and uptime can </w:t>
      </w:r>
      <w:r>
        <w:t>be estimated as enterprise grade with high availability, based on its over 3,000 total global customers and 11 million buyers and suppliers on its network.</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Coupa Software reports that its built-in Compliance-as-a-Service (CaaS) offers nat</w:t>
      </w:r>
      <w:r>
        <w:t>ive out-of-the-box e-invoicing and regulatory tax compliance support across more than 50 countries, with seamless integration into the Peppol network and government portals.</w:t>
      </w:r>
    </w:p>
    <w:p w:rsidR="0071529F" w:rsidRDefault="005C3D9E">
      <w:pPr>
        <w:pStyle w:val="ListBullet"/>
        <w:spacing w:after="60"/>
        <w:ind w:left="510"/>
      </w:pPr>
      <w:r>
        <w:t xml:space="preserve">Coupa Software partners with PricewaterhouseCoopers (PwC) to independently review </w:t>
      </w:r>
      <w:r>
        <w:t>its international VAT/GST compliance rules, including walk-throughs of the solution in its live environment.</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79/100</w:t>
      </w:r>
    </w:p>
    <w:p w:rsidR="0071529F" w:rsidRDefault="005C3D9E">
      <w:pPr>
        <w:keepNext/>
        <w:pBdr>
          <w:left w:val="single" w:sz="24" w:space="6" w:color="52B69A"/>
        </w:pBdr>
        <w:ind w:left="170"/>
      </w:pPr>
      <w:r>
        <w:t>The assessment rests on the company’s confirmed overall customer count exceed</w:t>
      </w:r>
      <w:r>
        <w:t xml:space="preserve">ing 3,200 alongside documented quarterly new enterprise contract wins. Based on primary research, the company's breakout customer counts and win values can be estimated as substantial and growing steadily, based on its 100 plus new customer logos added in </w:t>
      </w:r>
      <w:r>
        <w:t>fourth quarter.</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having over 3,200 global customers on its spend management platform, which encompasses accounts payable automation, procurement, and treasury workflows.</w:t>
      </w:r>
    </w:p>
    <w:p w:rsidR="0071529F" w:rsidRDefault="005C3D9E">
      <w:pPr>
        <w:pStyle w:val="ListBullet"/>
        <w:spacing w:after="60"/>
        <w:ind w:left="510"/>
      </w:pPr>
      <w:r>
        <w:t xml:space="preserve">The company announced adding more than 45 new </w:t>
      </w:r>
      <w:r>
        <w:t>customer logos in Q1 FY27, including Kyocera Document Solutions Inc., United Auto Workers, Rohm Co., Ltd, ThermoSafe Technologies Inc., and Innovaccer, while over 240 organizations renewed or expanded contracts.</w:t>
      </w:r>
    </w:p>
    <w:p w:rsidR="0071529F" w:rsidRDefault="005C3D9E">
      <w:pPr>
        <w:keepNext/>
        <w:pBdr>
          <w:left w:val="single" w:sz="24" w:space="6" w:color="52B69A"/>
        </w:pBdr>
        <w:spacing w:before="120" w:after="60"/>
        <w:ind w:left="170"/>
      </w:pPr>
      <w:r>
        <w:rPr>
          <w:b/>
          <w:color w:val="0F172A"/>
          <w:sz w:val="20"/>
        </w:rPr>
        <w:t>Revenue Growth &amp; Financial Health — scored 9</w:t>
      </w:r>
      <w:r>
        <w:rPr>
          <w:b/>
          <w:color w:val="0F172A"/>
          <w:sz w:val="20"/>
        </w:rPr>
        <w:t>0/100</w:t>
      </w:r>
    </w:p>
    <w:p w:rsidR="0071529F" w:rsidRDefault="005C3D9E">
      <w:pPr>
        <w:keepNext/>
        <w:pBdr>
          <w:left w:val="single" w:sz="24" w:space="6" w:color="52B69A"/>
        </w:pBdr>
        <w:ind w:left="170"/>
      </w:pPr>
      <w:r>
        <w:t>The evaluation rests on verified metrics proving the company's scale and its successful transition into GAAP profitability. Based on primary research, the company's annual recurring revenue and growth can be estimated as substantial and record settin</w:t>
      </w:r>
      <w:r>
        <w:t>g, based on its record revenue quarter in fourth quarter fiscal year 2,028.3 million sourcing events.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achieving its highest revenue quarter in history during Q4 of fiscal 2026, supported by an expanding community datas</w:t>
      </w:r>
      <w:r>
        <w:t>et containing $9.5 trillion in total transaction data on the Coupa Software Platform.</w:t>
      </w:r>
    </w:p>
    <w:p w:rsidR="0071529F" w:rsidRDefault="005C3D9E">
      <w:pPr>
        <w:pStyle w:val="ListBullet"/>
        <w:spacing w:after="60"/>
        <w:ind w:left="510"/>
      </w:pPr>
      <w:r>
        <w:t>Independent analysis of the company's financial trajectory verified that it generated $1.21 billion in annual revenue for 2025.</w:t>
      </w:r>
    </w:p>
    <w:p w:rsidR="0071529F" w:rsidRDefault="005C3D9E">
      <w:pPr>
        <w:keepNext/>
        <w:pBdr>
          <w:left w:val="single" w:sz="24" w:space="6" w:color="52B69A"/>
        </w:pBdr>
        <w:spacing w:before="120" w:after="60"/>
        <w:ind w:left="170"/>
      </w:pPr>
      <w:r>
        <w:rPr>
          <w:b/>
          <w:color w:val="0F172A"/>
          <w:sz w:val="20"/>
        </w:rPr>
        <w:t>Geographic Coverage &amp; Partner Network — sc</w:t>
      </w:r>
      <w:r>
        <w:rPr>
          <w:b/>
          <w:color w:val="0F172A"/>
          <w:sz w:val="20"/>
        </w:rPr>
        <w:t>ored 95/100</w:t>
      </w:r>
    </w:p>
    <w:p w:rsidR="0071529F" w:rsidRDefault="005C3D9E">
      <w:pPr>
        <w:keepNext/>
        <w:pBdr>
          <w:left w:val="single" w:sz="24" w:space="6" w:color="52B69A"/>
        </w:pBdr>
        <w:ind w:left="170"/>
      </w:pPr>
      <w:r>
        <w:t>The rating rests on the company’s extensive, verified global channel presence encompassing major consulting entities across five geographic regions and physical hubs across North America, Europe, Latin America, the Middle East, and Asia-Pacific</w:t>
      </w:r>
      <w:r>
        <w:t xml:space="preserve">. Based on primary research, the company's direct versus channel subsidiary distribution can be estimated as extensive global presence across diverse regions, based on its 330 plus organizations expanding partnerships across North America EMEA and APAC in </w:t>
      </w:r>
      <w:r>
        <w:t>fiscal year 2,026.</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 comprehensive global partner ecosystem through its Coupa Partner Xchange, which tracks over 150 consulting, implementation, advisory, payment, and reseller partners spanning North America, EMEA, AP</w:t>
      </w:r>
      <w:r>
        <w:t>AC, and LATAM regions.</w:t>
      </w:r>
    </w:p>
    <w:p w:rsidR="0071529F" w:rsidRDefault="005C3D9E">
      <w:pPr>
        <w:pStyle w:val="ListBullet"/>
        <w:spacing w:after="60"/>
        <w:ind w:left="510"/>
      </w:pPr>
      <w:r>
        <w:t>The company reports office locations worldwide to support its global footprint, including key regional hubs in North America (Foster City HQ, Ann Arbor, Boston, Chicago), Europe (Dublin, London, Paris, Karlsruhe, Grad Zagreb, Prague)</w:t>
      </w:r>
      <w:r>
        <w:t>, Asia (Bengaluru, Hyderabad, Singapore, Tokyo), South America (Bogotá, São Paulo), and the Middle East (Dubai).</w:t>
      </w:r>
    </w:p>
    <w:p w:rsidR="0071529F" w:rsidRDefault="005C3D9E">
      <w:pPr>
        <w:keepNext/>
        <w:pBdr>
          <w:left w:val="single" w:sz="24" w:space="6" w:color="52B69A"/>
        </w:pBdr>
        <w:spacing w:before="120" w:after="60"/>
        <w:ind w:left="170"/>
      </w:pPr>
      <w:r>
        <w:rPr>
          <w:b/>
          <w:color w:val="0F172A"/>
          <w:sz w:val="20"/>
        </w:rPr>
        <w:lastRenderedPageBreak/>
        <w:t>Market Share &amp; Competitive Positioning — scored 100/100</w:t>
      </w:r>
    </w:p>
    <w:p w:rsidR="0071529F" w:rsidRDefault="005C3D9E">
      <w:pPr>
        <w:keepNext/>
        <w:pBdr>
          <w:left w:val="single" w:sz="24" w:space="6" w:color="52B69A"/>
        </w:pBdr>
        <w:ind w:left="170"/>
      </w:pPr>
      <w:r>
        <w:t>The evaluation rests on verified large-enterprise contract placements across major glob</w:t>
      </w:r>
      <w:r>
        <w:t>al corporations and the company's multi-trillion dollar transaction network scale. Based on primary research, the company's market share and competitive win rates can be estimated as dominant as the leading market standard, based on its 100 plus new custom</w:t>
      </w:r>
      <w:r>
        <w:t>er logos added in fourth quarter fiscal year 2,026 and position as a leader in the 2,026 gartner magic quadrant for source to pay suites.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community-powered AI platform spans over $10 trillion in verified transactio</w:t>
      </w:r>
      <w:r>
        <w:t>nal spend data across a network of more than 10 million buyers and suppliers.</w:t>
      </w:r>
    </w:p>
    <w:p w:rsidR="0071529F" w:rsidRDefault="005C3D9E">
      <w:pPr>
        <w:pStyle w:val="ListBullet"/>
        <w:spacing w:after="60"/>
        <w:ind w:left="510"/>
      </w:pPr>
      <w:r>
        <w:t xml:space="preserve">Independent industry data reveals that Coupa Software was adopted as the primary invoice or accounts payable automation application by top-tier global enterprise accounts, </w:t>
      </w:r>
      <w:r>
        <w:t>including United Parcel Service in 2021, Concentrix in 2019, and Ahold Delhaize in 2016.</w:t>
      </w:r>
    </w:p>
    <w:p w:rsidR="0071529F" w:rsidRDefault="005C3D9E">
      <w:pPr>
        <w:keepNext/>
        <w:pBdr>
          <w:left w:val="single" w:sz="24" w:space="6" w:color="52B69A"/>
        </w:pBdr>
        <w:spacing w:before="120" w:after="60"/>
        <w:ind w:left="170"/>
      </w:pPr>
      <w:r>
        <w:rPr>
          <w:b/>
          <w:color w:val="0F172A"/>
          <w:sz w:val="20"/>
        </w:rPr>
        <w:t>Funding &amp; Strategic Investments — scored 100/100</w:t>
      </w:r>
    </w:p>
    <w:p w:rsidR="0071529F" w:rsidRDefault="005C3D9E">
      <w:pPr>
        <w:keepNext/>
        <w:pBdr>
          <w:left w:val="single" w:sz="24" w:space="6" w:color="52B69A"/>
        </w:pBdr>
        <w:ind w:left="170"/>
      </w:pPr>
      <w:r>
        <w:t>We verified that the company possesses top-tier strategic financial backing following its multi-billion dollar private</w:t>
      </w:r>
      <w:r>
        <w:t xml:space="preserve"> equity buyout and has executed subsequent strategic technology acquisitions to expand its automated invoice processing capabilities. Based on primary research, the company's standalone accounts payable feature capital allocation can be estimated as second</w:t>
      </w:r>
      <w:r>
        <w:t>ary to broad platform integration, based on its 2.3 million sourcing events in fiscal year 26.</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Thoma Bravo completed its all-cash acquisition of Coupa Software on February 28, 2023, in a transaction valued at approximately $8.0 billion, w</w:t>
      </w:r>
      <w:r>
        <w:t>hich included a minority investment from a subsidiary of the Abu Dhabi Investment Authority.</w:t>
      </w:r>
    </w:p>
    <w:p w:rsidR="0071529F" w:rsidRDefault="005C3D9E">
      <w:pPr>
        <w:pStyle w:val="ListBullet"/>
        <w:spacing w:after="60"/>
        <w:ind w:left="510"/>
      </w:pPr>
      <w:r>
        <w:t>Coupa Software completed its acquisition of Rossum on May 12, 2026, to integrate artificial intelligence and intelligent document processing capabilities across it</w:t>
      </w:r>
      <w:r>
        <w:t>s accounts payable and spend management workflows.</w:t>
      </w:r>
    </w:p>
    <w:p w:rsidR="0071529F" w:rsidRDefault="005C3D9E">
      <w:pPr>
        <w:pStyle w:val="Heading2"/>
        <w:pageBreakBefore/>
        <w:shd w:val="clear" w:color="auto" w:fill="002857"/>
        <w:spacing w:after="0"/>
      </w:pPr>
      <w:bookmarkStart w:id="9" w:name="_Toc242447153"/>
      <w:r>
        <w:lastRenderedPageBreak/>
        <w:t>Tungsten Automation Corp (subsidiary of Clearlake Capital and TA Associates)</w:t>
      </w:r>
      <w:bookmarkEnd w:id="9"/>
    </w:p>
    <w:p w:rsidR="0071529F" w:rsidRDefault="005C3D9E">
      <w:pPr>
        <w:shd w:val="clear" w:color="auto" w:fill="002857"/>
        <w:spacing w:after="200"/>
      </w:pPr>
      <w:r>
        <w:rPr>
          <w:color w:val="CBD5E1"/>
          <w:sz w:val="18"/>
        </w:rPr>
        <w:t xml:space="preserve">Tungsten AP Agility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 xml:space="preserve">Invoice Capture &amp; Data Extraction </w:t>
      </w:r>
      <w:r>
        <w:rPr>
          <w:b/>
          <w:color w:val="0F172A"/>
          <w:sz w:val="20"/>
        </w:rPr>
        <w:t>Accuracy — scored 94/100</w:t>
      </w:r>
    </w:p>
    <w:p w:rsidR="0071529F" w:rsidRDefault="005C3D9E">
      <w:pPr>
        <w:keepNext/>
        <w:pBdr>
          <w:left w:val="single" w:sz="24" w:space="6" w:color="52B69A"/>
        </w:pBdr>
        <w:ind w:left="170"/>
      </w:pPr>
      <w:r>
        <w:t>The rating rests on the company's published technical specifications detailing high data extraction precision rates alongside a 90%+ touchless milestone achieved through its integrated compliance partnership. Based on primary resea</w:t>
      </w:r>
      <w:r>
        <w:t>rch, the company's legacy deployment data extraction accuracy can be estimated as strong, in line with leading vendors, based on its 25,000 global customers and 238 patents.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data extraction solutions, such as </w:t>
      </w:r>
      <w:r>
        <w:t>Tungsten Transact, eliminate manual entry errors by delivering data extraction accuracy rates up to 99.9%, while its AI-driven advanced OCR engine for InvoiceAgility and AP Essentials achieves an extraction accuracy rate of 95% to 99%.</w:t>
      </w:r>
    </w:p>
    <w:p w:rsidR="0071529F" w:rsidRDefault="005C3D9E">
      <w:pPr>
        <w:pStyle w:val="ListBullet"/>
        <w:spacing w:after="60"/>
        <w:ind w:left="510"/>
      </w:pPr>
      <w:r>
        <w:t>In its joint solutio</w:t>
      </w:r>
      <w:r>
        <w:t>n partnership with Sovos launched in July 2025, the company reports achieving a touchless processing rate of over 90% through its AI-powered OCR invoice capture and automated matching platform.</w:t>
      </w:r>
    </w:p>
    <w:p w:rsidR="0071529F" w:rsidRDefault="005C3D9E">
      <w:pPr>
        <w:keepNext/>
        <w:pBdr>
          <w:left w:val="single" w:sz="24" w:space="6" w:color="52B69A"/>
        </w:pBdr>
        <w:spacing w:before="120" w:after="60"/>
        <w:ind w:left="170"/>
      </w:pPr>
      <w:r>
        <w:rPr>
          <w:b/>
          <w:color w:val="0F172A"/>
          <w:sz w:val="20"/>
        </w:rPr>
        <w:t>Workflow Automation &amp; Approval Routing — scored 92/100</w:t>
      </w:r>
    </w:p>
    <w:p w:rsidR="0071529F" w:rsidRDefault="005C3D9E">
      <w:pPr>
        <w:keepNext/>
        <w:pBdr>
          <w:left w:val="single" w:sz="24" w:space="6" w:color="52B69A"/>
        </w:pBdr>
        <w:ind w:left="170"/>
      </w:pPr>
      <w:r>
        <w:t>We veri</w:t>
      </w:r>
      <w:r>
        <w:t>fied that the platform provides robust configurable approval rules, multi-tier escalation paths based on financial thresholds, and dedicated exception-handling capabilities across its core automation systems. Based on primary research, the company's automa</w:t>
      </w:r>
      <w:r>
        <w:t>ted routing workflow efficiency can be estimated as high, based on its 25,000 global customers and 850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Tungsten AP Essentials supports hierarchy-driven approval workflows that can be linear, parallel, on</w:t>
      </w:r>
      <w:r>
        <w:t>e-step, or automatic based on user monetary limits and predefined constraints, alongside mobile app approvals and an automated audit trail tracking every step from initial capture to final posting.</w:t>
      </w:r>
    </w:p>
    <w:p w:rsidR="0071529F" w:rsidRDefault="005C3D9E">
      <w:pPr>
        <w:pStyle w:val="ListBullet"/>
        <w:spacing w:after="60"/>
        <w:ind w:left="510"/>
      </w:pPr>
      <w:r>
        <w:t>The company reports that its AP Agility and Process Direct</w:t>
      </w:r>
      <w:r>
        <w:t>or for SAP solutions provide automated exception handling workflows, automatic general ledger routing for non-PO invoices, and a history tab that archives all reviewer comments and resolution actions.</w:t>
      </w:r>
    </w:p>
    <w:p w:rsidR="0071529F" w:rsidRDefault="005C3D9E">
      <w:pPr>
        <w:keepNext/>
        <w:pBdr>
          <w:left w:val="single" w:sz="24" w:space="6" w:color="52B69A"/>
        </w:pBdr>
        <w:spacing w:before="120" w:after="60"/>
        <w:ind w:left="170"/>
      </w:pPr>
      <w:r>
        <w:rPr>
          <w:b/>
          <w:color w:val="0F172A"/>
          <w:sz w:val="20"/>
        </w:rPr>
        <w:t>ERP &amp; Accounting System Integration — scored 90/100</w:t>
      </w:r>
    </w:p>
    <w:p w:rsidR="0071529F" w:rsidRDefault="005C3D9E">
      <w:pPr>
        <w:keepNext/>
        <w:pBdr>
          <w:left w:val="single" w:sz="24" w:space="6" w:color="52B69A"/>
        </w:pBdr>
        <w:ind w:left="170"/>
      </w:pPr>
      <w:r>
        <w:t>The</w:t>
      </w:r>
      <w:r>
        <w:t xml:space="preserve"> evaluation rests on the company's documented suite of certified, deep-tier connectors and embedded software modules for global enterprise ERP systems. Based on primary research, the company's pre-built native connectors for smaller-scale accounting platfo</w:t>
      </w:r>
      <w:r>
        <w:t>rms can be estimated as limited, primarily relying on third-party marketplace solutions or custom integration layers rather than native pre-built connectors, based on its over 850 partners and resellers in the global network.</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w:t>
      </w:r>
      <w:r>
        <w:t>reports that Tungsten MarkView features an Oracle Validation Interface certified integration for Oracle E-Business Suite, while Tungsten Process Director provides an SAP-certified workflow embedded directly within SAP environments.</w:t>
      </w:r>
    </w:p>
    <w:p w:rsidR="0071529F" w:rsidRDefault="005C3D9E">
      <w:pPr>
        <w:pStyle w:val="ListBullet"/>
        <w:spacing w:after="60"/>
        <w:ind w:left="510"/>
      </w:pPr>
      <w:r>
        <w:t>The company reports that</w:t>
      </w:r>
      <w:r>
        <w:t xml:space="preserve"> Tungsten AP Essentials includes pre-built integrations and certified cloud connectors for major financial systems including Oracle NetSuite, Microsoft Dynamics 365, and Coupa Spend Management.</w:t>
      </w:r>
    </w:p>
    <w:p w:rsidR="0071529F" w:rsidRDefault="005C3D9E">
      <w:pPr>
        <w:keepNext/>
        <w:pBdr>
          <w:left w:val="single" w:sz="24" w:space="6" w:color="52B69A"/>
        </w:pBdr>
        <w:spacing w:before="120" w:after="60"/>
        <w:ind w:left="170"/>
      </w:pPr>
      <w:r>
        <w:rPr>
          <w:b/>
          <w:color w:val="0F172A"/>
          <w:sz w:val="20"/>
        </w:rPr>
        <w:t>AI/ML &amp; Fraud Detection Capabilities — scored 93/100</w:t>
      </w:r>
    </w:p>
    <w:p w:rsidR="0071529F" w:rsidRDefault="005C3D9E">
      <w:pPr>
        <w:keepNext/>
        <w:pBdr>
          <w:left w:val="single" w:sz="24" w:space="6" w:color="52B69A"/>
        </w:pBdr>
        <w:ind w:left="170"/>
      </w:pPr>
      <w:r>
        <w:t xml:space="preserve">The </w:t>
      </w:r>
      <w:r>
        <w:t>rating rests on the company's clear integration of agentic AI and machine learning for duplicate detection, predictive coding, and third-party risk analysis. Based on primary research, the company's continuous learning models anomaly accuracy can be estima</w:t>
      </w:r>
      <w:r>
        <w:t>ted as high, based on its 238 patents and 25,000 global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InvoiceAgility+ platform utilizes agentic AI to check for suspicious invoicing patterns, document inconsistencies, and duplicate submissions </w:t>
      </w:r>
      <w:r>
        <w:t>across the invoice-to-pay workflow.</w:t>
      </w:r>
    </w:p>
    <w:p w:rsidR="0071529F" w:rsidRDefault="005C3D9E">
      <w:pPr>
        <w:pStyle w:val="ListBullet"/>
        <w:spacing w:after="60"/>
        <w:ind w:left="510"/>
      </w:pPr>
      <w:r>
        <w:t>The company has integrated third-party forensic AI technologies, such as Resistant AI and Inscribe AI, into its TotalAgility platform to automatically detect document tampering and forgery risks in real time.</w:t>
      </w:r>
    </w:p>
    <w:p w:rsidR="0071529F" w:rsidRDefault="005C3D9E">
      <w:pPr>
        <w:keepNext/>
        <w:pBdr>
          <w:left w:val="single" w:sz="24" w:space="6" w:color="52B69A"/>
        </w:pBdr>
        <w:spacing w:before="120" w:after="60"/>
        <w:ind w:left="170"/>
      </w:pPr>
      <w:r>
        <w:rPr>
          <w:b/>
          <w:color w:val="0F172A"/>
          <w:sz w:val="20"/>
        </w:rPr>
        <w:t>Scalability</w:t>
      </w:r>
      <w:r>
        <w:rPr>
          <w:b/>
          <w:color w:val="0F172A"/>
          <w:sz w:val="20"/>
        </w:rPr>
        <w:t xml:space="preserve"> &amp; Global Compliance Support — scored 89/100</w:t>
      </w:r>
    </w:p>
    <w:p w:rsidR="0071529F" w:rsidRDefault="005C3D9E">
      <w:pPr>
        <w:keepNext/>
        <w:pBdr>
          <w:left w:val="single" w:sz="24" w:space="6" w:color="52B69A"/>
        </w:pBdr>
        <w:ind w:left="170"/>
      </w:pPr>
      <w:r>
        <w:t>The rating rests on the platform's multi-country compliance frameworks, embedded PEPPOL network connectivity, and a strategic integration partnership with Sovos to validate global tax regulations. Based on prima</w:t>
      </w:r>
      <w:r>
        <w:t xml:space="preserve">ry research, the </w:t>
      </w:r>
      <w:r>
        <w:lastRenderedPageBreak/>
        <w:t>company's cloud service uptime performance can be estimated as high, ensuring near continuous availability, based on its 25,000 global customers and operations across 40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pr</w:t>
      </w:r>
      <w:r>
        <w:t>ocesses more than 530 million invoices annually with $3.5 trillion in commerce transacted, supporting e-invoicing compliance and clearance requirements across more than 140 countries.</w:t>
      </w:r>
    </w:p>
    <w:p w:rsidR="0071529F" w:rsidRDefault="005C3D9E">
      <w:pPr>
        <w:pStyle w:val="ListBullet"/>
        <w:spacing w:after="60"/>
        <w:ind w:left="510"/>
      </w:pPr>
      <w:r>
        <w:t>The company reports that its platform functions as a certified PEPPOL ac</w:t>
      </w:r>
      <w:r>
        <w:t>cess point providing native interoperability alongside national formats such as XRechnung and ZUGFeRD.</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72/100</w:t>
      </w:r>
    </w:p>
    <w:p w:rsidR="0071529F" w:rsidRDefault="005C3D9E">
      <w:pPr>
        <w:keepNext/>
        <w:pBdr>
          <w:left w:val="single" w:sz="24" w:space="6" w:color="52B69A"/>
        </w:pBdr>
        <w:ind w:left="170"/>
      </w:pPr>
      <w:r>
        <w:t xml:space="preserve">The evaluation rests on verified individual enterprise adoptions and self-reported </w:t>
      </w:r>
      <w:r>
        <w:t>deployment metrics for its newer AI-native invoice-to-pay engines. Based on primary research, the company's average contract values and wins can be estimated as growing steadily, reflecting enterprise-scale investments, based on its 25,000 global customers</w:t>
      </w:r>
      <w:r>
        <w:t xml:space="preserve"> and 2,200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Thermo Fisher Scientific implemented its automated invoice processing solution to reduce the number of lost or unpaid invoices.</w:t>
      </w:r>
    </w:p>
    <w:p w:rsidR="0071529F" w:rsidRDefault="005C3D9E">
      <w:pPr>
        <w:pStyle w:val="ListBullet"/>
        <w:spacing w:after="60"/>
        <w:ind w:left="510"/>
      </w:pPr>
      <w:r>
        <w:t>The company reports that 50 customers deployed its InvoiceAgili</w:t>
      </w:r>
      <w:r>
        <w:t>ty+ accounts payable automation engine during the first quarter of 2025.</w:t>
      </w:r>
    </w:p>
    <w:p w:rsidR="0071529F" w:rsidRDefault="005C3D9E">
      <w:pPr>
        <w:keepNext/>
        <w:pBdr>
          <w:left w:val="single" w:sz="24" w:space="6" w:color="52B69A"/>
        </w:pBdr>
        <w:spacing w:before="120" w:after="60"/>
        <w:ind w:left="170"/>
      </w:pPr>
      <w:r>
        <w:rPr>
          <w:b/>
          <w:color w:val="0F172A"/>
          <w:sz w:val="20"/>
        </w:rPr>
        <w:t>Revenue Growth &amp; Financial Health — scored 91/100</w:t>
      </w:r>
    </w:p>
    <w:p w:rsidR="0071529F" w:rsidRDefault="005C3D9E">
      <w:pPr>
        <w:keepNext/>
        <w:pBdr>
          <w:left w:val="single" w:sz="24" w:space="6" w:color="52B69A"/>
        </w:pBdr>
        <w:ind w:left="170"/>
      </w:pPr>
      <w:r>
        <w:t>The evaluation rests on the company's significant revenue scale and growth in recurring subscription metrics as verified by independe</w:t>
      </w:r>
      <w:r>
        <w:t>nt credit rating reports, offset by a highly leveraged financial position and negative free cash flow profile. Based on primary research, the company's accounts payable segment profitability can be estimated as highly profitable and efficient, based on its</w:t>
      </w:r>
      <w:r>
        <w:t xml:space="preserve"> operations spanning across 40 countries and 238 patents granted.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company's CEO reports that Tungsten Automation Corp generates between USD 500 million and USD 1 billion in annual revenue, with 90% recurring and an annual recurring re</w:t>
      </w:r>
      <w:r>
        <w:t>venue growth rate in the low double digits.</w:t>
      </w:r>
    </w:p>
    <w:p w:rsidR="0071529F" w:rsidRDefault="005C3D9E">
      <w:pPr>
        <w:pStyle w:val="ListBullet"/>
        <w:spacing w:after="60"/>
        <w:ind w:left="510"/>
      </w:pPr>
      <w:r>
        <w:t>An independent evaluation by Fitch Ratings in May 2025 verified that the company's annual recurring revenue grew by 8% in 2024, accounting for 87% of overall revenues, though its liquidity profile remains constra</w:t>
      </w:r>
      <w:r>
        <w:t>ined with elevated EBITDA leverage above 8.0x.</w:t>
      </w:r>
    </w:p>
    <w:p w:rsidR="0071529F" w:rsidRDefault="005C3D9E">
      <w:pPr>
        <w:keepNext/>
        <w:pBdr>
          <w:left w:val="single" w:sz="24" w:space="6" w:color="52B69A"/>
        </w:pBdr>
        <w:spacing w:before="120" w:after="60"/>
        <w:ind w:left="170"/>
      </w:pPr>
      <w:r>
        <w:rPr>
          <w:b/>
          <w:color w:val="0F172A"/>
          <w:sz w:val="20"/>
        </w:rPr>
        <w:t>Geographic Coverage &amp; Partner Network — scored 91/100</w:t>
      </w:r>
    </w:p>
    <w:p w:rsidR="0071529F" w:rsidRDefault="005C3D9E">
      <w:pPr>
        <w:keepNext/>
        <w:pBdr>
          <w:left w:val="single" w:sz="24" w:space="6" w:color="52B69A"/>
        </w:pBdr>
        <w:ind w:left="170"/>
      </w:pPr>
      <w:r>
        <w:t xml:space="preserve">The rating rests on the company's verified deployment of a large, structured global channel ecosystem spanning multiple continents alongside major </w:t>
      </w:r>
      <w:r>
        <w:t>enterprise device manufacturers. Based on primary research, the company's geographic and partner revenue contribution can be estimated as broadly distributed across major regions, based on its over 850 partners and resellers in the global network.</w:t>
      </w:r>
    </w:p>
    <w:p w:rsidR="0071529F" w:rsidRDefault="005C3D9E">
      <w:pPr>
        <w:keepNext/>
        <w:spacing w:after="40"/>
        <w:ind w:left="170"/>
      </w:pPr>
      <w:r>
        <w:rPr>
          <w:b/>
          <w:caps/>
          <w:color w:val="64748B"/>
          <w:sz w:val="15"/>
        </w:rPr>
        <w:t>Supporti</w:t>
      </w:r>
      <w:r>
        <w:rPr>
          <w:b/>
          <w:caps/>
          <w:color w:val="64748B"/>
          <w:sz w:val="15"/>
        </w:rPr>
        <w:t>ng points</w:t>
      </w:r>
    </w:p>
    <w:p w:rsidR="0071529F" w:rsidRDefault="005C3D9E">
      <w:pPr>
        <w:pStyle w:val="ListBullet"/>
        <w:spacing w:after="60"/>
        <w:ind w:left="510"/>
      </w:pPr>
      <w:r>
        <w:t>The company reports having a workforce spread across 32 countries and a global network of more than 850 partners spanning 140+ countries to support over 25,000 customers.</w:t>
      </w:r>
    </w:p>
    <w:p w:rsidR="0071529F" w:rsidRDefault="005C3D9E">
      <w:pPr>
        <w:pStyle w:val="ListBullet"/>
        <w:spacing w:after="60"/>
        <w:ind w:left="510"/>
      </w:pPr>
      <w:r>
        <w:t>The company reports maintaining a multi-region channel network divided acro</w:t>
      </w:r>
      <w:r>
        <w:t>ss AMS, EMEA, and APAC territories, driven by strategic technology alliances with global enterprise leaders such as Konica Minolta, Ricoh, Xerox, and Brother.</w:t>
      </w:r>
    </w:p>
    <w:p w:rsidR="0071529F" w:rsidRDefault="005C3D9E">
      <w:pPr>
        <w:keepNext/>
        <w:pBdr>
          <w:left w:val="single" w:sz="24" w:space="6" w:color="52B69A"/>
        </w:pBdr>
        <w:spacing w:before="120" w:after="60"/>
        <w:ind w:left="170"/>
      </w:pPr>
      <w:r>
        <w:rPr>
          <w:b/>
          <w:color w:val="0F172A"/>
          <w:sz w:val="20"/>
        </w:rPr>
        <w:t>Market Share &amp; Competitive Positioning — scored 99/100</w:t>
      </w:r>
    </w:p>
    <w:p w:rsidR="0071529F" w:rsidRDefault="005C3D9E">
      <w:pPr>
        <w:keepNext/>
        <w:pBdr>
          <w:left w:val="single" w:sz="24" w:space="6" w:color="52B69A"/>
        </w:pBdr>
        <w:ind w:left="170"/>
      </w:pPr>
      <w:r>
        <w:t>The rating rests on third-party tracking d</w:t>
      </w:r>
      <w:r>
        <w:t>atabases confirming high market penetration within top-tier international corporations and large enterprise accounts, alongside its recognition as a segment leader in recent vendor capability matrices. Based on primary research, the company's global accoun</w:t>
      </w:r>
      <w:r>
        <w:t>ts payable market share can be estimated as strong, in line with leading vendors, based on its over 25,000 global customers served by the company.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A vendor market-share study of accounts payable adoption among the global top 100 enterpris</w:t>
      </w:r>
      <w:r>
        <w:t>e accounts indicates that Kofax (the former name of Tungsten Automation) held a 17% market share across its Kofax MarkView and Kofax ReadSoft Online applications.</w:t>
      </w:r>
    </w:p>
    <w:p w:rsidR="0071529F" w:rsidRDefault="005C3D9E">
      <w:pPr>
        <w:pStyle w:val="ListBullet"/>
        <w:spacing w:after="60"/>
        <w:ind w:left="510"/>
      </w:pPr>
      <w:r>
        <w:t xml:space="preserve">An independent evaluation of intelligent document processing (IDP) software platforms states </w:t>
      </w:r>
      <w:r>
        <w:t>that Tungsten Automation commands an estimated 2.0% market share specifically within large enterprise deployments.</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95/100</w:t>
      </w:r>
    </w:p>
    <w:p w:rsidR="0071529F" w:rsidRDefault="005C3D9E">
      <w:pPr>
        <w:keepNext/>
        <w:pBdr>
          <w:left w:val="single" w:sz="24" w:space="6" w:color="52B69A"/>
        </w:pBdr>
        <w:ind w:left="170"/>
      </w:pPr>
      <w:r>
        <w:t xml:space="preserve">The rating rests on verified, high-profile strategic M&amp;A activities directly in the accounts </w:t>
      </w:r>
      <w:r>
        <w:t>payable automation space, including the acquisition of a prominent global e-invoicing network and a subsequent multi-billion private equity buyout transaction. Based on primary research, the company's private equity transaction totals can be estimated as s</w:t>
      </w:r>
      <w:r>
        <w:t>ubstantial, matching Tier One enterprise software valuations, based on its team of 2,200 employees globally and over 350 federal agencies worldwide.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Kofax (renamed Tungsten Automation in January 2024) completed the acquisition of Tungsten</w:t>
      </w:r>
      <w:r>
        <w:t xml:space="preserve"> Corporation plc, a provider of electronic invoicing and accounts payable automation solutions, on June 16, 2022, following a bidding process where it offered 55p per share for a total valuation of approximately £70.6 million.</w:t>
      </w:r>
    </w:p>
    <w:p w:rsidR="0071529F" w:rsidRDefault="005C3D9E">
      <w:pPr>
        <w:pStyle w:val="ListBullet"/>
        <w:spacing w:after="60"/>
        <w:ind w:left="510"/>
      </w:pPr>
      <w:r>
        <w:t>Clearlake Capital Group and T</w:t>
      </w:r>
      <w:r>
        <w:t>A Associates completed the buyout of Kofax (now Tungsten Automation) from Thoma Bravo on July 25, 2022.</w:t>
      </w:r>
    </w:p>
    <w:p w:rsidR="0071529F" w:rsidRDefault="005C3D9E">
      <w:pPr>
        <w:pStyle w:val="Heading2"/>
        <w:pageBreakBefore/>
        <w:shd w:val="clear" w:color="auto" w:fill="002857"/>
        <w:spacing w:after="0"/>
      </w:pPr>
      <w:bookmarkStart w:id="10" w:name="_Toc242447154"/>
      <w:r>
        <w:lastRenderedPageBreak/>
        <w:t>Medius AB (subsidiary of Marlin Equity Partners)</w:t>
      </w:r>
      <w:bookmarkEnd w:id="10"/>
    </w:p>
    <w:p w:rsidR="0071529F" w:rsidRDefault="005C3D9E">
      <w:pPr>
        <w:shd w:val="clear" w:color="auto" w:fill="002857"/>
        <w:spacing w:after="200"/>
      </w:pPr>
      <w:r>
        <w:rPr>
          <w:color w:val="CBD5E1"/>
          <w:sz w:val="18"/>
        </w:rPr>
        <w:t xml:space="preserve">Medius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91</w:t>
      </w:r>
      <w:r>
        <w:rPr>
          <w:color w:val="CBD5E1"/>
          <w:sz w:val="18"/>
        </w:rPr>
        <w:t xml:space="preserve">     Overall </w:t>
      </w:r>
      <w:r>
        <w:rPr>
          <w:b/>
          <w:color w:val="FFFFFF"/>
          <w:sz w:val="20"/>
        </w:rPr>
        <w:t>90</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 xml:space="preserve">Invoice Capture &amp; Data </w:t>
      </w:r>
      <w:r>
        <w:rPr>
          <w:b/>
          <w:color w:val="0F172A"/>
          <w:sz w:val="20"/>
        </w:rPr>
        <w:t>Extraction Accuracy — scored 87/100</w:t>
      </w:r>
    </w:p>
    <w:p w:rsidR="0071529F" w:rsidRDefault="005C3D9E">
      <w:pPr>
        <w:keepNext/>
        <w:pBdr>
          <w:left w:val="single" w:sz="24" w:space="6" w:color="52B69A"/>
        </w:pBdr>
        <w:ind w:left="170"/>
      </w:pPr>
      <w:r>
        <w:t>The rating rests on the company's highly granular, published operational metrics regarding AI data extraction accuracy, proprietary deep learning models trained on billions of data points, and exceptionally high self-rep</w:t>
      </w:r>
      <w:r>
        <w:t>orted straight-through touchless processing rates. Based on primary research, the company's invoice extraction accuracy and touchless processing can be estimated as high across production environments, based on its more than 4,000 customers and $300 billio</w:t>
      </w:r>
      <w:r>
        <w:t>n in processed annual spend.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AI-powered data extraction engine achieves a 99% accuracy rate for capturing header and line-level data, complemented by a proprietary SmartFlow convolutional neural network (CNN) </w:t>
      </w:r>
      <w:r>
        <w:t>that reaches 95%+ coding precision after being trained on just two historical invoices.</w:t>
      </w:r>
    </w:p>
    <w:p w:rsidR="0071529F" w:rsidRDefault="005C3D9E">
      <w:pPr>
        <w:pStyle w:val="ListBullet"/>
        <w:spacing w:after="60"/>
        <w:ind w:left="510"/>
      </w:pPr>
      <w:r>
        <w:t>The company reports achieving a 96.3% touchless processing rate for purchase-order (PO) invoices and a 99.5% touchless rate for non-PO invoices by leveraging an AI pipe</w:t>
      </w:r>
      <w:r>
        <w:t>line built on Siamese CNNs, tree-based ensembles, and Markov models.</w:t>
      </w:r>
    </w:p>
    <w:p w:rsidR="0071529F" w:rsidRDefault="005C3D9E">
      <w:pPr>
        <w:keepNext/>
        <w:pBdr>
          <w:left w:val="single" w:sz="24" w:space="6" w:color="52B69A"/>
        </w:pBdr>
        <w:spacing w:before="120" w:after="60"/>
        <w:ind w:left="170"/>
      </w:pPr>
      <w:r>
        <w:rPr>
          <w:b/>
          <w:color w:val="0F172A"/>
          <w:sz w:val="20"/>
        </w:rPr>
        <w:t>Workflow Automation &amp; Approval Routing — scored 87/100</w:t>
      </w:r>
    </w:p>
    <w:p w:rsidR="0071529F" w:rsidRDefault="005C3D9E">
      <w:pPr>
        <w:keepNext/>
        <w:pBdr>
          <w:left w:val="single" w:sz="24" w:space="6" w:color="52B69A"/>
        </w:pBdr>
        <w:ind w:left="170"/>
      </w:pPr>
      <w:r>
        <w:t>The evaluation rests on the company's extensive self-reported documentation outlining its dynamic approval workflows, multi-device r</w:t>
      </w:r>
      <w:r>
        <w:t>outing, and audit trail retention capabilities. Based on primary research, the company's workflow builder speed and performance can be estimated as fast for most approvals, based on its 500,000 users and automatic approval routing.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w:t>
      </w:r>
      <w:r>
        <w:t>mpany reports that its software offers configurable, condition-based approval routing, multi-step and parallel approval workflows, automated delegation, and escalation rules triggered by factors like invoice amount, supplier, department, or cost center.</w:t>
      </w:r>
    </w:p>
    <w:p w:rsidR="0071529F" w:rsidRDefault="005C3D9E">
      <w:pPr>
        <w:pStyle w:val="ListBullet"/>
        <w:spacing w:after="60"/>
        <w:ind w:left="510"/>
      </w:pPr>
      <w:r>
        <w:t>Th</w:t>
      </w:r>
      <w:r>
        <w:t>e company reports providing mobile approval capabilities via web, email, or mobile browsers, alongside automatic enforcement of delegation of authority and complete cloud-archived audit trails for all actions and comments.</w:t>
      </w:r>
    </w:p>
    <w:p w:rsidR="0071529F" w:rsidRDefault="005C3D9E">
      <w:pPr>
        <w:keepNext/>
        <w:pBdr>
          <w:left w:val="single" w:sz="24" w:space="6" w:color="52B69A"/>
        </w:pBdr>
        <w:spacing w:before="120" w:after="60"/>
        <w:ind w:left="170"/>
      </w:pPr>
      <w:r>
        <w:rPr>
          <w:b/>
          <w:color w:val="0F172A"/>
          <w:sz w:val="20"/>
        </w:rPr>
        <w:t>ERP &amp; Accounting System Integrati</w:t>
      </w:r>
      <w:r>
        <w:rPr>
          <w:b/>
          <w:color w:val="0F172A"/>
          <w:sz w:val="20"/>
        </w:rPr>
        <w:t>on — scored 96/100</w:t>
      </w:r>
    </w:p>
    <w:p w:rsidR="0071529F" w:rsidRDefault="005C3D9E">
      <w:pPr>
        <w:keepNext/>
        <w:pBdr>
          <w:left w:val="single" w:sz="24" w:space="6" w:color="52B69A"/>
        </w:pBdr>
        <w:ind w:left="170"/>
      </w:pPr>
      <w:r>
        <w:t xml:space="preserve">The rating rests on the company's verified third-party technical certifications with major enterprise software platforms like SAP and Oracle NetSuite alongside a broad portfolio of pre-packaged connectors. Based on primary research, the </w:t>
      </w:r>
      <w:r>
        <w:t>company's supported systems and procurement depth catalog can be estimated as broad across the major ERP platforms, based on its 500,000 users and reach across more than 100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providing over 100 pre-packaged a</w:t>
      </w:r>
      <w:r>
        <w:t>nd fully managed ERP connectors, including certified integrations carrying formal Built for NetSuite and SAP Certified Integration status for systems like SAP S/4HANA and RISE with SAP S/4HANA Cloud.</w:t>
      </w:r>
    </w:p>
    <w:p w:rsidR="0071529F" w:rsidRDefault="005C3D9E">
      <w:pPr>
        <w:pStyle w:val="ListBullet"/>
        <w:spacing w:after="60"/>
        <w:ind w:left="510"/>
      </w:pPr>
      <w:r>
        <w:t xml:space="preserve">The company reports offering bi-directional, continuous </w:t>
      </w:r>
      <w:r>
        <w:t>real-time data synchronization with systems such as Oracle Fusion and Infor SyteLine, which continuously updates invoice, supplier, and ledger master data without relying on traditional batch processing.</w:t>
      </w:r>
    </w:p>
    <w:p w:rsidR="0071529F" w:rsidRDefault="005C3D9E">
      <w:pPr>
        <w:keepNext/>
        <w:pBdr>
          <w:left w:val="single" w:sz="24" w:space="6" w:color="52B69A"/>
        </w:pBdr>
        <w:spacing w:before="120" w:after="60"/>
        <w:ind w:left="170"/>
      </w:pPr>
      <w:r>
        <w:rPr>
          <w:b/>
          <w:color w:val="0F172A"/>
          <w:sz w:val="20"/>
        </w:rPr>
        <w:t>AI/ML &amp; Fraud Detection Capabilities — scored 93/100</w:t>
      </w:r>
    </w:p>
    <w:p w:rsidR="0071529F" w:rsidRDefault="005C3D9E">
      <w:pPr>
        <w:keepNext/>
        <w:pBdr>
          <w:left w:val="single" w:sz="24" w:space="6" w:color="52B69A"/>
        </w:pBdr>
        <w:ind w:left="170"/>
      </w:pPr>
      <w:r>
        <w:t>The rating rests on the company's clear deployment of native machine learning models trained on a massive historical invoice dataset to conduct automated fraud, duplicate, and anomaly detection. Based on primary research, the company's fraud reduction and</w:t>
      </w:r>
      <w:r>
        <w:t xml:space="preserve"> risk scoring model accuracy can be estimated as strong compared to manual review alone, based on its advanced artificial intelligence algorithms and machine learning anomaly detection.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domain-specific machine lear</w:t>
      </w:r>
      <w:r>
        <w:t>ning learning loop is built on over 2.4 billion invoice field data points and 393 million real-world corrective labels amassed over 10 years of production data.</w:t>
      </w:r>
    </w:p>
    <w:p w:rsidR="0071529F" w:rsidRDefault="005C3D9E">
      <w:pPr>
        <w:pStyle w:val="ListBullet"/>
        <w:spacing w:after="60"/>
        <w:ind w:left="510"/>
      </w:pPr>
      <w:r>
        <w:t>The company reports that its AI-powered fraud detection module incorporates adaptive machine le</w:t>
      </w:r>
      <w:r>
        <w:t>arning models and predictive analytics to score risks, flagging anomalies like duplicate invoices, vendor impersonation, and supplier bank-detail updates to achieve a reported 90% to 95% reduction in payment fraud and error rates.</w:t>
      </w:r>
    </w:p>
    <w:p w:rsidR="0071529F" w:rsidRDefault="005C3D9E">
      <w:pPr>
        <w:keepNext/>
        <w:pBdr>
          <w:left w:val="single" w:sz="24" w:space="6" w:color="52B69A"/>
        </w:pBdr>
        <w:spacing w:before="120" w:after="60"/>
        <w:ind w:left="170"/>
      </w:pPr>
      <w:r>
        <w:rPr>
          <w:b/>
          <w:color w:val="0F172A"/>
          <w:sz w:val="20"/>
        </w:rPr>
        <w:lastRenderedPageBreak/>
        <w:t>Scalability &amp; Global Comp</w:t>
      </w:r>
      <w:r>
        <w:rPr>
          <w:b/>
          <w:color w:val="0F172A"/>
          <w:sz w:val="20"/>
        </w:rPr>
        <w:t>liance Support — scored 86/100</w:t>
      </w:r>
    </w:p>
    <w:p w:rsidR="0071529F" w:rsidRDefault="005C3D9E">
      <w:pPr>
        <w:keepNext/>
        <w:pBdr>
          <w:left w:val="single" w:sz="24" w:space="6" w:color="52B69A"/>
        </w:pBdr>
        <w:ind w:left="170"/>
      </w:pPr>
      <w:r>
        <w:t>The assessment rests on the platform's documented multi-country tax compliance frameworks and localized e-invoicing support via its partner ecosystem, though independent validation of its performance limits is absent. Based o</w:t>
      </w:r>
      <w:r>
        <w:t>n primary research, the company's technical scalability and enterprise availability can be estimated as stable and resilient under peak workloads, based on its operations spanning 12 countries and reaching over 100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w:t>
      </w:r>
      <w:r>
        <w:t>reports that its platform ensures global e-invoicing and tax compliance across more than 80 countries, including regional variations and PEPPOL support, which is delivered through a technology partnership with Pagero.</w:t>
      </w:r>
    </w:p>
    <w:p w:rsidR="0071529F" w:rsidRDefault="005C3D9E">
      <w:pPr>
        <w:pStyle w:val="ListBullet"/>
        <w:spacing w:after="60"/>
        <w:ind w:left="510"/>
      </w:pPr>
      <w:r>
        <w:t xml:space="preserve">The company reports that its platform </w:t>
      </w:r>
      <w:r>
        <w:t>has handled 50% invoice volume increases for clients and integrates with Avalara AvaTax to verify US sales and use tax within the live approval workflow.</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79/100</w:t>
      </w:r>
    </w:p>
    <w:p w:rsidR="0071529F" w:rsidRDefault="005C3D9E">
      <w:pPr>
        <w:keepNext/>
        <w:pBdr>
          <w:left w:val="single" w:sz="24" w:space="6" w:color="52B69A"/>
        </w:pBdr>
        <w:ind w:left="170"/>
      </w:pPr>
      <w:r>
        <w:t xml:space="preserve">The evaluation rests on the </w:t>
      </w:r>
      <w:r>
        <w:t>company's verified partnership base of nearly 200 mutual enterprise clients with Thomson Reuters alongside its self-reported global roster of over 4,000 customers. Based on primary research, the company's average contract values and transaction metrics can</w:t>
      </w:r>
      <w:r>
        <w:t xml:space="preserve"> be estimated as substantial given enterprise spend management, based on its 890 coworkers and global enterprise scale.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 is trusted by more than 4,000 customers worldwide.</w:t>
      </w:r>
    </w:p>
    <w:p w:rsidR="0071529F" w:rsidRDefault="005C3D9E">
      <w:pPr>
        <w:pStyle w:val="ListBullet"/>
        <w:spacing w:after="60"/>
        <w:ind w:left="510"/>
      </w:pPr>
      <w:r>
        <w:t>A September 2026 announcement confirmed</w:t>
      </w:r>
      <w:r>
        <w:t xml:space="preserve"> that an ongoing partnership between Medius AB and Thomson Reuters Corporation's ONESOURCE Pagero network supports nearly 200 mutual customers.</w:t>
      </w:r>
    </w:p>
    <w:p w:rsidR="0071529F" w:rsidRDefault="005C3D9E">
      <w:pPr>
        <w:keepNext/>
        <w:pBdr>
          <w:left w:val="single" w:sz="24" w:space="6" w:color="52B69A"/>
        </w:pBdr>
        <w:spacing w:before="120" w:after="60"/>
        <w:ind w:left="170"/>
      </w:pPr>
      <w:r>
        <w:rPr>
          <w:b/>
          <w:color w:val="0F172A"/>
          <w:sz w:val="20"/>
        </w:rPr>
        <w:t>Revenue Growth &amp; Financial Health — scored 91/100</w:t>
      </w:r>
    </w:p>
    <w:p w:rsidR="0071529F" w:rsidRDefault="005C3D9E">
      <w:pPr>
        <w:keepNext/>
        <w:pBdr>
          <w:left w:val="single" w:sz="24" w:space="6" w:color="52B69A"/>
        </w:pBdr>
        <w:ind w:left="170"/>
      </w:pPr>
      <w:r>
        <w:t>Our rating rests on the company's confirmed historical recurri</w:t>
      </w:r>
      <w:r>
        <w:t>ng revenue achievements, sustained private equity funding from major global investment firms, and continuous expansion. Based on primary research, the company's revenue growth rate can be estimated as growing steadily, based on its more than 4,000 customer</w:t>
      </w:r>
      <w:r>
        <w:t>s and $300 billion in annual spend.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reported that its Contracted Annualized Recurring Revenue (CARR) at the end of 2020 reached 543 million SEK ($66 million USD), with new annualized contract value sales growing by 49% during </w:t>
      </w:r>
      <w:r>
        <w:t>that year.</w:t>
      </w:r>
    </w:p>
    <w:p w:rsidR="0071529F" w:rsidRDefault="005C3D9E">
      <w:pPr>
        <w:pStyle w:val="ListBullet"/>
        <w:spacing w:after="60"/>
        <w:ind w:left="510"/>
      </w:pPr>
      <w:r>
        <w:t>The company reports its ongoing funding status via private equity backing from majority shareholder Marlin Equity Partners, alongside a minority stake acquired by Advent International on March 16, 2022.</w:t>
      </w:r>
    </w:p>
    <w:p w:rsidR="0071529F" w:rsidRDefault="005C3D9E">
      <w:pPr>
        <w:keepNext/>
        <w:pBdr>
          <w:left w:val="single" w:sz="24" w:space="6" w:color="52B69A"/>
        </w:pBdr>
        <w:spacing w:before="120" w:after="60"/>
        <w:ind w:left="170"/>
      </w:pPr>
      <w:r>
        <w:rPr>
          <w:b/>
          <w:color w:val="0F172A"/>
          <w:sz w:val="20"/>
        </w:rPr>
        <w:t>Geographic Coverage &amp; Partner Network — sc</w:t>
      </w:r>
      <w:r>
        <w:rPr>
          <w:b/>
          <w:color w:val="0F172A"/>
          <w:sz w:val="20"/>
        </w:rPr>
        <w:t>ored 91/100</w:t>
      </w:r>
    </w:p>
    <w:p w:rsidR="0071529F" w:rsidRDefault="005C3D9E">
      <w:pPr>
        <w:keepNext/>
        <w:pBdr>
          <w:left w:val="single" w:sz="24" w:space="6" w:color="52B69A"/>
        </w:pBdr>
        <w:ind w:left="170"/>
      </w:pPr>
      <w:r>
        <w:t>The rating rests on the company's clear physical presence across North America, Europe, and the APAC region alongside an established multi-tiered partner ecosystem. Based on primary research, the company's country global service reach can be es</w:t>
      </w:r>
      <w:r>
        <w:t>timated as broad across major regions, based on its presence across 12 countries and reaching 116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maintaining physical corporate offices in Sweden (HQ), the United States, the United Kingdom, Australia, Denm</w:t>
      </w:r>
      <w:r>
        <w:t>ark, Norway, the Netherlands, France, Tunisia, and Poland.</w:t>
      </w:r>
    </w:p>
    <w:p w:rsidR="0071529F" w:rsidRDefault="005C3D9E">
      <w:pPr>
        <w:pStyle w:val="ListBullet"/>
        <w:spacing w:after="60"/>
        <w:ind w:left="510"/>
      </w:pPr>
      <w:r>
        <w:t xml:space="preserve">The company reports a structured network of channel, technology, and referral partners globally, including localized European agreements with consultancies like Panamoure and fintech firms such as </w:t>
      </w:r>
      <w:r>
        <w:t>AiVidens.</w:t>
      </w:r>
    </w:p>
    <w:p w:rsidR="0071529F" w:rsidRDefault="005C3D9E">
      <w:pPr>
        <w:keepNext/>
        <w:pBdr>
          <w:left w:val="single" w:sz="24" w:space="6" w:color="52B69A"/>
        </w:pBdr>
        <w:spacing w:before="120" w:after="60"/>
        <w:ind w:left="170"/>
      </w:pPr>
      <w:r>
        <w:rPr>
          <w:b/>
          <w:color w:val="0F172A"/>
          <w:sz w:val="20"/>
        </w:rPr>
        <w:t>Market Share &amp; Competitive Positioning — scored 100/100</w:t>
      </w:r>
    </w:p>
    <w:p w:rsidR="0071529F" w:rsidRDefault="005C3D9E">
      <w:pPr>
        <w:keepNext/>
        <w:pBdr>
          <w:left w:val="single" w:sz="24" w:space="6" w:color="52B69A"/>
        </w:pBdr>
        <w:ind w:left="170"/>
      </w:pPr>
      <w:r>
        <w:t xml:space="preserve">The evaluation rests on verified third-party analyst recognition designating the company as a prominent market leader alongside substantial self-reported operational scale. Based on primary </w:t>
      </w:r>
      <w:r>
        <w:t>research, the company's competitive win rates can be estimated as strong in line with leading vendors, based on its position in the accounts payable applications category and more than 4,000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An independent industry evaluation </w:t>
      </w:r>
      <w:r>
        <w:t>in June 2026 positioned the company as a market Leader for accounts payable applications based on its completeness of vision and execution capabilities.</w:t>
      </w:r>
    </w:p>
    <w:p w:rsidR="0071529F" w:rsidRDefault="005C3D9E">
      <w:pPr>
        <w:pStyle w:val="ListBullet"/>
        <w:spacing w:after="60"/>
        <w:ind w:left="510"/>
      </w:pPr>
      <w:r>
        <w:t>The company reports that it serves more than 3,000 global customers and processes 6 million invoices mo</w:t>
      </w:r>
      <w:r>
        <w:t>nthly, orchestrating over $400 billion in annual transaction volume.</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94/100</w:t>
      </w:r>
    </w:p>
    <w:p w:rsidR="0071529F" w:rsidRDefault="005C3D9E">
      <w:pPr>
        <w:keepNext/>
        <w:pBdr>
          <w:left w:val="single" w:sz="24" w:space="6" w:color="52B69A"/>
        </w:pBdr>
        <w:ind w:left="170"/>
      </w:pPr>
      <w:r>
        <w:t xml:space="preserve">The company's evaluation rests on its verified ownership structure under Marlin Equity Partners and a minority equity investment by Advent </w:t>
      </w:r>
      <w:r>
        <w:t xml:space="preserve">International, alongside multiple completed strategic bolt-on acquisitions to build out its source-to-pay suite. Based on primary research, the company's transaction values and terms of funding can be estimated as substantial and reflecting a large market </w:t>
      </w:r>
      <w:r>
        <w:t>footprint, based on its more than 4,000 customers and $300 billion in annual spend processed.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Medius AB was acquired by global investment firm Marlin Equity Partners in August 2017, and subsequently received a minority investment from pri</w:t>
      </w:r>
      <w:r>
        <w:t>vate equity firm Advent International on March 16, 2022, with Marlin Equity Partners remaining the majority shareholder.</w:t>
      </w:r>
    </w:p>
    <w:p w:rsidR="0071529F" w:rsidRDefault="005C3D9E">
      <w:pPr>
        <w:pStyle w:val="ListBullet"/>
        <w:spacing w:after="60"/>
        <w:ind w:left="510"/>
      </w:pPr>
      <w:r>
        <w:t>Medius AB has expanded its capabilities through strategic acquisitions, including the purchase of procurement solution provider Wax Dig</w:t>
      </w:r>
      <w:r>
        <w:t>ital in November 2019, invoice payments provider OnPay Solutions in March 2022, and AI-driven expense management platform Expensya on July 25, 2023.</w:t>
      </w:r>
    </w:p>
    <w:p w:rsidR="0071529F" w:rsidRDefault="005C3D9E">
      <w:pPr>
        <w:pStyle w:val="Heading2"/>
        <w:pageBreakBefore/>
        <w:shd w:val="clear" w:color="auto" w:fill="002857"/>
        <w:spacing w:after="0"/>
      </w:pPr>
      <w:bookmarkStart w:id="11" w:name="_Toc242447155"/>
      <w:r>
        <w:lastRenderedPageBreak/>
        <w:t>AvidXchange, Inc. (acquired by TPG and Corpay)</w:t>
      </w:r>
      <w:bookmarkEnd w:id="11"/>
    </w:p>
    <w:p w:rsidR="0071529F" w:rsidRDefault="005C3D9E">
      <w:pPr>
        <w:shd w:val="clear" w:color="auto" w:fill="002857"/>
        <w:spacing w:after="200"/>
      </w:pPr>
      <w:r>
        <w:rPr>
          <w:color w:val="CBD5E1"/>
          <w:sz w:val="18"/>
        </w:rPr>
        <w:t xml:space="preserve">AvidXchange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91</w:t>
      </w:r>
      <w:r>
        <w:rPr>
          <w:color w:val="CBD5E1"/>
          <w:sz w:val="18"/>
        </w:rPr>
        <w:t xml:space="preserve">     Overall </w:t>
      </w:r>
      <w:r>
        <w:rPr>
          <w:b/>
          <w:color w:val="FFFFFF"/>
          <w:sz w:val="20"/>
        </w:rPr>
        <w:t>89</w:t>
      </w:r>
    </w:p>
    <w:p w:rsidR="0071529F" w:rsidRDefault="005C3D9E">
      <w:pPr>
        <w:keepNext/>
        <w:pBdr>
          <w:bottom w:val="single" w:sz="6" w:space="3" w:color="E2E8F0"/>
        </w:pBdr>
        <w:spacing w:before="120" w:after="120"/>
      </w:pPr>
      <w:r>
        <w:rPr>
          <w:b/>
          <w:caps/>
          <w:color w:val="1A759F"/>
        </w:rPr>
        <w:t>X —</w:t>
      </w:r>
      <w:r>
        <w:rPr>
          <w:b/>
          <w:caps/>
          <w:color w:val="1A759F"/>
        </w:rPr>
        <w:t xml:space="preserve">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87/100</w:t>
      </w:r>
    </w:p>
    <w:p w:rsidR="0071529F" w:rsidRDefault="005C3D9E">
      <w:pPr>
        <w:keepNext/>
        <w:pBdr>
          <w:left w:val="single" w:sz="24" w:space="6" w:color="52B69A"/>
        </w:pBdr>
        <w:ind w:left="170"/>
      </w:pPr>
      <w:r>
        <w:t>The rating rests on the company's self-reported claim of a 99.2% extraction accuracy rate achieved via AI-enhanced models supplemented by human validation teams. Based on pri</w:t>
      </w:r>
      <w:r>
        <w:t>mary research, the company's line-item extraction performance can be estimated as high, in line with leading vendors, based on its 8,000 businesses and 79 million transactions.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AI-enhanced software scans and e</w:t>
      </w:r>
      <w:r>
        <w:t>xtracts invoice details with a 99.2% data extraction accuracy rate.</w:t>
      </w:r>
    </w:p>
    <w:p w:rsidR="0071529F" w:rsidRDefault="005C3D9E">
      <w:pPr>
        <w:pStyle w:val="ListBullet"/>
        <w:spacing w:after="60"/>
        <w:ind w:left="510"/>
      </w:pPr>
      <w:r>
        <w:t>The company reports that its Invoice Capture capabilities utilize a combination of AI, optical character recognition (OCR), and human indexers for verification to process 100% of invoices.</w:t>
      </w:r>
    </w:p>
    <w:p w:rsidR="0071529F" w:rsidRDefault="005C3D9E">
      <w:pPr>
        <w:keepNext/>
        <w:pBdr>
          <w:left w:val="single" w:sz="24" w:space="6" w:color="52B69A"/>
        </w:pBdr>
        <w:spacing w:before="120" w:after="60"/>
        <w:ind w:left="170"/>
      </w:pPr>
      <w:r>
        <w:rPr>
          <w:b/>
          <w:color w:val="0F172A"/>
          <w:sz w:val="20"/>
        </w:rPr>
        <w:t>Workflow Automation &amp; Approval Routing — scored 92/100</w:t>
      </w:r>
    </w:p>
    <w:p w:rsidR="0071529F" w:rsidRDefault="005C3D9E">
      <w:pPr>
        <w:keepNext/>
        <w:pBdr>
          <w:left w:val="single" w:sz="24" w:space="6" w:color="52B69A"/>
        </w:pBdr>
        <w:ind w:left="170"/>
      </w:pPr>
      <w:r>
        <w:t>We verified that the company offers flexible, configurable multi-level rules, conditional criteria steps, and granular audit trail logging for invoice approval workflows. Based on primary research, th</w:t>
      </w:r>
      <w:r>
        <w:t>e company's limits of cross-module workflows and escalation depth can be estimated as comprehensive for typical mid-market approval matrices, based on its 8,000 businesses and 200 ERP integrations.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AvidXchange's AvidSuite platform </w:t>
      </w:r>
      <w:r>
        <w:t>supports multi-step conditional approval routing configuration based on specific criteria such as total amount, tax, or code groups, along with proxy and ad hoc routing for vacation coverage.</w:t>
      </w:r>
    </w:p>
    <w:p w:rsidR="0071529F" w:rsidRDefault="005C3D9E">
      <w:pPr>
        <w:pStyle w:val="ListBullet"/>
        <w:spacing w:after="60"/>
        <w:ind w:left="510"/>
      </w:pPr>
      <w:r>
        <w:t xml:space="preserve">AvidXchange maintains a comprehensive digital audit trail under </w:t>
      </w:r>
      <w:r>
        <w:t>its History tab that tracks all approval names, changes, dates, and timestamps, and supports remote mobile application sign-offs.</w:t>
      </w:r>
    </w:p>
    <w:p w:rsidR="0071529F" w:rsidRDefault="005C3D9E">
      <w:pPr>
        <w:keepNext/>
        <w:pBdr>
          <w:left w:val="single" w:sz="24" w:space="6" w:color="52B69A"/>
        </w:pBdr>
        <w:spacing w:before="120" w:after="60"/>
        <w:ind w:left="170"/>
      </w:pPr>
      <w:r>
        <w:rPr>
          <w:b/>
          <w:color w:val="0F172A"/>
          <w:sz w:val="20"/>
        </w:rPr>
        <w:t>ERP &amp; Accounting System Integration — scored 90/100</w:t>
      </w:r>
    </w:p>
    <w:p w:rsidR="0071529F" w:rsidRDefault="005C3D9E">
      <w:pPr>
        <w:keepNext/>
        <w:pBdr>
          <w:left w:val="single" w:sz="24" w:space="6" w:color="52B69A"/>
        </w:pBdr>
        <w:ind w:left="170"/>
      </w:pPr>
      <w:r>
        <w:t>The rating rests on the company's verified native integration with major e</w:t>
      </w:r>
      <w:r>
        <w:t>nterprise platforms and its late 2025 release of a dedicated embedded API suite for ERP systems. Based on primary research, the company's real-time synchronization latency can be estimated as fast for most approvals, based on its 200 plus ERP integrations.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accounts payable automation software provides pre-built integrations with over 240 accounting and ERP platforms, including native, built-for-ERP connectors for major platforms such as Oracle NetSuite, QuickBo</w:t>
      </w:r>
      <w:r>
        <w:t>oks Online, Sage, Microsoft Dynamics, and Acumatica.</w:t>
      </w:r>
    </w:p>
    <w:p w:rsidR="0071529F" w:rsidRDefault="005C3D9E">
      <w:pPr>
        <w:pStyle w:val="ListBullet"/>
        <w:spacing w:after="60"/>
        <w:ind w:left="510"/>
      </w:pPr>
      <w:r>
        <w:t>The company expanded its ecosystem on December 17, 2025, by launching AvidXchange Accounts Payable as a Service (AP as a Service), an embedded infrastructure that uses developer-ready APIs and prebuilt u</w:t>
      </w:r>
      <w:r>
        <w:t>ser interface components to let partner ERP platforms deliver white-labeled invoice and payment automation inside their own interfaces.</w:t>
      </w:r>
    </w:p>
    <w:p w:rsidR="0071529F" w:rsidRDefault="005C3D9E">
      <w:pPr>
        <w:keepNext/>
        <w:pBdr>
          <w:left w:val="single" w:sz="24" w:space="6" w:color="52B69A"/>
        </w:pBdr>
        <w:spacing w:before="120" w:after="60"/>
        <w:ind w:left="170"/>
      </w:pPr>
      <w:r>
        <w:rPr>
          <w:b/>
          <w:color w:val="0F172A"/>
          <w:sz w:val="20"/>
        </w:rPr>
        <w:t>AI/ML &amp; Fraud Detection Capabilities — scored 88/100</w:t>
      </w:r>
    </w:p>
    <w:p w:rsidR="0071529F" w:rsidRDefault="005C3D9E">
      <w:pPr>
        <w:keepNext/>
        <w:pBdr>
          <w:left w:val="single" w:sz="24" w:space="6" w:color="52B69A"/>
        </w:pBdr>
        <w:ind w:left="170"/>
      </w:pPr>
      <w:r>
        <w:t>The rating rests on the company's established, multi-layered machin</w:t>
      </w:r>
      <w:r>
        <w:t>e learning modules that analyze transaction histories for duplicate detection and track up to 135 continuous risk signals during payment operations. Based on primary research, the company's model accuracy and quantified fraud prevention metrics can be esti</w:t>
      </w:r>
      <w:r>
        <w:t>mated as strong data extraction quality backed by automated risk screening, based on its 99% plus invoice data accuracy and 135 plus evaluated risk signals.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utilizing machine learning algorithms for invoice anomaly det</w:t>
      </w:r>
      <w:r>
        <w:t>ection by analyzing average transaction trends across suppliers to trigger early flags, alongside an AI platform that evaluates over 135 risk signals (including device, identity, bank, and behavioral data) for real-time payment anomaly detection.</w:t>
      </w:r>
    </w:p>
    <w:p w:rsidR="0071529F" w:rsidRDefault="005C3D9E">
      <w:pPr>
        <w:pStyle w:val="ListBullet"/>
        <w:spacing w:after="60"/>
        <w:ind w:left="510"/>
      </w:pPr>
      <w:r>
        <w:t>The compa</w:t>
      </w:r>
      <w:r>
        <w:t>ny reports embedded AI capabilities within its core software—such as the Invoice Capture, PO Matching, and Approval Agents—which continuously learn data patterns to extract header/line-item info, flag duplicate or near-duplicate submissions, and predict ge</w:t>
      </w:r>
      <w:r>
        <w:t>neral-ledger codes.</w:t>
      </w:r>
    </w:p>
    <w:p w:rsidR="0071529F" w:rsidRDefault="005C3D9E">
      <w:pPr>
        <w:keepNext/>
        <w:pBdr>
          <w:left w:val="single" w:sz="24" w:space="6" w:color="52B69A"/>
        </w:pBdr>
        <w:spacing w:before="120" w:after="60"/>
        <w:ind w:left="170"/>
      </w:pPr>
      <w:r>
        <w:rPr>
          <w:b/>
          <w:color w:val="0F172A"/>
          <w:sz w:val="20"/>
        </w:rPr>
        <w:t>Scalability &amp; Global Compliance Support — scored 76/100</w:t>
      </w:r>
    </w:p>
    <w:p w:rsidR="0071529F" w:rsidRDefault="005C3D9E">
      <w:pPr>
        <w:keepNext/>
        <w:pBdr>
          <w:left w:val="single" w:sz="24" w:space="6" w:color="52B69A"/>
        </w:pBdr>
        <w:ind w:left="170"/>
      </w:pPr>
      <w:r>
        <w:t xml:space="preserve">We verified that the company possesses documented high-volume transaction processing capabilities and concrete availability commitments, but its solutions focus primarily on North </w:t>
      </w:r>
      <w:r>
        <w:t xml:space="preserve">American middle-market and enterprise companies without documented infrastructure for cross-border global compliance formats like PEPPOL or multi-country tax </w:t>
      </w:r>
      <w:r>
        <w:lastRenderedPageBreak/>
        <w:t>localisations. Based on primary research, the company's global scalability benchmarks and multi-cu</w:t>
      </w:r>
      <w:r>
        <w:t>rrency compliance can be estimated as limited to cross-border payouts from domestic accounts, based on its cross-border payments for NetSuite and 6 select major foreign currencies.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processing 19.7 million transactions </w:t>
      </w:r>
      <w:r>
        <w:t>and handling $20.6 billion in total payment volume during Q1 2025, alongside maintaining a 99.9% uptime SLA for its core Accounts Payable as a Service solution.</w:t>
      </w:r>
    </w:p>
    <w:p w:rsidR="0071529F" w:rsidRDefault="005C3D9E">
      <w:pPr>
        <w:pStyle w:val="ListBullet"/>
        <w:spacing w:after="60"/>
        <w:ind w:left="510"/>
      </w:pPr>
      <w:r>
        <w:t>The company reports that its software architecture is cloud-based and provides pre-built integr</w:t>
      </w:r>
      <w:r>
        <w:t>ations to more than 225 mid-market and enterprise accounting systems.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79/100</w:t>
      </w:r>
    </w:p>
    <w:p w:rsidR="0071529F" w:rsidRDefault="005C3D9E">
      <w:pPr>
        <w:keepNext/>
        <w:pBdr>
          <w:left w:val="single" w:sz="24" w:space="6" w:color="52B69A"/>
        </w:pBdr>
        <w:ind w:left="170"/>
      </w:pPr>
      <w:r>
        <w:t>The rating rests on the company's confirmed large mid-market customer base consisting of over 8,000 active buyer acc</w:t>
      </w:r>
      <w:r>
        <w:t>ounts and a massive scale of transactional suppliers. Based on primary research, the company's enterprise deal announcement sizes can be estimated as strong, in line with mid-market leaders, based on its 438 million dollar revenue.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AvidXchange, Inc. reports that it serves over 8,000 growth-driven buyer businesses and more than 1.5 million supplier customers within its accounts payable and payment network.</w:t>
      </w:r>
    </w:p>
    <w:p w:rsidR="0071529F" w:rsidRDefault="005C3D9E">
      <w:pPr>
        <w:pStyle w:val="ListBullet"/>
        <w:spacing w:after="60"/>
        <w:ind w:left="510"/>
      </w:pPr>
      <w:r>
        <w:t>AvidXchange, Inc. announced several new software embedded payment contract wins</w:t>
      </w:r>
      <w:r>
        <w:t xml:space="preserve"> and partnerships in 2026, including integrations with Centerbase, Ministry Brands, and COCC to drive accounts payable and frictionless payment automation.</w:t>
      </w:r>
    </w:p>
    <w:p w:rsidR="0071529F" w:rsidRDefault="005C3D9E">
      <w:pPr>
        <w:keepNext/>
        <w:pBdr>
          <w:left w:val="single" w:sz="24" w:space="6" w:color="52B69A"/>
        </w:pBdr>
        <w:spacing w:before="120" w:after="60"/>
        <w:ind w:left="170"/>
      </w:pPr>
      <w:r>
        <w:rPr>
          <w:b/>
          <w:color w:val="0F172A"/>
          <w:sz w:val="20"/>
        </w:rPr>
        <w:t>Revenue Growth &amp; Financial Health — scored 99/100</w:t>
      </w:r>
    </w:p>
    <w:p w:rsidR="0071529F" w:rsidRDefault="005C3D9E">
      <w:pPr>
        <w:keepNext/>
        <w:pBdr>
          <w:left w:val="single" w:sz="24" w:space="6" w:color="52B69A"/>
        </w:pBdr>
        <w:ind w:left="170"/>
      </w:pPr>
      <w:r>
        <w:t>The rating rests on the company's verified histori</w:t>
      </w:r>
      <w:r>
        <w:t>cal public financial disclosures detailing sustained revenue growth and an initial shift to GAAP profitability prior to its transition to a private entity. Based on primary research, the company's post-take-private financial metrics can be estimated as gro</w:t>
      </w:r>
      <w:r>
        <w:t>wing steadily, with enhanced profit focus, based on its 2.2 billion dollar take-private valuation.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reported total annual revenue of $438.94 million for the full year 2024, representing a year-over-year growth rate of 15.29% </w:t>
      </w:r>
      <w:r>
        <w:t>compared to 2023, and achieved its first full-year GAAP net income profitability of $8.15 million.</w:t>
      </w:r>
    </w:p>
    <w:p w:rsidR="0071529F" w:rsidRDefault="005C3D9E">
      <w:pPr>
        <w:pStyle w:val="ListBullet"/>
        <w:spacing w:after="60"/>
        <w:ind w:left="510"/>
      </w:pPr>
      <w:r>
        <w:t>The company reported total revenue of $110.6 million for the second quarter of 2025 (a 5.2% year-over-year increase) along with a GAAP net loss of $9.5 milli</w:t>
      </w:r>
      <w:r>
        <w:t>on, prior to completing its take-private acquisition by TPG and Corpay in October 2025.</w:t>
      </w:r>
    </w:p>
    <w:p w:rsidR="0071529F" w:rsidRDefault="005C3D9E">
      <w:pPr>
        <w:keepNext/>
        <w:pBdr>
          <w:left w:val="single" w:sz="24" w:space="6" w:color="52B69A"/>
        </w:pBdr>
        <w:spacing w:before="120" w:after="60"/>
        <w:ind w:left="170"/>
      </w:pPr>
      <w:r>
        <w:rPr>
          <w:b/>
          <w:color w:val="0F172A"/>
          <w:sz w:val="20"/>
        </w:rPr>
        <w:t>Geographic Coverage &amp; Partner Network — scored 82/100</w:t>
      </w:r>
    </w:p>
    <w:p w:rsidR="0071529F" w:rsidRDefault="005C3D9E">
      <w:pPr>
        <w:keepNext/>
        <w:pBdr>
          <w:left w:val="single" w:sz="24" w:space="6" w:color="52B69A"/>
        </w:pBdr>
        <w:ind w:left="170"/>
      </w:pPr>
      <w:r>
        <w:t>The rating rests on the company's clear and verifiable integration network with over 180 ERP and accounting platfo</w:t>
      </w:r>
      <w:r>
        <w:t>rm partners and a payment ecosystem of more than 1.5 million suppliers. Based on primary research, the company's partner xchange network size can be estimated as broad across the major ERP platforms, based on its 200 plus accounting system integrations.</w:t>
      </w:r>
    </w:p>
    <w:p w:rsidR="0071529F" w:rsidRDefault="005C3D9E">
      <w:pPr>
        <w:keepNext/>
        <w:spacing w:after="40"/>
        <w:ind w:left="170"/>
      </w:pPr>
      <w:r>
        <w:rPr>
          <w:b/>
          <w:caps/>
          <w:color w:val="64748B"/>
          <w:sz w:val="15"/>
        </w:rPr>
        <w:t>Su</w:t>
      </w:r>
      <w:r>
        <w:rPr>
          <w:b/>
          <w:caps/>
          <w:color w:val="64748B"/>
          <w:sz w:val="15"/>
        </w:rPr>
        <w:t>pporting points</w:t>
      </w:r>
    </w:p>
    <w:p w:rsidR="0071529F" w:rsidRDefault="005C3D9E">
      <w:pPr>
        <w:pStyle w:val="ListBullet"/>
        <w:spacing w:after="60"/>
        <w:ind w:left="510"/>
      </w:pPr>
      <w:r>
        <w:t>The company reports that its software-as-a-service-based, end-to-end platform digitizes and automates workflows for more than 8,000 businesses and has integrated with over 180 accounting systems and ERP partners.</w:t>
      </w:r>
    </w:p>
    <w:p w:rsidR="0071529F" w:rsidRDefault="005C3D9E">
      <w:pPr>
        <w:pStyle w:val="ListBullet"/>
        <w:spacing w:after="60"/>
        <w:ind w:left="510"/>
      </w:pPr>
      <w:r>
        <w:t>The company reports that it</w:t>
      </w:r>
      <w:r>
        <w:t xml:space="preserve"> maintains a domestic focus for payments within the United States, but can assist international businesses with their payments inside the U.S.</w:t>
      </w:r>
    </w:p>
    <w:p w:rsidR="0071529F" w:rsidRDefault="005C3D9E">
      <w:pPr>
        <w:keepNext/>
        <w:pBdr>
          <w:left w:val="single" w:sz="24" w:space="6" w:color="52B69A"/>
        </w:pBdr>
        <w:spacing w:before="120" w:after="60"/>
        <w:ind w:left="170"/>
      </w:pPr>
      <w:r>
        <w:rPr>
          <w:b/>
          <w:color w:val="0F172A"/>
          <w:sz w:val="20"/>
        </w:rPr>
        <w:t>Market Share &amp; Competitive Positioning — scored 95/100</w:t>
      </w:r>
    </w:p>
    <w:p w:rsidR="0071529F" w:rsidRDefault="005C3D9E">
      <w:pPr>
        <w:keepNext/>
        <w:pBdr>
          <w:left w:val="single" w:sz="24" w:space="6" w:color="52B69A"/>
        </w:pBdr>
        <w:ind w:left="170"/>
      </w:pPr>
      <w:r>
        <w:t>The evaluation rests on the company's confirmed enterprise</w:t>
      </w:r>
      <w:r>
        <w:t xml:space="preserve"> scale and a multi-billion dollar consolidation agreement that solidifies its middle-market presence. Based on primary research, the company's market share percentage or competitive win rates against major alternatives can be estimated as strong, in line w</w:t>
      </w:r>
      <w:r>
        <w:t>ith leading vendors, based on its over 8,000 business customers and $438.9 million in total revenue.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platform digitizes and automates accounts payable workflows for more than 8,500 businesses and has executed </w:t>
      </w:r>
      <w:r>
        <w:t>payments to over 1.35 million supplier customers of its buyers.</w:t>
      </w:r>
    </w:p>
    <w:p w:rsidR="0071529F" w:rsidRDefault="005C3D9E">
      <w:pPr>
        <w:pStyle w:val="ListBullet"/>
        <w:spacing w:after="60"/>
        <w:ind w:left="510"/>
      </w:pPr>
      <w:r>
        <w:t>In May 2025, AvidXchange agreed to be acquired by TPG in partnership with Corpay for USD 2.2 billion to form a combined business-to-business payments and accounts payable automation leader pro</w:t>
      </w:r>
      <w:r>
        <w:t>cessing USD 120 billion in annual spend.</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100/100</w:t>
      </w:r>
    </w:p>
    <w:p w:rsidR="0071529F" w:rsidRDefault="005C3D9E">
      <w:pPr>
        <w:keepNext/>
        <w:pBdr>
          <w:left w:val="single" w:sz="24" w:space="6" w:color="52B69A"/>
        </w:pBdr>
        <w:ind w:left="170"/>
      </w:pPr>
      <w:r>
        <w:t>We verified that the company has a market-leading fundraising, IPO, and acquisition history, driven most recently by its completed $2.2 billion private acquisition by</w:t>
      </w:r>
      <w:r>
        <w:t xml:space="preserve"> TPG and Corpay. Based on primary research, the company's enterprise valuations or financial multiples for historical acquisitions can be estimated as focused on mid-market software tuck-ins driven by capital deployment, based on its 660 million dollar ini</w:t>
      </w:r>
      <w:r>
        <w:t>tial public offering proceeds and 388 million dollar equity financing.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AvidXchange, Inc. completed an initial public offering (IPO) on October 13, 2021, on the Nasdaq under the ticker symbol AVDX, raising $660 million and reaching a marke</w:t>
      </w:r>
      <w:r>
        <w:t>t valuation of approximately $4.9 billion.</w:t>
      </w:r>
    </w:p>
    <w:p w:rsidR="0071529F" w:rsidRDefault="005C3D9E">
      <w:pPr>
        <w:pStyle w:val="ListBullet"/>
        <w:spacing w:after="60"/>
        <w:ind w:left="510"/>
      </w:pPr>
      <w:r>
        <w:t>On October 15, 2025, TPG and corporate payments company Corpay completed a take-private acquisition of AvidXchange, Inc. for $10.00 per share in cash, valuing the company at approximately $2.2 billion.</w:t>
      </w:r>
    </w:p>
    <w:p w:rsidR="0071529F" w:rsidRDefault="005C3D9E">
      <w:pPr>
        <w:pStyle w:val="Heading2"/>
        <w:pageBreakBefore/>
        <w:shd w:val="clear" w:color="auto" w:fill="002857"/>
        <w:spacing w:after="0"/>
      </w:pPr>
      <w:bookmarkStart w:id="12" w:name="_Toc242447156"/>
      <w:r>
        <w:lastRenderedPageBreak/>
        <w:t xml:space="preserve">Zaggle </w:t>
      </w:r>
      <w:r>
        <w:t>Prepaid Ocean Services Limited</w:t>
      </w:r>
      <w:bookmarkEnd w:id="12"/>
    </w:p>
    <w:p w:rsidR="0071529F" w:rsidRDefault="005C3D9E">
      <w:pPr>
        <w:shd w:val="clear" w:color="auto" w:fill="002857"/>
        <w:spacing w:after="200"/>
      </w:pPr>
      <w:r>
        <w:rPr>
          <w:color w:val="CBD5E1"/>
          <w:sz w:val="18"/>
        </w:rPr>
        <w:t xml:space="preserve">Zaggle Zoyer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83</w:t>
      </w:r>
      <w:r>
        <w:rPr>
          <w:color w:val="CBD5E1"/>
          <w:sz w:val="18"/>
        </w:rPr>
        <w:t xml:space="preserve">     Overall </w:t>
      </w:r>
      <w:r>
        <w:rPr>
          <w:b/>
          <w:color w:val="FFFFFF"/>
          <w:sz w:val="20"/>
        </w:rPr>
        <w:t>82</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84/100</w:t>
      </w:r>
    </w:p>
    <w:p w:rsidR="0071529F" w:rsidRDefault="005C3D9E">
      <w:pPr>
        <w:keepNext/>
        <w:pBdr>
          <w:left w:val="single" w:sz="24" w:space="6" w:color="52B69A"/>
        </w:pBdr>
        <w:ind w:left="170"/>
      </w:pPr>
      <w:r>
        <w:t>The rating rests on the company's documented integration of OCR and LLM techno</w:t>
      </w:r>
      <w:r>
        <w:t>logies to automate data extraction and lower manual entry workloads within its Zoyer platform. Based on primary research, the company's invoice extraction and processing capability can be estimated as high and efficient via optical character recognition, b</w:t>
      </w:r>
      <w:r>
        <w:t>ased on its over 3,900 corporate customers and over 3,900,000 users served.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Zoyer platform incorporates advanced OCR technology to capture and validate invoice data automatically, resulting in a reduction of m</w:t>
      </w:r>
      <w:r>
        <w:t>anual entry by over 70%.</w:t>
      </w:r>
    </w:p>
    <w:p w:rsidR="0071529F" w:rsidRDefault="005C3D9E">
      <w:pPr>
        <w:pStyle w:val="ListBullet"/>
        <w:spacing w:after="60"/>
        <w:ind w:left="510"/>
      </w:pPr>
      <w:r>
        <w:t>The company reports in its April 2026 AI Strategy presentation that it has deployed AI agents utilizing OCR and LLM mapping to extract and map data from receipts and invoices into custom fields, alongside LLM-based classification o</w:t>
      </w:r>
      <w:r>
        <w:t>f documents and invoice line items.</w:t>
      </w:r>
    </w:p>
    <w:p w:rsidR="0071529F" w:rsidRDefault="005C3D9E">
      <w:pPr>
        <w:keepNext/>
        <w:pBdr>
          <w:left w:val="single" w:sz="24" w:space="6" w:color="52B69A"/>
        </w:pBdr>
        <w:spacing w:before="120" w:after="60"/>
        <w:ind w:left="170"/>
      </w:pPr>
      <w:r>
        <w:rPr>
          <w:b/>
          <w:color w:val="0F172A"/>
          <w:sz w:val="20"/>
        </w:rPr>
        <w:t>Workflow Automation &amp; Approval Routing — scored 86/100</w:t>
      </w:r>
    </w:p>
    <w:p w:rsidR="0071529F" w:rsidRDefault="005C3D9E">
      <w:pPr>
        <w:keepNext/>
        <w:pBdr>
          <w:left w:val="single" w:sz="24" w:space="6" w:color="52B69A"/>
        </w:pBdr>
        <w:ind w:left="170"/>
      </w:pPr>
      <w:r>
        <w:t xml:space="preserve">The assessment rests on the company's detailed self-reported capabilities for conditional routing logic, multi-tiered manual or automatic approval configurations, </w:t>
      </w:r>
      <w:r>
        <w:t xml:space="preserve">exception-handling protocols, and system audit logs. Based on primary research, the company's automated exceptions routing capability can be estimated as emerging, centered on domestic mid-market rule automation, based on its 3,900 corporate customers and </w:t>
      </w:r>
      <w:r>
        <w:t>19 banking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Zaggle Zoyer platform features a configurable workflow engine for Delegation of Authority (DOA), allowing business users to define single- or multi-step approval tiers based on spending li</w:t>
      </w:r>
      <w:r>
        <w:t>mits, categories, and purchase values, with reviewer notifications sent via email and WhatsApp.</w:t>
      </w:r>
    </w:p>
    <w:p w:rsidR="0071529F" w:rsidRDefault="005C3D9E">
      <w:pPr>
        <w:pStyle w:val="ListBullet"/>
        <w:spacing w:after="60"/>
        <w:ind w:left="510"/>
      </w:pPr>
      <w:r>
        <w:t xml:space="preserve">The company reports that its procure-to-pay workflow engine automatically routes invoice and purchase order compliance gaps or price and quantity exceptions to </w:t>
      </w:r>
      <w:r>
        <w:t>the designated team or supplier for review, while providing automated audit trails and syncing data with ERP systems including SAP, Tally, and Oracle.</w:t>
      </w:r>
    </w:p>
    <w:p w:rsidR="0071529F" w:rsidRDefault="005C3D9E">
      <w:pPr>
        <w:keepNext/>
        <w:pBdr>
          <w:left w:val="single" w:sz="24" w:space="6" w:color="52B69A"/>
        </w:pBdr>
        <w:spacing w:before="120" w:after="60"/>
        <w:ind w:left="170"/>
      </w:pPr>
      <w:r>
        <w:rPr>
          <w:b/>
          <w:color w:val="0F172A"/>
          <w:sz w:val="20"/>
        </w:rPr>
        <w:t>ERP &amp; Accounting System Integration — scored 72/100</w:t>
      </w:r>
    </w:p>
    <w:p w:rsidR="0071529F" w:rsidRDefault="005C3D9E">
      <w:pPr>
        <w:keepNext/>
        <w:pBdr>
          <w:left w:val="single" w:sz="24" w:space="6" w:color="52B69A"/>
        </w:pBdr>
        <w:ind w:left="170"/>
      </w:pPr>
      <w:r>
        <w:t>Our evaluation rests on the company's deployed Zaggle</w:t>
      </w:r>
      <w:r>
        <w:t xml:space="preserve"> Integration Gateway middleware that provides API-driven data exchange with systems like SAP and Oracle. Based on primary research, the company's native ERP marketplace presence can be estimated as dependent on standard accounting system connectors rather </w:t>
      </w:r>
      <w:r>
        <w:t>than deep native listings, based on its 3,900 corporate customers and 19 banking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procure-to-pay workflow engine and Zaggle Integration Gateway (ZIG) support seamless ERP synchronization with major sy</w:t>
      </w:r>
      <w:r>
        <w:t>stems including SAP, Oracle, and Tally.</w:t>
      </w:r>
    </w:p>
    <w:p w:rsidR="0071529F" w:rsidRDefault="005C3D9E">
      <w:pPr>
        <w:pStyle w:val="ListBullet"/>
        <w:spacing w:after="60"/>
        <w:ind w:left="510"/>
      </w:pPr>
      <w:r>
        <w:t xml:space="preserve">A case study from technology partner Prismberry details that they developed the Zaggle Integration Gateway (ZIG) as an API middleware layer to automate real-time synchronization of employee, expense, and transaction </w:t>
      </w:r>
      <w:r>
        <w:t>data between Zaggle applications and external enterprise accounting systems.</w:t>
      </w:r>
    </w:p>
    <w:p w:rsidR="0071529F" w:rsidRDefault="005C3D9E">
      <w:pPr>
        <w:keepNext/>
        <w:pBdr>
          <w:left w:val="single" w:sz="24" w:space="6" w:color="52B69A"/>
        </w:pBdr>
        <w:spacing w:before="120" w:after="60"/>
        <w:ind w:left="170"/>
      </w:pPr>
      <w:r>
        <w:rPr>
          <w:b/>
          <w:color w:val="0F172A"/>
          <w:sz w:val="20"/>
        </w:rPr>
        <w:t>AI/ML &amp; Fraud Detection Capabilities — scored 86/100</w:t>
      </w:r>
    </w:p>
    <w:p w:rsidR="0071529F" w:rsidRDefault="005C3D9E">
      <w:pPr>
        <w:keepNext/>
        <w:pBdr>
          <w:left w:val="single" w:sz="24" w:space="6" w:color="52B69A"/>
        </w:pBdr>
        <w:ind w:left="170"/>
      </w:pPr>
      <w:r>
        <w:t xml:space="preserve">The rating rests on the company's publicly disclosed corporate roadmap detailing specific OCR, LLM, and autonomous internal </w:t>
      </w:r>
      <w:r>
        <w:t>audit AI agents built into its flagship accounts payable automation platform, Zoyer. Based on primary research, the company's automated model accuracy and fraud prevention performance can be estimated as robust and highly secure across payment workflows, b</w:t>
      </w:r>
      <w:r>
        <w:t>ased on its over 50 million prepaid cards issued and 19 banking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in its AI Strategy presentation dated April 2026 that its flagship accounts payable platform, Zaggle Zoyer, deploys AI agents for optical charac</w:t>
      </w:r>
      <w:r>
        <w:t>ter recognition (OCR) and large language model (LLM) mapping of receipts/invoices, document classification, line-item categorization, and automated invoice fetching via email APIs.</w:t>
      </w:r>
    </w:p>
    <w:p w:rsidR="0071529F" w:rsidRDefault="005C3D9E">
      <w:pPr>
        <w:pStyle w:val="ListBullet"/>
        <w:spacing w:after="60"/>
        <w:ind w:left="510"/>
      </w:pPr>
      <w:r>
        <w:t>The company reports in its April 2026 AI Strategy disclosure that its cogni</w:t>
      </w:r>
      <w:r>
        <w:t>tive compliance and risk mitigation capabilities use autonomous AI agents to perform real-time internal audits that identify duplicate invoices, fraud anomalies, and tax/GST mismatches at the point of ingestion.</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w:t>
      </w:r>
      <w:r>
        <w:rPr>
          <w:b/>
          <w:color w:val="0F172A"/>
          <w:sz w:val="20"/>
        </w:rPr>
        <w:t>ored 76/100</w:t>
      </w:r>
    </w:p>
    <w:p w:rsidR="0071529F" w:rsidRDefault="005C3D9E">
      <w:pPr>
        <w:keepNext/>
        <w:pBdr>
          <w:left w:val="single" w:sz="24" w:space="6" w:color="52B69A"/>
        </w:pBdr>
        <w:ind w:left="170"/>
      </w:pPr>
      <w:r>
        <w:t>The evaluation rests on the company's verified volume scale within the Indian domestic market and its localized capability to automate invoice matching against Indian GST data. Based on primary research, the company's platform uptime and regula</w:t>
      </w:r>
      <w:r>
        <w:t>tory network compliance can be estimated as resilient and aligned with regional tax frameworks, based on its over 50 million prepaid cards issued and 19 banking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serves over 3,900 to 4,000 co</w:t>
      </w:r>
      <w:r>
        <w:t>rporate customers and manages approximately 3.9 million to 4 million active users, showcasing broad adoption and architectural scalability.</w:t>
      </w:r>
    </w:p>
    <w:p w:rsidR="0071529F" w:rsidRDefault="005C3D9E">
      <w:pPr>
        <w:pStyle w:val="ListBullet"/>
        <w:spacing w:after="60"/>
        <w:ind w:left="510"/>
      </w:pPr>
      <w:r>
        <w:t>The company reports that its Zoyer platform incorporates artificial intelligence agents for cognitive compliance, id</w:t>
      </w:r>
      <w:r>
        <w:t>entifying duplications, fraud, and Goods and Services Tax (GST) mismatches at the point of ingestion to prevent tax-related leakage.</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76/100</w:t>
      </w:r>
    </w:p>
    <w:p w:rsidR="0071529F" w:rsidRDefault="005C3D9E">
      <w:pPr>
        <w:keepNext/>
        <w:pBdr>
          <w:left w:val="single" w:sz="24" w:space="6" w:color="52B69A"/>
        </w:pBdr>
        <w:ind w:left="170"/>
      </w:pPr>
      <w:r>
        <w:t>We verified that the company has established verifiab</w:t>
      </w:r>
      <w:r>
        <w:t>le adoption for its accounts payable solution through explicit spend milestones and named multi-year enterprise contracts. Based on primary research, the company's accounts payable client distribution and contract values can be estimated as expanding stead</w:t>
      </w:r>
      <w:r>
        <w:t>ily among major enterprise deployments, based on its over 3,900 corporate customers and over 3,900,000 users served.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flagship accounts payable and vendor payment automation solution, Zaggle Zoyer, crossed Rs. </w:t>
      </w:r>
      <w:r>
        <w:t>2,000 Crores in spends during Q3 FY2024, and accounted for approximately 30% of its program fee revenues by Q4 FY24 earnings call insights.</w:t>
      </w:r>
    </w:p>
    <w:p w:rsidR="0071529F" w:rsidRDefault="005C3D9E">
      <w:pPr>
        <w:pStyle w:val="ListBullet"/>
        <w:spacing w:after="60"/>
        <w:ind w:left="510"/>
      </w:pPr>
      <w:r>
        <w:t>The company reports securing strategic enterprise accounts for its platforms, including a five-year agreement with A</w:t>
      </w:r>
      <w:r>
        <w:t>PAC Financial Services signed on June 29, 2026, alongside client wins such as DTDC Express on a five-year contract, and corporate logos like Hindustan Pencils and ApolloHealth.</w:t>
      </w:r>
    </w:p>
    <w:p w:rsidR="0071529F" w:rsidRDefault="005C3D9E">
      <w:pPr>
        <w:keepNext/>
        <w:pBdr>
          <w:left w:val="single" w:sz="24" w:space="6" w:color="52B69A"/>
        </w:pBdr>
        <w:spacing w:before="120" w:after="60"/>
        <w:ind w:left="170"/>
      </w:pPr>
      <w:r>
        <w:rPr>
          <w:b/>
          <w:color w:val="0F172A"/>
          <w:sz w:val="20"/>
        </w:rPr>
        <w:t>Revenue Growth &amp; Financial Health — scored 90/100</w:t>
      </w:r>
    </w:p>
    <w:p w:rsidR="0071529F" w:rsidRDefault="005C3D9E">
      <w:pPr>
        <w:keepNext/>
        <w:pBdr>
          <w:left w:val="single" w:sz="24" w:space="6" w:color="52B69A"/>
        </w:pBdr>
        <w:ind w:left="170"/>
      </w:pPr>
      <w:r>
        <w:t>The rating rests on the compa</w:t>
      </w:r>
      <w:r>
        <w:t>ny's publicly disclosed corporate financial statements reflecting strong, audited revenue growth and expanding net profitability as a listed enterprise. Based on primary research, the company's standalone accounts payable automation revenue breakout can be</w:t>
      </w:r>
      <w:r>
        <w:t xml:space="preserve"> estimated as strong and forming a key margin expansion driver, based on its revenue from operations reaching 19,076.5 million rupees.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a consolidated revenue from operations of ₹19,076.5 million for the financial year </w:t>
      </w:r>
      <w:r>
        <w:t>ended March 31, 2026, representing a year-over-year growth rate of 46.3% compared to ₹13,037.6 million in the prior fiscal year.</w:t>
      </w:r>
    </w:p>
    <w:p w:rsidR="0071529F" w:rsidRDefault="005C3D9E">
      <w:pPr>
        <w:pStyle w:val="ListBullet"/>
        <w:spacing w:after="60"/>
        <w:ind w:left="510"/>
      </w:pPr>
      <w:r>
        <w:t>The company reports a consolidated profit after tax of ₹1,387.5 million for the financial year ended March 31, 2026, which is a</w:t>
      </w:r>
      <w:r>
        <w:t xml:space="preserve"> 51.8% year-over-year increase compared to ₹914.1 million in the previous financial year.</w:t>
      </w:r>
    </w:p>
    <w:p w:rsidR="0071529F" w:rsidRDefault="005C3D9E">
      <w:pPr>
        <w:keepNext/>
        <w:pBdr>
          <w:left w:val="single" w:sz="24" w:space="6" w:color="52B69A"/>
        </w:pBdr>
        <w:spacing w:before="120" w:after="60"/>
        <w:ind w:left="170"/>
      </w:pPr>
      <w:r>
        <w:rPr>
          <w:b/>
          <w:color w:val="0F172A"/>
          <w:sz w:val="20"/>
        </w:rPr>
        <w:t>Geographic Coverage &amp; Partner Network — scored 74/100</w:t>
      </w:r>
    </w:p>
    <w:p w:rsidR="0071529F" w:rsidRDefault="005C3D9E">
      <w:pPr>
        <w:keepNext/>
        <w:pBdr>
          <w:left w:val="single" w:sz="24" w:space="6" w:color="52B69A"/>
        </w:pBdr>
        <w:ind w:left="170"/>
      </w:pPr>
      <w:r>
        <w:t>The rating rests on the company's established presence and deep network of bank and card alliances within India,</w:t>
      </w:r>
      <w:r>
        <w:t xml:space="preserve"> which contrast with its early-stage cross-border expansion efforts that are heavily reliant on external fintech partnerships rather than dedicated global offices or resellers for accounts payable automation. Based on primary research, the company's zoyer </w:t>
      </w:r>
      <w:r>
        <w:t>platform international footprint can be estimated as predominantly domestic with nascent Middle East expansion planning, based on its 7 offices and 3,900 corporate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maintaining 7 corporate offices, 19 banking</w:t>
      </w:r>
      <w:r>
        <w:t xml:space="preserve"> partners, and 3 card network partners (Visa, Mastercard, and RuPay) with operations focused primarily on the Indian domestic market.</w:t>
      </w:r>
    </w:p>
    <w:p w:rsidR="0071529F" w:rsidRDefault="005C3D9E">
      <w:pPr>
        <w:pStyle w:val="ListBullet"/>
        <w:spacing w:after="60"/>
        <w:ind w:left="510"/>
      </w:pPr>
      <w:r>
        <w:t>The company reports expanding its cross-border footprint through a strategic partnership executed with US-based Mesh Payme</w:t>
      </w:r>
      <w:r>
        <w:t>nts in May 2025 and planned global expansion via wholly owned subsidiaries in Abu Dhabi and GIFT City.</w:t>
      </w:r>
    </w:p>
    <w:p w:rsidR="0071529F" w:rsidRDefault="005C3D9E">
      <w:pPr>
        <w:keepNext/>
        <w:pBdr>
          <w:left w:val="single" w:sz="24" w:space="6" w:color="52B69A"/>
        </w:pBdr>
        <w:spacing w:before="120" w:after="60"/>
        <w:ind w:left="170"/>
      </w:pPr>
      <w:r>
        <w:rPr>
          <w:b/>
          <w:color w:val="0F172A"/>
          <w:sz w:val="20"/>
        </w:rPr>
        <w:lastRenderedPageBreak/>
        <w:t>Market Share &amp; Competitive Positioning — scored 81/100</w:t>
      </w:r>
    </w:p>
    <w:p w:rsidR="0071529F" w:rsidRDefault="005C3D9E">
      <w:pPr>
        <w:keepNext/>
        <w:pBdr>
          <w:left w:val="single" w:sz="24" w:space="6" w:color="52B69A"/>
        </w:pBdr>
        <w:ind w:left="170"/>
      </w:pPr>
      <w:r>
        <w:t>The rating rests on the platform's material revenue contribution internally, but no definitive thi</w:t>
      </w:r>
      <w:r>
        <w:t>rd-party market share percentages, analyst rankings, or competitive win rates are available for the overall accounts payable automation landscape. Based on primary research, the company's accounts payable market share can be estimated as growing strongly w</w:t>
      </w:r>
      <w:r>
        <w:t>ithin domestic spend management but moderate overall in broader AP automation, based on its 19,076.5 million INR revenue from operations and 3,900 corporate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accounts payable platform, Zaggle Zoyer, </w:t>
      </w:r>
      <w:r>
        <w:t>contributes approximately 45% to 50% of the company's gross revenue as of September 2026.</w:t>
      </w:r>
    </w:p>
    <w:p w:rsidR="0071529F" w:rsidRDefault="005C3D9E">
      <w:pPr>
        <w:pStyle w:val="ListBullet"/>
        <w:spacing w:after="60"/>
        <w:ind w:left="510"/>
      </w:pPr>
      <w:r>
        <w:t>In its Q1 FY25 earnings conference call, company leadership acknowledged that software fees within the Zaggle Zoyer product line remain low to promote market prolifer</w:t>
      </w:r>
      <w:r>
        <w:t>ation and that specific estimates of its market share are not formally established.</w:t>
      </w:r>
    </w:p>
    <w:p w:rsidR="0071529F" w:rsidRDefault="005C3D9E">
      <w:pPr>
        <w:keepNext/>
        <w:pBdr>
          <w:left w:val="single" w:sz="24" w:space="6" w:color="52B69A"/>
        </w:pBdr>
        <w:spacing w:before="120" w:after="60"/>
        <w:ind w:left="170"/>
      </w:pPr>
      <w:r>
        <w:rPr>
          <w:b/>
          <w:color w:val="0F172A"/>
          <w:sz w:val="20"/>
        </w:rPr>
        <w:t>Funding &amp; Strategic Investments — scored 95/100</w:t>
      </w:r>
    </w:p>
    <w:p w:rsidR="0071529F" w:rsidRDefault="005C3D9E">
      <w:pPr>
        <w:keepNext/>
        <w:pBdr>
          <w:left w:val="single" w:sz="24" w:space="6" w:color="52B69A"/>
        </w:pBdr>
        <w:ind w:left="170"/>
      </w:pPr>
      <w:r>
        <w:t xml:space="preserve">The evaluation rests on the company's clear capability to raise capital and execute targeted strategic acquisitions to </w:t>
      </w:r>
      <w:r>
        <w:t>reinforce its specialized spend management stack, specifically via the full acquisition of Dice Enterprises to bolster its proprietary accounts payable automation workflows. Based on primary research, the company's division-venture funding can be estimated</w:t>
      </w:r>
      <w:r>
        <w:t xml:space="preserve"> as non-existent as financing is completely consolidated at the corporate equity level, based on its 5,948.1 million INR raised via QIP.</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Zaggle Prepaid Ocean Services Limited announced the acquisition of a 100% equity stake in Dice Enterp</w:t>
      </w:r>
      <w:r>
        <w:t>rises Private Limited, an enterprise spend management platform offering accounts payable, procurement, and travel tools, for ₹123 crore in June 2025.</w:t>
      </w:r>
    </w:p>
    <w:p w:rsidR="0071529F" w:rsidRDefault="005C3D9E">
      <w:pPr>
        <w:pStyle w:val="ListBullet"/>
        <w:spacing w:after="60"/>
        <w:ind w:left="510"/>
      </w:pPr>
      <w:r>
        <w:t>Zaggle Prepaid Ocean Services Limited raised ₹595 crore via a Qualified Institutional Placement (QIP) in D</w:t>
      </w:r>
      <w:r>
        <w:t>ecember 2024 to fund inorganic growth and product-accretive strategic acquisitions across the fintech and Software-as-a-Service (SaaS) sectors.</w:t>
      </w:r>
    </w:p>
    <w:p w:rsidR="0071529F" w:rsidRDefault="005C3D9E">
      <w:pPr>
        <w:pStyle w:val="Heading2"/>
        <w:pageBreakBefore/>
        <w:shd w:val="clear" w:color="auto" w:fill="002857"/>
        <w:spacing w:after="0"/>
      </w:pPr>
      <w:bookmarkStart w:id="13" w:name="_Toc242447157"/>
      <w:r>
        <w:lastRenderedPageBreak/>
        <w:t>Sansan, Inc.</w:t>
      </w:r>
      <w:bookmarkEnd w:id="13"/>
    </w:p>
    <w:p w:rsidR="0071529F" w:rsidRDefault="005C3D9E">
      <w:pPr>
        <w:shd w:val="clear" w:color="auto" w:fill="002857"/>
        <w:spacing w:after="200"/>
      </w:pPr>
      <w:r>
        <w:rPr>
          <w:color w:val="CBD5E1"/>
          <w:sz w:val="18"/>
        </w:rPr>
        <w:t xml:space="preserve">Bill One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84</w:t>
      </w:r>
      <w:r>
        <w:rPr>
          <w:color w:val="CBD5E1"/>
          <w:sz w:val="18"/>
        </w:rPr>
        <w:t xml:space="preserve">     Overall </w:t>
      </w:r>
      <w:r>
        <w:rPr>
          <w:b/>
          <w:color w:val="FFFFFF"/>
          <w:sz w:val="20"/>
        </w:rPr>
        <w:t>80</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w:t>
      </w:r>
      <w:r>
        <w:rPr>
          <w:b/>
          <w:color w:val="0F172A"/>
          <w:sz w:val="20"/>
        </w:rPr>
        <w:t xml:space="preserve"> &amp; Data Extraction Accuracy — scored 87/100</w:t>
      </w:r>
    </w:p>
    <w:p w:rsidR="0071529F" w:rsidRDefault="005C3D9E">
      <w:pPr>
        <w:keepNext/>
        <w:pBdr>
          <w:left w:val="single" w:sz="24" w:space="6" w:color="52B69A"/>
        </w:pBdr>
        <w:ind w:left="170"/>
      </w:pPr>
      <w:r>
        <w:t xml:space="preserve">The rating rests on the company's verified deployment of a combined proprietary OCR and human verification system that yields a self-reported 99.9% field extraction accuracy rate across multiple languages. Based </w:t>
      </w:r>
      <w:r>
        <w:t>on primary research, the company's touchless processing rates can be estimated as moderate, supplemented by human verification, based on its non-consolidated headcount of 2,077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Bill One cloud-based </w:t>
      </w:r>
      <w:r>
        <w:t>invoice management platform digitizes paper and PDF invoices using a proprietary AI and OCR combination operating at a 99.9% accuracy rate.</w:t>
      </w:r>
    </w:p>
    <w:p w:rsidR="0071529F" w:rsidRDefault="005C3D9E">
      <w:pPr>
        <w:pStyle w:val="ListBullet"/>
        <w:spacing w:after="60"/>
        <w:ind w:left="510"/>
      </w:pPr>
      <w:r>
        <w:t>Sansan, Inc. leverages a human-in-the-loop validation layer consisting of human operators at its scan centres across</w:t>
      </w:r>
      <w:r>
        <w:t xml:space="preserve"> Singapore, Thailand, and Japan to complement its OCR technology and secure its accuracy standard.</w:t>
      </w:r>
    </w:p>
    <w:p w:rsidR="0071529F" w:rsidRDefault="005C3D9E">
      <w:pPr>
        <w:keepNext/>
        <w:pBdr>
          <w:left w:val="single" w:sz="24" w:space="6" w:color="52B69A"/>
        </w:pBdr>
        <w:spacing w:before="120" w:after="60"/>
        <w:ind w:left="170"/>
      </w:pPr>
      <w:r>
        <w:rPr>
          <w:b/>
          <w:color w:val="0F172A"/>
          <w:sz w:val="20"/>
        </w:rPr>
        <w:t>Workflow Automation &amp; Approval Routing — scored 84/100</w:t>
      </w:r>
    </w:p>
    <w:p w:rsidR="0071529F" w:rsidRDefault="005C3D9E">
      <w:pPr>
        <w:keepNext/>
        <w:pBdr>
          <w:left w:val="single" w:sz="24" w:space="6" w:color="52B69A"/>
        </w:pBdr>
        <w:ind w:left="170"/>
      </w:pPr>
      <w:r>
        <w:t>The rating rests on Sansan, Inc.’s confirmed deployment of cloud-based internal approval workflows and</w:t>
      </w:r>
      <w:r>
        <w:t xml:space="preserve"> verification paths within its Bill One invoice management product. Based on primary research, the company's technical specifications can be estimated as comprehensive for common operational flows, based on its adjusted operating profit reached 3.5 billion</w:t>
      </w:r>
      <w:r>
        <w:t xml:space="preserve"> yen.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accounting solution, Bill One, digitizes invoice data and imports it into a controlled cloud workflow, allowing sequential processes—including invoice verification, approval routing, and journal entry cr</w:t>
      </w:r>
      <w:r>
        <w:t>eation—to be completed in the cloud.</w:t>
      </w:r>
    </w:p>
    <w:p w:rsidR="0071529F" w:rsidRDefault="005C3D9E">
      <w:pPr>
        <w:pStyle w:val="ListBullet"/>
        <w:spacing w:after="60"/>
        <w:ind w:left="510"/>
      </w:pPr>
      <w:r>
        <w:t>The company reports that its Bill One solution automates operational workflows upstream by capturing accurate primary data to eliminate manual circulation and support multi-level approval paths.</w:t>
      </w:r>
    </w:p>
    <w:p w:rsidR="0071529F" w:rsidRDefault="005C3D9E">
      <w:pPr>
        <w:keepNext/>
        <w:pBdr>
          <w:left w:val="single" w:sz="24" w:space="6" w:color="52B69A"/>
        </w:pBdr>
        <w:spacing w:before="120" w:after="60"/>
        <w:ind w:left="170"/>
      </w:pPr>
      <w:r>
        <w:rPr>
          <w:b/>
          <w:color w:val="0F172A"/>
          <w:sz w:val="20"/>
        </w:rPr>
        <w:t xml:space="preserve">ERP &amp; Accounting System </w:t>
      </w:r>
      <w:r>
        <w:rPr>
          <w:b/>
          <w:color w:val="0F172A"/>
          <w:sz w:val="20"/>
        </w:rPr>
        <w:t>Integration — scored 65/100</w:t>
      </w:r>
    </w:p>
    <w:p w:rsidR="0071529F" w:rsidRDefault="005C3D9E">
      <w:pPr>
        <w:keepNext/>
        <w:pBdr>
          <w:left w:val="single" w:sz="24" w:space="6" w:color="52B69A"/>
        </w:pBdr>
        <w:ind w:left="170"/>
      </w:pPr>
      <w:r>
        <w:t>The rating rests on the platform's support for OpenAPI and its specific native API connector built for the domestic Japanese accounting software Kanjobugyo Cloud. Based on primary research, the company's ERP and accounting integ</w:t>
      </w:r>
      <w:r>
        <w:t>rations can be estimated as robust for major cloud accounting ecosystems, based on its consolidated net sales reached 43.2 billion yen.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 invoice management service, Bill One, supports system integrations </w:t>
      </w:r>
      <w:r>
        <w:t>through standard CSV file exports and OpenAPI methods to connect with general financial tools.</w:t>
      </w:r>
    </w:p>
    <w:p w:rsidR="0071529F" w:rsidRDefault="005C3D9E">
      <w:pPr>
        <w:pStyle w:val="ListBullet"/>
        <w:spacing w:after="60"/>
        <w:ind w:left="510"/>
      </w:pPr>
      <w:r>
        <w:t>Bill One has maintained a native functional integration with the cloud accounting system Kanjobugyo Cloud by OBC since November 2020, facilitating automated sync</w:t>
      </w:r>
      <w:r>
        <w:t>hronization of invoice figures.</w:t>
      </w:r>
    </w:p>
    <w:p w:rsidR="0071529F" w:rsidRDefault="005C3D9E">
      <w:pPr>
        <w:keepNext/>
        <w:pBdr>
          <w:left w:val="single" w:sz="24" w:space="6" w:color="52B69A"/>
        </w:pBdr>
        <w:spacing w:before="120" w:after="60"/>
        <w:ind w:left="170"/>
      </w:pPr>
      <w:r>
        <w:rPr>
          <w:b/>
          <w:color w:val="0F172A"/>
          <w:sz w:val="20"/>
        </w:rPr>
        <w:t>AI/ML &amp; Fraud Detection Capabilities — scored 84/100</w:t>
      </w:r>
    </w:p>
    <w:p w:rsidR="0071529F" w:rsidRDefault="005C3D9E">
      <w:pPr>
        <w:keepNext/>
        <w:pBdr>
          <w:left w:val="single" w:sz="24" w:space="6" w:color="52B69A"/>
        </w:pBdr>
        <w:ind w:left="170"/>
      </w:pPr>
      <w:r>
        <w:t>The assessment rests on the company's deployment of predictive arrival models and expanded AI verification/matching features for its Bill One invoice management system. Ba</w:t>
      </w:r>
      <w:r>
        <w:t>sed on primary research, the company's standalone AI accuracy rates can be estimated as strong, in line with leading vendors, based on its capital stock of 7,358 million yen.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 will gradually begin offering new functi</w:t>
      </w:r>
      <w:r>
        <w:t>ons for its accounting AX service "Bill One" starting around spring 2026, including an expansion of its "AI Auto-Verification" feature along with new "AI Auto-Invoicing" and "Auto-Approval" tools to automate data matching against order details.</w:t>
      </w:r>
    </w:p>
    <w:p w:rsidR="0071529F" w:rsidRDefault="005C3D9E">
      <w:pPr>
        <w:pStyle w:val="ListBullet"/>
        <w:spacing w:after="60"/>
        <w:ind w:left="510"/>
      </w:pPr>
      <w:r>
        <w:t>The company</w:t>
      </w:r>
      <w:r>
        <w:t xml:space="preserve"> reports the integration of an AI-based "arrival management function" into Bill One in November 2025, which utilizes a patent-pending technology to predict current-month invoice arrival dates based on past records to reduce missed invoicing.</w:t>
      </w:r>
    </w:p>
    <w:p w:rsidR="0071529F" w:rsidRDefault="005C3D9E">
      <w:pPr>
        <w:keepNext/>
        <w:pBdr>
          <w:left w:val="single" w:sz="24" w:space="6" w:color="52B69A"/>
        </w:pBdr>
        <w:spacing w:before="120" w:after="60"/>
        <w:ind w:left="170"/>
      </w:pPr>
      <w:r>
        <w:rPr>
          <w:b/>
          <w:color w:val="0F172A"/>
          <w:sz w:val="20"/>
        </w:rPr>
        <w:lastRenderedPageBreak/>
        <w:t xml:space="preserve">Scalability &amp; </w:t>
      </w:r>
      <w:r>
        <w:rPr>
          <w:b/>
          <w:color w:val="0F172A"/>
          <w:sz w:val="20"/>
        </w:rPr>
        <w:t>Global Compliance Support — scored 65/100</w:t>
      </w:r>
    </w:p>
    <w:p w:rsidR="0071529F" w:rsidRDefault="005C3D9E">
      <w:pPr>
        <w:keepNext/>
        <w:pBdr>
          <w:left w:val="single" w:sz="24" w:space="6" w:color="52B69A"/>
        </w:pBdr>
        <w:ind w:left="170"/>
      </w:pPr>
      <w:r>
        <w:t>The evaluation rests on confirmed compliance features built specifically for Japanese tax reforms and infrastructure tracking to support transaction processing. Based on primary research, the company's multi-countr</w:t>
      </w:r>
      <w:r>
        <w:t>y compliance frameworks can be estimated as scaling to handle international frameworks, based on its non-consolidated headcount reached 2,077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cloud-based invoice management solution, Bill One, </w:t>
      </w:r>
      <w:r>
        <w:t>ensures compliance with the Japanese Invoice System and the Electronic Bookkeeping Act, and handles automated validation for qualified invoice requirements.</w:t>
      </w:r>
    </w:p>
    <w:p w:rsidR="0071529F" w:rsidRDefault="005C3D9E">
      <w:pPr>
        <w:pStyle w:val="ListBullet"/>
        <w:spacing w:after="60"/>
        <w:ind w:left="510"/>
      </w:pPr>
      <w:r>
        <w:t>Sansan, Inc. partner case studies verify that its Bill One architecture utilizes application perfor</w:t>
      </w:r>
      <w:r>
        <w:t>mance monitoring to manage latency and ensure proactive troubleshooting during high-volume peak periods driven by rapid customer scaling.</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71/100</w:t>
      </w:r>
    </w:p>
    <w:p w:rsidR="0071529F" w:rsidRDefault="005C3D9E">
      <w:pPr>
        <w:keepNext/>
        <w:pBdr>
          <w:left w:val="single" w:sz="24" w:space="6" w:color="52B69A"/>
        </w:pBdr>
        <w:ind w:left="170"/>
      </w:pPr>
      <w:r>
        <w:t>We verified that Sansan, Inc. demonstrates parti</w:t>
      </w:r>
      <w:r>
        <w:t xml:space="preserve">al capability in the accounts payable automation market based on disclosed financial momentum and mid-market customer use cases for its Bill One product line. Based on primary research, the company's enterprise contract metrics can be estimated as growing </w:t>
      </w:r>
      <w:r>
        <w:t>steadily, based on its 43.2 billion yen consolidated net sales.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cloud-based invoice management service for accounts payable, Bill One, achieved annual recurring revenue (ARR) of ¥14.8 billion in its full-year </w:t>
      </w:r>
      <w:r>
        <w:t>FY2026 financial results, representing a 34.9% increase year-over-year.</w:t>
      </w:r>
    </w:p>
    <w:p w:rsidR="0071529F" w:rsidRDefault="005C3D9E">
      <w:pPr>
        <w:pStyle w:val="ListBullet"/>
        <w:spacing w:after="60"/>
        <w:ind w:left="510"/>
      </w:pPr>
      <w:r>
        <w:t>The company announced that Dunlop Tire Thailand implemented Bill One in April 2026 to digitize its accounts payable operations, centrally managing approximately 200 vendor invoices eac</w:t>
      </w:r>
      <w:r>
        <w:t>h month.</w:t>
      </w:r>
    </w:p>
    <w:p w:rsidR="0071529F" w:rsidRDefault="005C3D9E">
      <w:pPr>
        <w:keepNext/>
        <w:pBdr>
          <w:left w:val="single" w:sz="24" w:space="6" w:color="52B69A"/>
        </w:pBdr>
        <w:spacing w:before="120" w:after="60"/>
        <w:ind w:left="170"/>
      </w:pPr>
      <w:r>
        <w:rPr>
          <w:b/>
          <w:color w:val="0F172A"/>
          <w:sz w:val="20"/>
        </w:rPr>
        <w:t>Revenue Growth &amp; Financial Health — scored 98/100</w:t>
      </w:r>
    </w:p>
    <w:p w:rsidR="0071529F" w:rsidRDefault="005C3D9E">
      <w:pPr>
        <w:keepNext/>
        <w:pBdr>
          <w:left w:val="single" w:sz="24" w:space="6" w:color="52B69A"/>
        </w:pBdr>
        <w:ind w:left="170"/>
      </w:pPr>
      <w:r>
        <w:t xml:space="preserve">The rating rests on the company's publicly disclosed corporate financial statements detailing segment net sales, rapid year-over-year expansion, and precise annual recurring revenue milestones for </w:t>
      </w:r>
      <w:r>
        <w:t>its accounts payable automation solution. Based on primary research, the company's standalone net profitability margins can be estimated as positive due to scaling efficiencies, based on its adjusted operating profit reached 3.5 billion yen.</w:t>
      </w:r>
    </w:p>
    <w:p w:rsidR="0071529F" w:rsidRDefault="005C3D9E">
      <w:pPr>
        <w:keepNext/>
        <w:spacing w:after="40"/>
        <w:ind w:left="170"/>
      </w:pPr>
      <w:r>
        <w:rPr>
          <w:b/>
          <w:caps/>
          <w:color w:val="64748B"/>
          <w:sz w:val="15"/>
        </w:rPr>
        <w:t>Supporting poi</w:t>
      </w:r>
      <w:r>
        <w:rPr>
          <w:b/>
          <w:caps/>
          <w:color w:val="64748B"/>
          <w:sz w:val="15"/>
        </w:rPr>
        <w:t>nts</w:t>
      </w:r>
    </w:p>
    <w:p w:rsidR="0071529F" w:rsidRDefault="005C3D9E">
      <w:pPr>
        <w:pStyle w:val="ListBullet"/>
        <w:spacing w:after="60"/>
        <w:ind w:left="510"/>
      </w:pPr>
      <w:r>
        <w:t>The company reports that its accounting AI transformation (AX) cloud invoice solution, Bill One, generated ¥13.679 billion in net sales for the fiscal year ended May 2025, marking a 39.7% year-over-year growth rate.</w:t>
      </w:r>
    </w:p>
    <w:p w:rsidR="0071529F" w:rsidRDefault="005C3D9E">
      <w:pPr>
        <w:pStyle w:val="ListBullet"/>
        <w:spacing w:after="60"/>
        <w:ind w:left="510"/>
      </w:pPr>
      <w:r>
        <w:t>The company reports that its Bill On</w:t>
      </w:r>
      <w:r>
        <w:t>e business segment reached an annual recurring revenue (ARR) scale of ¥13.9 billion as of Q1 of the fiscal year ending May 2026.</w:t>
      </w:r>
    </w:p>
    <w:p w:rsidR="0071529F" w:rsidRDefault="005C3D9E">
      <w:pPr>
        <w:keepNext/>
        <w:pBdr>
          <w:left w:val="single" w:sz="24" w:space="6" w:color="52B69A"/>
        </w:pBdr>
        <w:spacing w:before="120" w:after="60"/>
        <w:ind w:left="170"/>
      </w:pPr>
      <w:r>
        <w:rPr>
          <w:b/>
          <w:color w:val="0F172A"/>
          <w:sz w:val="20"/>
        </w:rPr>
        <w:t>Geographic Coverage &amp; Partner Network — scored 77/100</w:t>
      </w:r>
    </w:p>
    <w:p w:rsidR="0071529F" w:rsidRDefault="005C3D9E">
      <w:pPr>
        <w:keepNext/>
        <w:pBdr>
          <w:left w:val="single" w:sz="24" w:space="6" w:color="52B69A"/>
        </w:pBdr>
        <w:ind w:left="170"/>
      </w:pPr>
      <w:r>
        <w:t xml:space="preserve">The evaluation rests on Sansan, Inc.’s established physical subsidiaries </w:t>
      </w:r>
      <w:r>
        <w:t>in Southeast Asia and localized language/digitization support for its Bill One invoice management system across three specific regional contexts. Based on primary research, the company's channel partner network scope can be estimated as extensive, based on</w:t>
      </w:r>
      <w:r>
        <w:t xml:space="preserve"> its consolidated headcount of 2,336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operating global operations through subsidiaries in Singapore (Sansan Global Pte. Ltd.), Thailand (Sansan Global (Thailand) Co., Ltd.), and a development base in the Phil</w:t>
      </w:r>
      <w:r>
        <w:t>ippines (Sansan Global Development Center, Inc.), alongside its main headquarters in Japan.</w:t>
      </w:r>
    </w:p>
    <w:p w:rsidR="0071529F" w:rsidRDefault="005C3D9E">
      <w:pPr>
        <w:pStyle w:val="ListBullet"/>
        <w:spacing w:after="60"/>
        <w:ind w:left="510"/>
      </w:pPr>
      <w:r>
        <w:t xml:space="preserve">The company reports that its core AI and OCR technology uses invoice scanning hubs in Singapore, Thailand, and Japan, with Bill One currently supporting processing </w:t>
      </w:r>
      <w:r>
        <w:t>functionality for workflows in English, Thai, and Japanese.</w:t>
      </w:r>
    </w:p>
    <w:p w:rsidR="0071529F" w:rsidRDefault="005C3D9E">
      <w:pPr>
        <w:keepNext/>
        <w:pBdr>
          <w:left w:val="single" w:sz="24" w:space="6" w:color="52B69A"/>
        </w:pBdr>
        <w:spacing w:before="120" w:after="60"/>
        <w:ind w:left="170"/>
      </w:pPr>
      <w:r>
        <w:rPr>
          <w:b/>
          <w:color w:val="0F172A"/>
          <w:sz w:val="20"/>
        </w:rPr>
        <w:t>Market Share &amp; Competitive Positioning — scored 87/100</w:t>
      </w:r>
    </w:p>
    <w:p w:rsidR="0071529F" w:rsidRDefault="005C3D9E">
      <w:pPr>
        <w:keepNext/>
        <w:pBdr>
          <w:left w:val="single" w:sz="24" w:space="6" w:color="52B69A"/>
        </w:pBdr>
        <w:ind w:left="170"/>
      </w:pPr>
      <w:r>
        <w:t>The rating rests on the company's disclosed internal high-growth data for its Bill One invoice automation product, as independent third-party</w:t>
      </w:r>
      <w:r>
        <w:t xml:space="preserve"> market share percentages and competitive win rates are absent in public reports. Based on primary research, the company's global market share ranking can be estimated as leading domestically but emerging globally, based on its adjusted operating profit of</w:t>
      </w:r>
      <w:r>
        <w:t xml:space="preserve"> 3.5 billion yen.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 invoice and accounting AI transformation solution, Bill One, grew to an Annual Recurring Revenue (ARR) scale of 13.9 billion yen as of the first quarter of the fiscal year ending May </w:t>
      </w:r>
      <w:r>
        <w:t>2026.</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88/100</w:t>
      </w:r>
    </w:p>
    <w:p w:rsidR="0071529F" w:rsidRDefault="005C3D9E">
      <w:pPr>
        <w:keepNext/>
        <w:pBdr>
          <w:left w:val="single" w:sz="24" w:space="6" w:color="52B69A"/>
        </w:pBdr>
        <w:ind w:left="170"/>
      </w:pPr>
      <w:r>
        <w:t>We verified that the company has established verifiable pre-IPO financing and historical venture backing before transitioning to a publicly-traded entity. Based on primary research, the company's dedica</w:t>
      </w:r>
      <w:r>
        <w:t>ted funding rounds or acquisitions can be estimated as funded primarily through corporate allocations, based on its capital stock reached 7,358 million yen.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corporate history of funding rounds prior to going public</w:t>
      </w:r>
      <w:r>
        <w:t>, which includes raising approximately 500 million yen in April 2013 and approximately 1.4 billion yen in May 2014 through third-party allocations of new shares.</w:t>
      </w:r>
    </w:p>
    <w:p w:rsidR="0071529F" w:rsidRDefault="005C3D9E">
      <w:pPr>
        <w:pStyle w:val="ListBullet"/>
        <w:spacing w:after="60"/>
        <w:ind w:left="510"/>
      </w:pPr>
      <w:r>
        <w:t>The company announced US$38 million in Series D funding in August 2017 from investors includin</w:t>
      </w:r>
      <w:r>
        <w:t>g the Future Creation Fund, DCM Ventures, and Salesforce.com Ventures to support regional expansion.</w:t>
      </w:r>
    </w:p>
    <w:p w:rsidR="0071529F" w:rsidRDefault="005C3D9E">
      <w:pPr>
        <w:pStyle w:val="Heading2"/>
        <w:pageBreakBefore/>
        <w:shd w:val="clear" w:color="auto" w:fill="002857"/>
        <w:spacing w:after="0"/>
      </w:pPr>
      <w:bookmarkStart w:id="14" w:name="_Toc242447158"/>
      <w:r>
        <w:lastRenderedPageBreak/>
        <w:t>Alii Pty Ltd</w:t>
      </w:r>
      <w:bookmarkEnd w:id="14"/>
    </w:p>
    <w:p w:rsidR="0071529F" w:rsidRDefault="005C3D9E">
      <w:pPr>
        <w:shd w:val="clear" w:color="auto" w:fill="002857"/>
        <w:spacing w:after="200"/>
      </w:pPr>
      <w:r>
        <w:rPr>
          <w:color w:val="CBD5E1"/>
          <w:sz w:val="18"/>
        </w:rPr>
        <w:t xml:space="preserve">Alii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84/100</w:t>
      </w:r>
    </w:p>
    <w:p w:rsidR="0071529F" w:rsidRDefault="005C3D9E">
      <w:pPr>
        <w:keepNext/>
        <w:pBdr>
          <w:left w:val="single" w:sz="24" w:space="6" w:color="52B69A"/>
        </w:pBdr>
        <w:ind w:left="170"/>
      </w:pPr>
      <w:r>
        <w:t>The</w:t>
      </w:r>
      <w:r>
        <w:t xml:space="preserve"> evaluation rests on the company's self-reported capabilities regarding its proprietary or integrated advanced OCR engine, which is built to capture header and line-item details across varied invoice layouts. Based on primary research, the company's touchl</w:t>
      </w:r>
      <w:r>
        <w:t>ess processing performance can be estimated as high for school and enterprise packages, based on its processed more than 900,000 invoices annually.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accounts payable platform uses sophisticated document detecti</w:t>
      </w:r>
      <w:r>
        <w:t>on, validation, and data extraction technology alongside an advanced optical character recognition (OCR) engine to automatically extract purchase order numbers, vendor details, and invoice information.</w:t>
      </w:r>
    </w:p>
    <w:p w:rsidR="0071529F" w:rsidRDefault="005C3D9E">
      <w:pPr>
        <w:pStyle w:val="ListBullet"/>
        <w:spacing w:after="60"/>
        <w:ind w:left="510"/>
      </w:pPr>
      <w:r>
        <w:t>The company reports that all incoming invoices are aut</w:t>
      </w:r>
      <w:r>
        <w:t>omatically extracted and matched against approved POs and supplier details to reduce manual validation and data entry, pulling structural data including line-item details, vendor names, dates, and amounts.</w:t>
      </w:r>
    </w:p>
    <w:p w:rsidR="0071529F" w:rsidRDefault="005C3D9E">
      <w:pPr>
        <w:keepNext/>
        <w:pBdr>
          <w:left w:val="single" w:sz="24" w:space="6" w:color="52B69A"/>
        </w:pBdr>
        <w:spacing w:before="120" w:after="60"/>
        <w:ind w:left="170"/>
      </w:pPr>
      <w:r>
        <w:rPr>
          <w:b/>
          <w:color w:val="0F172A"/>
          <w:sz w:val="20"/>
        </w:rPr>
        <w:t>Workflow Automation &amp; Approval Routing — scored 87</w:t>
      </w:r>
      <w:r>
        <w:rPr>
          <w:b/>
          <w:color w:val="0F172A"/>
          <w:sz w:val="20"/>
        </w:rPr>
        <w:t>/100</w:t>
      </w:r>
    </w:p>
    <w:p w:rsidR="0071529F" w:rsidRDefault="005C3D9E">
      <w:pPr>
        <w:keepNext/>
        <w:pBdr>
          <w:left w:val="single" w:sz="24" w:space="6" w:color="52B69A"/>
        </w:pBdr>
        <w:ind w:left="170"/>
      </w:pPr>
      <w:r>
        <w:t>The evaluation rests on Alii Pty Ltd's documented product capabilities for multi-level, multi-variable approval rule routing and its inclusion of visual audit trails, leave coverage configuration, and mobile cross-device accessibility. Based on primar</w:t>
      </w:r>
      <w:r>
        <w:t>y research, the company's programmatic exception-handling AI capabilities can be estimated as limited to basic structural and duplicate invoice validation checks, based on its annual volume of 900,000 processed invoices across regional clients.</w:t>
      </w:r>
    </w:p>
    <w:p w:rsidR="0071529F" w:rsidRDefault="005C3D9E">
      <w:pPr>
        <w:keepNext/>
        <w:spacing w:after="40"/>
        <w:ind w:left="170"/>
      </w:pPr>
      <w:r>
        <w:rPr>
          <w:b/>
          <w:caps/>
          <w:color w:val="64748B"/>
          <w:sz w:val="15"/>
        </w:rPr>
        <w:t xml:space="preserve">Supporting </w:t>
      </w:r>
      <w:r>
        <w:rPr>
          <w:b/>
          <w:caps/>
          <w:color w:val="64748B"/>
          <w:sz w:val="15"/>
        </w:rPr>
        <w:t>points</w:t>
      </w:r>
    </w:p>
    <w:p w:rsidR="0071529F" w:rsidRDefault="005C3D9E">
      <w:pPr>
        <w:pStyle w:val="ListBullet"/>
        <w:spacing w:after="60"/>
        <w:ind w:left="510"/>
      </w:pPr>
      <w:r>
        <w:t>Alii Pty Ltd reports that its Alii Approvals tool supports a self-managed Delegation of Authority feature, allowing organisations to configure multi-level approvers based on custom business rules such as spend amount, department, and location.</w:t>
      </w:r>
    </w:p>
    <w:p w:rsidR="0071529F" w:rsidRDefault="005C3D9E">
      <w:pPr>
        <w:pStyle w:val="ListBullet"/>
        <w:spacing w:after="60"/>
        <w:ind w:left="510"/>
      </w:pPr>
      <w:r>
        <w:t xml:space="preserve">The </w:t>
      </w:r>
      <w:r>
        <w:t>company reports providing a comprehensive digital workflow that features a visual audit trail documenting all requests, approvals, changes, and updates from start to end, alongside bulk approval queues and mobile web-browser access.</w:t>
      </w:r>
    </w:p>
    <w:p w:rsidR="0071529F" w:rsidRDefault="005C3D9E">
      <w:pPr>
        <w:keepNext/>
        <w:pBdr>
          <w:left w:val="single" w:sz="24" w:space="6" w:color="52B69A"/>
        </w:pBdr>
        <w:spacing w:before="120" w:after="60"/>
        <w:ind w:left="170"/>
      </w:pPr>
      <w:r>
        <w:rPr>
          <w:b/>
          <w:color w:val="0F172A"/>
          <w:sz w:val="20"/>
        </w:rPr>
        <w:t>ERP &amp; Accounting System</w:t>
      </w:r>
      <w:r>
        <w:rPr>
          <w:b/>
          <w:color w:val="0F172A"/>
          <w:sz w:val="20"/>
        </w:rPr>
        <w:t xml:space="preserve"> Integration — scored 72/100</w:t>
      </w:r>
    </w:p>
    <w:p w:rsidR="0071529F" w:rsidRDefault="005C3D9E">
      <w:pPr>
        <w:keepNext/>
        <w:pBdr>
          <w:left w:val="single" w:sz="24" w:space="6" w:color="52B69A"/>
        </w:pBdr>
        <w:ind w:left="170"/>
      </w:pPr>
      <w:r>
        <w:t>The rating rests on the company's established integration capabilities across regional mid-market financial packages and education management platforms. Based on primary research, the company's enterprise ERP system native inte</w:t>
      </w:r>
      <w:r>
        <w:t>grations can be estimated as absent or restricted to mid-market systems rather than global platforms, based on its published regional integrations including Civica and Microsoft Dynamics 365 Business Central.</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pre-built</w:t>
      </w:r>
      <w:r>
        <w:t xml:space="preserve"> connectors and certified API integrations for accounting and financial platforms, including Microsoft Dynamics 365 Business Central, MYOB, Xero, AccountsIQ, and Civica.</w:t>
      </w:r>
    </w:p>
    <w:p w:rsidR="0071529F" w:rsidRDefault="005C3D9E">
      <w:pPr>
        <w:pStyle w:val="ListBullet"/>
        <w:spacing w:after="60"/>
        <w:ind w:left="510"/>
      </w:pPr>
      <w:r>
        <w:t>The company reports partnership integrations with specialized market platforms, such a</w:t>
      </w:r>
      <w:r>
        <w:t>s the Veracross school administration student information system, which utilizes a real-time synchronization API.</w:t>
      </w:r>
    </w:p>
    <w:p w:rsidR="0071529F" w:rsidRDefault="005C3D9E">
      <w:pPr>
        <w:keepNext/>
        <w:pBdr>
          <w:left w:val="single" w:sz="24" w:space="6" w:color="52B69A"/>
        </w:pBdr>
        <w:spacing w:before="120" w:after="60"/>
        <w:ind w:left="170"/>
      </w:pPr>
      <w:r>
        <w:rPr>
          <w:b/>
          <w:color w:val="0F172A"/>
          <w:sz w:val="20"/>
        </w:rPr>
        <w:t>AI/ML &amp; Fraud Detection Capabilities — scored 86/100</w:t>
      </w:r>
    </w:p>
    <w:p w:rsidR="0071529F" w:rsidRDefault="005C3D9E">
      <w:pPr>
        <w:keepNext/>
        <w:pBdr>
          <w:left w:val="single" w:sz="24" w:space="6" w:color="52B69A"/>
        </w:pBdr>
        <w:ind w:left="170"/>
      </w:pPr>
      <w:r>
        <w:t>The assessment is based on the company's documented deployment of a proprietary, AI-drive</w:t>
      </w:r>
      <w:r>
        <w:t>n fraud detection workflow that uses continuous learning to evaluate transactional patterns against historical baselines. Based on primary research, the company's continuous learning model performance can be estimated as strong, in line with leading vendor</w:t>
      </w:r>
      <w:r>
        <w:t>s, based on its 900,000 invoices processed annually, $2.5 million in pre-series A capital raised, and 11 to 50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AI-powered fraud prevention engine leverages continuous learning to detect abnormal activity</w:t>
      </w:r>
      <w:r>
        <w:t xml:space="preserve"> by analyzing a school's historical operational data.</w:t>
      </w:r>
    </w:p>
    <w:p w:rsidR="0071529F" w:rsidRDefault="005C3D9E">
      <w:pPr>
        <w:pStyle w:val="ListBullet"/>
        <w:spacing w:after="60"/>
        <w:ind w:left="510"/>
      </w:pPr>
      <w:r>
        <w:t>The company reports its proprietary fraud detection engine automatically performs multi-point checks as invoices enter workflows, including business number validation, duplicate matching, bank account v</w:t>
      </w:r>
      <w:r>
        <w:t>erification, and OCR-driven document data extraction.</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76/100</w:t>
      </w:r>
    </w:p>
    <w:p w:rsidR="0071529F" w:rsidRDefault="005C3D9E">
      <w:pPr>
        <w:keepNext/>
        <w:pBdr>
          <w:left w:val="single" w:sz="24" w:space="6" w:color="52B69A"/>
        </w:pBdr>
        <w:ind w:left="170"/>
      </w:pPr>
      <w:r>
        <w:t>The rating rests on the platform's demonstrated processing volumes and regulatory checks tailored to the Australian and New Zealand education sect</w:t>
      </w:r>
      <w:r>
        <w:t>ors. Based on primary research, the company's compliance and processing scalability can be estimated as broad across regional compliance standards, based on its processed more than 900,000 invoices annually for clients across Australia and New Zealand.</w:t>
      </w:r>
    </w:p>
    <w:p w:rsidR="0071529F" w:rsidRDefault="005C3D9E">
      <w:pPr>
        <w:keepNext/>
        <w:spacing w:after="40"/>
        <w:ind w:left="170"/>
      </w:pPr>
      <w:r>
        <w:rPr>
          <w:b/>
          <w:caps/>
          <w:color w:val="64748B"/>
          <w:sz w:val="15"/>
        </w:rPr>
        <w:t>Sup</w:t>
      </w:r>
      <w:r>
        <w:rPr>
          <w:b/>
          <w:caps/>
          <w:color w:val="64748B"/>
          <w:sz w:val="15"/>
        </w:rPr>
        <w:t>porting points</w:t>
      </w:r>
    </w:p>
    <w:p w:rsidR="0071529F" w:rsidRDefault="005C3D9E">
      <w:pPr>
        <w:pStyle w:val="ListBullet"/>
        <w:spacing w:after="60"/>
        <w:ind w:left="510"/>
      </w:pPr>
      <w:r>
        <w:t>The company reports that its platform is trusted to process over 1.5 million invoices each year securely across Australia and New Zealand.</w:t>
      </w:r>
    </w:p>
    <w:p w:rsidR="0071529F" w:rsidRDefault="005C3D9E">
      <w:pPr>
        <w:pStyle w:val="ListBullet"/>
        <w:spacing w:after="60"/>
        <w:ind w:left="510"/>
      </w:pPr>
      <w:r>
        <w:t>The company reports that its system has built-in compliance features including automated Australian Bu</w:t>
      </w:r>
      <w:r>
        <w:t>siness Number (ABN), Bank State Branch (BSB), and account number checks, along with Australian Securities &amp; Investments Commission (ASIC) register checks to prevent fraud.</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65/100</w:t>
      </w:r>
    </w:p>
    <w:p w:rsidR="0071529F" w:rsidRDefault="005C3D9E">
      <w:pPr>
        <w:keepNext/>
        <w:pBdr>
          <w:left w:val="single" w:sz="24" w:space="6" w:color="52B69A"/>
        </w:pBdr>
        <w:ind w:left="170"/>
      </w:pPr>
      <w:r>
        <w:t>The rating res</w:t>
      </w:r>
      <w:r>
        <w:t xml:space="preserve">ts on the company's disclosure of specific named enterprise logos primarily in the education and real estate sectors across Australia. Based on primary research, the company's total customer count and contract metrics can be estimated as growing steadily, </w:t>
      </w:r>
      <w:r>
        <w:t>based on its 900,000 annual invoices processed and 2.5 million dollar pre-Series A capital raise.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named logos using its platform including Place Estate Agents, Dominic College, Brisbane Grammar School, Mentone Grammar,</w:t>
      </w:r>
      <w:r>
        <w:t xml:space="preserve"> John Septimus Roe Anglican Community School, Bacchus Marsh Grammar, and Kilbreda College.</w:t>
      </w:r>
    </w:p>
    <w:p w:rsidR="0071529F" w:rsidRDefault="005C3D9E">
      <w:pPr>
        <w:pStyle w:val="ListBullet"/>
        <w:spacing w:after="60"/>
        <w:ind w:left="510"/>
      </w:pPr>
      <w:r>
        <w:t>The company reports that Place Estate Agents uses its system to manage suppliers and process purchase orders across all of its locations.</w:t>
      </w:r>
    </w:p>
    <w:p w:rsidR="0071529F" w:rsidRDefault="005C3D9E">
      <w:pPr>
        <w:keepNext/>
        <w:pBdr>
          <w:left w:val="single" w:sz="24" w:space="6" w:color="52B69A"/>
        </w:pBdr>
        <w:spacing w:before="120" w:after="60"/>
        <w:ind w:left="170"/>
      </w:pPr>
      <w:r>
        <w:rPr>
          <w:b/>
          <w:color w:val="0F172A"/>
          <w:sz w:val="20"/>
        </w:rPr>
        <w:t xml:space="preserve">Revenue Growth &amp; Financial </w:t>
      </w:r>
      <w:r>
        <w:rPr>
          <w:b/>
          <w:color w:val="0F172A"/>
          <w:sz w:val="20"/>
        </w:rPr>
        <w:t>Health — scored 85/100</w:t>
      </w:r>
    </w:p>
    <w:p w:rsidR="0071529F" w:rsidRDefault="005C3D9E">
      <w:pPr>
        <w:keepNext/>
        <w:pBdr>
          <w:left w:val="single" w:sz="24" w:space="6" w:color="52B69A"/>
        </w:pBdr>
        <w:ind w:left="170"/>
      </w:pPr>
      <w:r>
        <w:t>The rating rests on the company's confirmed pre-Series A venture funding round and self-reported triple-digit historical revenue and client growth figures. Based on primary research, the company's client profile scale can be estimate</w:t>
      </w:r>
      <w:r>
        <w:t>d as growing steadily in specific sectors, based on its processed more than 900,000 invoices annually and pre-Series A capital round. The company's operational financial metrics can be estimated as growing steadily from a stable regional baseline, based on</w:t>
      </w:r>
      <w:r>
        <w:t xml:space="preserve"> its pre-Series A capital round and company size between 11 to 50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 300% growth in revenue and experienced a 240% increase in its client base over a 12-month period leading up to January 2023.</w:t>
      </w:r>
    </w:p>
    <w:p w:rsidR="0071529F" w:rsidRDefault="005C3D9E">
      <w:pPr>
        <w:pStyle w:val="ListBullet"/>
        <w:spacing w:after="60"/>
        <w:ind w:left="510"/>
      </w:pPr>
      <w:r>
        <w:t>The company an</w:t>
      </w:r>
      <w:r>
        <w:t>nounced a successful pre-Series A funding round of $2.5 million in January 2023, bringing its total funding to $4.1 million and reaching a post-money valuation of over $10.2 million.</w:t>
      </w:r>
    </w:p>
    <w:p w:rsidR="0071529F" w:rsidRDefault="005C3D9E">
      <w:pPr>
        <w:keepNext/>
        <w:pBdr>
          <w:left w:val="single" w:sz="24" w:space="6" w:color="52B69A"/>
        </w:pBdr>
        <w:spacing w:before="120" w:after="60"/>
        <w:ind w:left="170"/>
      </w:pPr>
      <w:r>
        <w:rPr>
          <w:b/>
          <w:color w:val="0F172A"/>
          <w:sz w:val="20"/>
        </w:rPr>
        <w:t>Geographic Coverage &amp; Partner Network — scored 82/100</w:t>
      </w:r>
    </w:p>
    <w:p w:rsidR="0071529F" w:rsidRDefault="005C3D9E">
      <w:pPr>
        <w:keepNext/>
        <w:pBdr>
          <w:left w:val="single" w:sz="24" w:space="6" w:color="52B69A"/>
        </w:pBdr>
        <w:ind w:left="170"/>
      </w:pPr>
      <w:r>
        <w:t>We verified that th</w:t>
      </w:r>
      <w:r>
        <w:t>e company has established a localized office footprint within Australia and recently expanded into the United Kingdom, supported by an established set of over 15 accounting, school management, and legal platform integration partnerships. Based on primary r</w:t>
      </w:r>
      <w:r>
        <w:t>esearch, the company's channel reseller network scale can be estimated as selective and expanding, based on its integrations with school management platforms like Nelnet and TASS alongside an employee base of 11 to 50 staff.</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w:t>
      </w:r>
      <w:r>
        <w:t>eports having a presence and offices located in Brisbane, Melbourne, Sydney, Perth, and London to serve customers and partners across Australia, New Zealand, the United Kingdom, Europe, and globally.</w:t>
      </w:r>
    </w:p>
    <w:p w:rsidR="0071529F" w:rsidRDefault="005C3D9E">
      <w:pPr>
        <w:pStyle w:val="ListBullet"/>
        <w:spacing w:after="60"/>
        <w:ind w:left="510"/>
      </w:pPr>
      <w:r>
        <w:t>The company reports an ecosystem of over 15 certified in</w:t>
      </w:r>
      <w:r>
        <w:t>tegration and solutions partners—including global or regional platforms such as Xero, MYOB, Reckon, Aderant, FACTS, iSAMS, and Furlong—primarily focused on independent school management, legal practice software, and cloud accounting packages.</w:t>
      </w:r>
    </w:p>
    <w:p w:rsidR="0071529F" w:rsidRDefault="005C3D9E">
      <w:pPr>
        <w:keepNext/>
        <w:pBdr>
          <w:left w:val="single" w:sz="24" w:space="6" w:color="52B69A"/>
        </w:pBdr>
        <w:spacing w:before="120" w:after="60"/>
        <w:ind w:left="170"/>
      </w:pPr>
      <w:r>
        <w:rPr>
          <w:b/>
          <w:color w:val="0F172A"/>
          <w:sz w:val="20"/>
        </w:rPr>
        <w:t xml:space="preserve">Market Share </w:t>
      </w:r>
      <w:r>
        <w:rPr>
          <w:b/>
          <w:color w:val="0F172A"/>
          <w:sz w:val="20"/>
        </w:rPr>
        <w:t>&amp; Competitive Positioning — scored 70/100</w:t>
      </w:r>
    </w:p>
    <w:p w:rsidR="0071529F" w:rsidRDefault="005C3D9E">
      <w:pPr>
        <w:keepNext/>
        <w:pBdr>
          <w:left w:val="single" w:sz="24" w:space="6" w:color="52B69A"/>
        </w:pBdr>
        <w:ind w:left="170"/>
      </w:pPr>
      <w:r>
        <w:t>Based on primary research, the company's market share or competitive win rates can be estimated as emerging or highly localized in specific niches, based on its team of 11 to 50 employees and annual processing of m</w:t>
      </w:r>
      <w:r>
        <w:t>ore than 900,000 invoices across Australia and New Zealand.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targeting a 60% organic penetration of the independent and private school market in 3-5 years as of January 2023.</w:t>
      </w:r>
    </w:p>
    <w:p w:rsidR="0071529F" w:rsidRDefault="005C3D9E">
      <w:pPr>
        <w:pStyle w:val="ListBullet"/>
        <w:spacing w:after="60"/>
        <w:ind w:left="510"/>
      </w:pPr>
      <w:r>
        <w:lastRenderedPageBreak/>
        <w:t>The company reports adding approximately eig</w:t>
      </w:r>
      <w:r>
        <w:t>ht to 10 new schools per month into its client base throughout 2022.</w:t>
      </w:r>
    </w:p>
    <w:p w:rsidR="0071529F" w:rsidRDefault="005C3D9E">
      <w:pPr>
        <w:keepNext/>
        <w:pBdr>
          <w:left w:val="single" w:sz="24" w:space="6" w:color="52B69A"/>
        </w:pBdr>
        <w:spacing w:before="120" w:after="60"/>
        <w:ind w:left="170"/>
      </w:pPr>
      <w:r>
        <w:rPr>
          <w:b/>
          <w:color w:val="0F172A"/>
          <w:sz w:val="20"/>
        </w:rPr>
        <w:t>Funding &amp; Strategic Investments — scored 86/100</w:t>
      </w:r>
    </w:p>
    <w:p w:rsidR="0071529F" w:rsidRDefault="005C3D9E">
      <w:pPr>
        <w:keepNext/>
        <w:pBdr>
          <w:left w:val="single" w:sz="24" w:space="6" w:color="52B69A"/>
        </w:pBdr>
        <w:ind w:left="170"/>
      </w:pPr>
      <w:r>
        <w:t>The rating rests on confirmed early-stage venture and pre-Series A funding rounds totaling $4.1 million. Based on primary research, the com</w:t>
      </w:r>
      <w:r>
        <w:t>pany's subsequent investment and acquisition activities can be estimated as limited to early stage capital injections without subsequent growth rounds, based on its pre-Series A capital round raising $2.5 million.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announced a </w:t>
      </w:r>
      <w:r>
        <w:t>successful Pre-Series A funding round of $2.5 million in January 2023, led by Maranello Capital.</w:t>
      </w:r>
    </w:p>
    <w:p w:rsidR="0071529F" w:rsidRDefault="005C3D9E">
      <w:pPr>
        <w:pStyle w:val="ListBullet"/>
        <w:spacing w:after="60"/>
        <w:ind w:left="510"/>
      </w:pPr>
      <w:r>
        <w:t>The company reported a prior venture capital funding round of $1.6 million in October 2021, backed by SeventyTwo Capital.</w:t>
      </w:r>
    </w:p>
    <w:p w:rsidR="0071529F" w:rsidRDefault="005C3D9E">
      <w:pPr>
        <w:pStyle w:val="Heading2"/>
        <w:pageBreakBefore/>
        <w:shd w:val="clear" w:color="auto" w:fill="002857"/>
        <w:spacing w:after="0"/>
      </w:pPr>
      <w:bookmarkStart w:id="15" w:name="_Toc242447159"/>
      <w:r>
        <w:lastRenderedPageBreak/>
        <w:t>Synertrade S.A.</w:t>
      </w:r>
      <w:bookmarkEnd w:id="15"/>
    </w:p>
    <w:p w:rsidR="0071529F" w:rsidRDefault="005C3D9E">
      <w:pPr>
        <w:shd w:val="clear" w:color="auto" w:fill="002857"/>
        <w:spacing w:after="200"/>
      </w:pPr>
      <w:r>
        <w:rPr>
          <w:color w:val="CBD5E1"/>
          <w:sz w:val="18"/>
        </w:rPr>
        <w:t xml:space="preserve">Synertrade 5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80</w:t>
      </w:r>
      <w:r>
        <w:rPr>
          <w:color w:val="CBD5E1"/>
          <w:sz w:val="18"/>
        </w:rPr>
        <w:t xml:space="preserve">     Overall </w:t>
      </w:r>
      <w:r>
        <w:rPr>
          <w:b/>
          <w:color w:val="FFFFFF"/>
          <w:sz w:val="20"/>
        </w:rPr>
        <w:t>79</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77/100</w:t>
      </w:r>
    </w:p>
    <w:p w:rsidR="0071529F" w:rsidRDefault="005C3D9E">
      <w:pPr>
        <w:keepNext/>
        <w:pBdr>
          <w:left w:val="single" w:sz="24" w:space="6" w:color="52B69A"/>
        </w:pBdr>
        <w:ind w:left="170"/>
      </w:pPr>
      <w:r>
        <w:t xml:space="preserve">The evaluation rests on the company's confirmed integration of OCR and artificial intelligence capabilities for general </w:t>
      </w:r>
      <w:r>
        <w:t>invoice processing within its P2P suite. Based on primary research, the company's invoice capture performance can be estimated as moderate and workflow oriented, based on its more than 4 million referenced suppliers and automated 2 way and 3 way matching.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utilizes OCR and artificial intelligence to read invoices, validate official stamping, compare documents against purchase orders and receipts, and route exceptions to the appropriate team.</w:t>
      </w:r>
    </w:p>
    <w:p w:rsidR="0071529F" w:rsidRDefault="005C3D9E">
      <w:pPr>
        <w:keepNext/>
        <w:pBdr>
          <w:left w:val="single" w:sz="24" w:space="6" w:color="52B69A"/>
        </w:pBdr>
        <w:spacing w:before="120" w:after="60"/>
        <w:ind w:left="170"/>
      </w:pPr>
      <w:r>
        <w:rPr>
          <w:b/>
          <w:color w:val="0F172A"/>
          <w:sz w:val="20"/>
        </w:rPr>
        <w:t>Workflow Au</w:t>
      </w:r>
      <w:r>
        <w:rPr>
          <w:b/>
          <w:color w:val="0F172A"/>
          <w:sz w:val="20"/>
        </w:rPr>
        <w:t>tomation &amp; Approval Routing — scored 84/100</w:t>
      </w:r>
    </w:p>
    <w:p w:rsidR="0071529F" w:rsidRDefault="005C3D9E">
      <w:pPr>
        <w:keepNext/>
        <w:pBdr>
          <w:left w:val="single" w:sz="24" w:space="6" w:color="52B69A"/>
        </w:pBdr>
        <w:ind w:left="170"/>
      </w:pPr>
      <w:r>
        <w:t>The rating rests on the company's self-reported documentation indicating that the platform supports auditable workflows with predefined paths and automated routing for exceptions. Based on primary research, the c</w:t>
      </w:r>
      <w:r>
        <w:t>ompany's approval workflow capabilities and mobile options can be estimated as robust and highly configurable via the SynerMobile application, based on its more than 400,000 connected users and more than 200 employees worldwide.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w:t>
      </w:r>
      <w:r>
        <w:t>ny reports that its Synertrade 5 Invoicing platform features auditable workflows with traceable actions and predefined approval paths.</w:t>
      </w:r>
    </w:p>
    <w:p w:rsidR="0071529F" w:rsidRDefault="005C3D9E">
      <w:pPr>
        <w:pStyle w:val="ListBullet"/>
        <w:spacing w:after="60"/>
        <w:ind w:left="510"/>
      </w:pPr>
      <w:r>
        <w:t>The company reports that its platform handles approvals and exception handling via structured workflows and automated dis</w:t>
      </w:r>
      <w:r>
        <w:t>crepancy routing.</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The rating rests on the company's verified deployment experience in enterprise environments with custom and pre-built middleware connectivity options for standard ERP systems like SAP an</w:t>
      </w:r>
      <w:r>
        <w:t>d Oracle. Based on primary research, the company's ERP integration ecosystem and mid-market connector specs can be estimated as broad for enterprise systems with custom extensions for mid-market platforms, based on its more than 4 million referenced suppli</w:t>
      </w:r>
      <w:r>
        <w:t>ers and more than 250 customers served globally.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Synertrade 5, provides ready-to-use standard connectors for integration with leading enterprise tools alongside open REST APIs for custom connectivity</w:t>
      </w:r>
      <w:r>
        <w:t>.</w:t>
      </w:r>
    </w:p>
    <w:p w:rsidR="0071529F" w:rsidRDefault="005C3D9E">
      <w:pPr>
        <w:pStyle w:val="ListBullet"/>
        <w:spacing w:after="60"/>
        <w:ind w:left="510"/>
      </w:pPr>
      <w:r>
        <w:t>Independent sources state that Synertrade's software provides integrations and connectors for large-scale enterprise environments, specifically supporting integrations with platforms such as SAP S/4HANA, SAP ECC, and Oracle systems.</w:t>
      </w:r>
    </w:p>
    <w:p w:rsidR="0071529F" w:rsidRDefault="005C3D9E">
      <w:pPr>
        <w:keepNext/>
        <w:pBdr>
          <w:left w:val="single" w:sz="24" w:space="6" w:color="52B69A"/>
        </w:pBdr>
        <w:spacing w:before="120" w:after="60"/>
        <w:ind w:left="170"/>
      </w:pPr>
      <w:r>
        <w:rPr>
          <w:b/>
          <w:color w:val="0F172A"/>
          <w:sz w:val="20"/>
        </w:rPr>
        <w:t>AI/ML &amp; Fraud Detecti</w:t>
      </w:r>
      <w:r>
        <w:rPr>
          <w:b/>
          <w:color w:val="0F172A"/>
          <w:sz w:val="20"/>
        </w:rPr>
        <w:t>on Capabilities — scored 78/100</w:t>
      </w:r>
    </w:p>
    <w:p w:rsidR="0071529F" w:rsidRDefault="005C3D9E">
      <w:pPr>
        <w:keepNext/>
        <w:pBdr>
          <w:left w:val="single" w:sz="24" w:space="6" w:color="52B69A"/>
        </w:pBdr>
        <w:ind w:left="170"/>
      </w:pPr>
      <w:r>
        <w:t xml:space="preserve">The review is based on the company's documented capabilities for rule-based automated invoice matching and broad AI inclusions within contract management, rather than targeted machine learning for fraud prevention or </w:t>
      </w:r>
      <w:r>
        <w:t>predictive accounts payable metrics. Based on primary research, the company's fraud prevention capability can be estimated as foundational and risk predictive, based on its secure bank account validation and ai powered data validation.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w:t>
      </w:r>
      <w:r>
        <w:t>e company reports that its platform utilizes artificial intelligence for contract-approval recommendations and automated certificate document extraction, while its invoicing module automates two- and three-way matching to flag discrepancies.</w:t>
      </w:r>
    </w:p>
    <w:p w:rsidR="0071529F" w:rsidRDefault="005C3D9E">
      <w:pPr>
        <w:keepNext/>
        <w:pBdr>
          <w:left w:val="single" w:sz="24" w:space="6" w:color="52B69A"/>
        </w:pBdr>
        <w:spacing w:before="120" w:after="60"/>
        <w:ind w:left="170"/>
      </w:pPr>
      <w:r>
        <w:rPr>
          <w:b/>
          <w:color w:val="0F172A"/>
          <w:sz w:val="20"/>
        </w:rPr>
        <w:t xml:space="preserve">Scalability &amp; </w:t>
      </w:r>
      <w:r>
        <w:rPr>
          <w:b/>
          <w:color w:val="0F172A"/>
          <w:sz w:val="20"/>
        </w:rPr>
        <w:t>Global Compliance Support — scored 76/100</w:t>
      </w:r>
    </w:p>
    <w:p w:rsidR="0071529F" w:rsidRDefault="005C3D9E">
      <w:pPr>
        <w:keepNext/>
        <w:pBdr>
          <w:left w:val="single" w:sz="24" w:space="6" w:color="52B69A"/>
        </w:pBdr>
        <w:ind w:left="170"/>
      </w:pPr>
      <w:r>
        <w:t>The rating rests on the fact that Synertrade S.A. relies on partner technology to deliver comprehensive cross-border continuous transaction controls, while its own documentation primarily emphasizes general workflo</w:t>
      </w:r>
      <w:r>
        <w:t>w tracing rather than direct native e-invoicing certifications like PEPPOL. Based on primary research, the company's multi country e invoicing scalability can be estimated as enterprise grade and geographically adaptable, based on its 10 offices globally a</w:t>
      </w:r>
      <w:r>
        <w:t>nd contextual qualification logic by geography.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embeds general validation and trace paths for internal and external audits via predefined approval paths within its accounts payable workflows.</w:t>
      </w:r>
    </w:p>
    <w:p w:rsidR="0071529F" w:rsidRDefault="005C3D9E">
      <w:pPr>
        <w:pStyle w:val="ListBullet"/>
        <w:spacing w:after="60"/>
        <w:ind w:left="510"/>
      </w:pPr>
      <w:r>
        <w:lastRenderedPageBreak/>
        <w:t xml:space="preserve">Through </w:t>
      </w:r>
      <w:r>
        <w:t>a technical alliance, the company relies on third-party technology from Sovos to extend its capabilities into localized continuous transaction control compliance and cross-border tax determination across its cloud-native workflows.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67/100</w:t>
      </w:r>
    </w:p>
    <w:p w:rsidR="0071529F" w:rsidRDefault="005C3D9E">
      <w:pPr>
        <w:keepNext/>
        <w:pBdr>
          <w:left w:val="single" w:sz="24" w:space="6" w:color="52B69A"/>
        </w:pBdr>
        <w:ind w:left="170"/>
      </w:pPr>
      <w:r>
        <w:t>The rating rests on the company's self-reported base of 250 customers and selective public announcements of client wins like TransnetBW. Based on primary research, the company's contract value transaction volum</w:t>
      </w:r>
      <w:r>
        <w:t>e can be estimated as substantial scale, based on its over 400,000 connected users and more than 250 companies served globally.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supports 250 customers from various industries to drive their business s</w:t>
      </w:r>
      <w:r>
        <w:t>trategies on Accelerate.</w:t>
      </w:r>
    </w:p>
    <w:p w:rsidR="0071529F" w:rsidRDefault="005C3D9E">
      <w:pPr>
        <w:pStyle w:val="ListBullet"/>
        <w:spacing w:after="60"/>
        <w:ind w:left="510"/>
      </w:pPr>
      <w:r>
        <w:t>The company announced that the transmission system operator TransnetBW selected its procurement platform through an EU-wide tender process.</w:t>
      </w:r>
    </w:p>
    <w:p w:rsidR="0071529F" w:rsidRDefault="005C3D9E">
      <w:pPr>
        <w:keepNext/>
        <w:pBdr>
          <w:left w:val="single" w:sz="24" w:space="6" w:color="52B69A"/>
        </w:pBdr>
        <w:spacing w:before="120" w:after="60"/>
        <w:ind w:left="170"/>
      </w:pPr>
      <w:r>
        <w:rPr>
          <w:b/>
          <w:color w:val="0F172A"/>
          <w:sz w:val="20"/>
        </w:rPr>
        <w:t>Revenue Growth &amp; Financial Health — scored 79/100</w:t>
      </w:r>
    </w:p>
    <w:p w:rsidR="0071529F" w:rsidRDefault="005C3D9E">
      <w:pPr>
        <w:keepNext/>
        <w:pBdr>
          <w:left w:val="single" w:sz="24" w:space="6" w:color="52B69A"/>
        </w:pBdr>
        <w:ind w:left="170"/>
      </w:pPr>
      <w:r>
        <w:t>The evaluation is based on public financi</w:t>
      </w:r>
      <w:r>
        <w:t xml:space="preserve">al disclosures from Synertrade's former parent company detailing recent segment losses and goodwill impairments leading up to its divestment, alongside its subsequent restructuring as an independent, privately backed entity. Based on primary research, the </w:t>
      </w:r>
      <w:r>
        <w:t>company's standalone arr financial trajectory can be estimated as recovering steadily under private backing, based on its net losses of 7.3 million euros and management led transaction backed by private investors.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Former parent company Ec</w:t>
      </w:r>
      <w:r>
        <w:t>onocom disclosed that it recorded a goodwill impairment of €37 million on Synertrade for 2025 during its divestment process.</w:t>
      </w:r>
    </w:p>
    <w:p w:rsidR="0071529F" w:rsidRDefault="005C3D9E">
      <w:pPr>
        <w:pStyle w:val="ListBullet"/>
        <w:spacing w:after="60"/>
        <w:ind w:left="510"/>
      </w:pPr>
      <w:r>
        <w:t>Synertrade announced it completed a management-led buyout on 31 March 2026, transitioning to an independent company backed by B2B s</w:t>
      </w:r>
      <w:r>
        <w:t>oftware investors.</w:t>
      </w:r>
    </w:p>
    <w:p w:rsidR="0071529F" w:rsidRDefault="005C3D9E">
      <w:pPr>
        <w:keepNext/>
        <w:pBdr>
          <w:left w:val="single" w:sz="24" w:space="6" w:color="52B69A"/>
        </w:pBdr>
        <w:spacing w:before="120" w:after="60"/>
        <w:ind w:left="170"/>
      </w:pPr>
      <w:r>
        <w:rPr>
          <w:b/>
          <w:color w:val="0F172A"/>
          <w:sz w:val="20"/>
        </w:rPr>
        <w:t>Geographic Coverage &amp; Partner Network — scored 77/100</w:t>
      </w:r>
    </w:p>
    <w:p w:rsidR="0071529F" w:rsidRDefault="005C3D9E">
      <w:pPr>
        <w:keepNext/>
        <w:pBdr>
          <w:left w:val="single" w:sz="24" w:space="6" w:color="52B69A"/>
        </w:pBdr>
        <w:ind w:left="170"/>
      </w:pPr>
      <w:r>
        <w:t xml:space="preserve">The assessment rests on the company's verified baseline footprint spanning multiple European hubs, the US, and India, alongside its newly launched partner framework. Based on primary </w:t>
      </w:r>
      <w:r>
        <w:t>research, the company's global geographic reach and channel scale can be estimated as broad across major international markets, based on its 10 global offices and more than 200 employees worldwide.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operating through 7 </w:t>
      </w:r>
      <w:r>
        <w:t>offices worldwide (with service teams and hubs explicitly located in France, Germany, Italy, the United States, and India) to support more than 150 client organizations and 400,000 connected users globally.</w:t>
      </w:r>
    </w:p>
    <w:p w:rsidR="0071529F" w:rsidRDefault="005C3D9E">
      <w:pPr>
        <w:pStyle w:val="ListBullet"/>
        <w:spacing w:after="60"/>
        <w:ind w:left="510"/>
      </w:pPr>
      <w:r>
        <w:t>The company announced in May 2026 that it is open</w:t>
      </w:r>
      <w:r>
        <w:t>ing its implementation model to system integrator partners to build a broader channel ecosystem while expanding its direct geographic presence in North America.</w:t>
      </w:r>
    </w:p>
    <w:p w:rsidR="0071529F" w:rsidRDefault="005C3D9E">
      <w:pPr>
        <w:keepNext/>
        <w:pBdr>
          <w:left w:val="single" w:sz="24" w:space="6" w:color="52B69A"/>
        </w:pBdr>
        <w:spacing w:before="120" w:after="60"/>
        <w:ind w:left="170"/>
      </w:pPr>
      <w:r>
        <w:rPr>
          <w:b/>
          <w:color w:val="0F172A"/>
          <w:sz w:val="20"/>
        </w:rPr>
        <w:t>Market Share &amp; Competitive Positioning — scored 87/100</w:t>
      </w:r>
    </w:p>
    <w:p w:rsidR="0071529F" w:rsidRDefault="005C3D9E">
      <w:pPr>
        <w:keepNext/>
        <w:pBdr>
          <w:left w:val="single" w:sz="24" w:space="6" w:color="52B69A"/>
        </w:pBdr>
        <w:ind w:left="170"/>
      </w:pPr>
      <w:r>
        <w:t>The evaluation is based on the company's</w:t>
      </w:r>
      <w:r>
        <w:t xml:space="preserve"> inclusion in category maps and comprehensive enterprise vendor listings for cloud-based Source-to-Pay suites. Based on primary research, the company's market share and competitive standing can be estimated as stable among established mid-market procuremen</w:t>
      </w:r>
      <w:r>
        <w:t>t solutions, based on its more than 250 global customers and 400,000 connected users.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Independent evaluations released in 2026 place Synertrade S.A. among evaluated procurement technology providers specifically within the Source-to-Pay </w:t>
      </w:r>
      <w:r>
        <w:t>Suites category.</w:t>
      </w:r>
    </w:p>
    <w:p w:rsidR="0071529F" w:rsidRDefault="005C3D9E">
      <w:pPr>
        <w:pStyle w:val="ListBullet"/>
        <w:spacing w:after="60"/>
        <w:ind w:left="510"/>
      </w:pPr>
      <w:r>
        <w:t>The company is included as an enterprise-grade cloud suite vendor within global Source-to-Pay analyst market frameworks published in 2026.</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89/100</w:t>
      </w:r>
    </w:p>
    <w:p w:rsidR="0071529F" w:rsidRDefault="005C3D9E">
      <w:pPr>
        <w:keepNext/>
        <w:pBdr>
          <w:left w:val="single" w:sz="24" w:space="6" w:color="52B69A"/>
        </w:pBdr>
        <w:ind w:left="170"/>
      </w:pPr>
      <w:r>
        <w:t xml:space="preserve">The rating rests on the company's recent successful </w:t>
      </w:r>
      <w:r>
        <w:t>management-led buyout from Econocom Group in March 2026, which secured funding from a new private investor consortium to accelerate its platform growth. Based on primary research, the company's valuation of the buyout transaction can be estimated as signif</w:t>
      </w:r>
      <w:r>
        <w:t>icant for a specialized enterprise software provider, based on its backing by private investors specializing in scaling business platforms and net losses of 7.3 million euros.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completed a management-led buyout transaction on M</w:t>
      </w:r>
      <w:r>
        <w:t>arch 31, 2026, establishing itself as an independent company backed by a consortium of private investors specializing in B2B software platforms.</w:t>
      </w:r>
    </w:p>
    <w:p w:rsidR="0071529F" w:rsidRDefault="005C3D9E">
      <w:pPr>
        <w:pStyle w:val="ListBullet"/>
        <w:spacing w:after="60"/>
        <w:ind w:left="510"/>
      </w:pPr>
      <w:r>
        <w:t>The company was previously acquired by Econocom Group (via its subsidiary Digital Dimension) in August 2015, wh</w:t>
      </w:r>
      <w:r>
        <w:t>ich initially bought a 90% stake and later increased its ownership to 100% in July 2019 before divesting the entity in 2026.</w:t>
      </w:r>
    </w:p>
    <w:p w:rsidR="0071529F" w:rsidRDefault="005C3D9E">
      <w:pPr>
        <w:pStyle w:val="Heading2"/>
        <w:pageBreakBefore/>
        <w:shd w:val="clear" w:color="auto" w:fill="002857"/>
        <w:spacing w:after="0"/>
      </w:pPr>
      <w:bookmarkStart w:id="16" w:name="_Toc242447160"/>
      <w:r>
        <w:lastRenderedPageBreak/>
        <w:t>Supplycart Technologies Sdn. Bhd.</w:t>
      </w:r>
      <w:bookmarkEnd w:id="16"/>
    </w:p>
    <w:p w:rsidR="0071529F" w:rsidRDefault="005C3D9E">
      <w:pPr>
        <w:shd w:val="clear" w:color="auto" w:fill="002857"/>
        <w:spacing w:after="200"/>
      </w:pPr>
      <w:r>
        <w:rPr>
          <w:color w:val="CBD5E1"/>
          <w:sz w:val="18"/>
        </w:rPr>
        <w:t xml:space="preserve">ADAM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78</w:t>
      </w:r>
      <w:r>
        <w:rPr>
          <w:color w:val="CBD5E1"/>
          <w:sz w:val="18"/>
        </w:rPr>
        <w:t xml:space="preserve">     Overall </w:t>
      </w:r>
      <w:r>
        <w:rPr>
          <w:b/>
          <w:color w:val="FFFFFF"/>
          <w:sz w:val="20"/>
        </w:rPr>
        <w:t>75</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w:t>
      </w:r>
      <w:r>
        <w:rPr>
          <w:b/>
          <w:color w:val="0F172A"/>
          <w:sz w:val="20"/>
        </w:rPr>
        <w:t xml:space="preserve"> Data Extraction Accuracy — scored 65/100</w:t>
      </w:r>
    </w:p>
    <w:p w:rsidR="0071529F" w:rsidRDefault="005C3D9E">
      <w:pPr>
        <w:keepNext/>
        <w:pBdr>
          <w:left w:val="single" w:sz="24" w:space="6" w:color="52B69A"/>
        </w:pBdr>
        <w:ind w:left="170"/>
      </w:pPr>
      <w:r>
        <w:t xml:space="preserve">The evaluation is based on the company's confirmed capabilities in automated multi-way matching and digital procurement workflow tracking. Based on primary research, the company's invoice data capture accuracy can </w:t>
      </w:r>
      <w:r>
        <w:t>be estimated as high for digital workflows, based on its revenue reaching 65 million ringgit and operations expanding across 4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cloud-based procurement platform, ADAM, includes an e-invoicing and </w:t>
      </w:r>
      <w:r>
        <w:t>automated 3-way matching module that checks purchase orders against invoices and receiving documents to catch discrepancies.</w:t>
      </w:r>
    </w:p>
    <w:p w:rsidR="0071529F" w:rsidRDefault="005C3D9E">
      <w:pPr>
        <w:keepNext/>
        <w:pBdr>
          <w:left w:val="single" w:sz="24" w:space="6" w:color="52B69A"/>
        </w:pBdr>
        <w:spacing w:before="120" w:after="60"/>
        <w:ind w:left="170"/>
      </w:pPr>
      <w:r>
        <w:rPr>
          <w:b/>
          <w:color w:val="0F172A"/>
          <w:sz w:val="20"/>
        </w:rPr>
        <w:t>Workflow Automation &amp; Approval Routing — scored 82/100</w:t>
      </w:r>
    </w:p>
    <w:p w:rsidR="0071529F" w:rsidRDefault="005C3D9E">
      <w:pPr>
        <w:keepNext/>
        <w:pBdr>
          <w:left w:val="single" w:sz="24" w:space="6" w:color="52B69A"/>
        </w:pBdr>
        <w:ind w:left="170"/>
      </w:pPr>
      <w:r>
        <w:t>We verified that the company's platform provides structured workflow automat</w:t>
      </w:r>
      <w:r>
        <w:t>ion, multi-level hierarchical approval routing, and timestamped audit logs for procure-to-pay processes. Based on primary research, the company's workflow and mobile features can be estimated as tailored for custom needs and integrations, based on its expa</w:t>
      </w:r>
      <w:r>
        <w:t>nded operations across 4 countries and core focus on workflows like 2-way and 3-way matching.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cloud-based platform, ADAM, supports customizable, conditional approval workflows and multi-level hierarchical appr</w:t>
      </w:r>
      <w:r>
        <w:t>ovals aligned with organizational structures.</w:t>
      </w:r>
    </w:p>
    <w:p w:rsidR="0071529F" w:rsidRDefault="005C3D9E">
      <w:pPr>
        <w:pStyle w:val="ListBullet"/>
        <w:spacing w:after="60"/>
        <w:ind w:left="510"/>
      </w:pPr>
      <w:r>
        <w:t>The company reports that ADAM features comprehensive workflow mapping that automatically routes submissions (such as purchase requisitions and purchase orders) based on predefined criteria, along with timestamp</w:t>
      </w:r>
      <w:r>
        <w:t>ed activity logs for audit trails.</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The rating rests on its explicitly documented capability to synchronize its procurement platform with prominent global ERP suites and localized cloud accounting tools. B</w:t>
      </w:r>
      <w:r>
        <w:t>ased on primary research, the company's platform certifications and marketplace badges can be estimated as direct yet custom-built ecosystem connections, based on its successful integrations with major ERP platforms like SAP and Ariba for corporate clients</w:t>
      </w:r>
      <w:r>
        <w: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cloud-based procurement platform, ADAM, features native connectors and synchronization capabilities with common ERP and accounting systems, explicitly advertising pre-built integrations with SAP Business One</w:t>
      </w:r>
      <w:r>
        <w:t>, SAP, Sage 300, Microsoft Dynamics, Oracle, Xero, QuickBooks, and Unleashed.</w:t>
      </w:r>
    </w:p>
    <w:p w:rsidR="0071529F" w:rsidRDefault="005C3D9E">
      <w:pPr>
        <w:pStyle w:val="ListBullet"/>
        <w:spacing w:after="60"/>
        <w:ind w:left="510"/>
      </w:pPr>
      <w:r>
        <w:t>The company reports that its ADAM platform was successfully integrated by its engineering team alongside SAP and Ariba environments to build end-to-end punch-out catalogs for cor</w:t>
      </w:r>
      <w:r>
        <w:t>porate clients, including a verified deployment case study for L'Oréal Malaysia.</w:t>
      </w:r>
    </w:p>
    <w:p w:rsidR="0071529F" w:rsidRDefault="005C3D9E">
      <w:pPr>
        <w:keepNext/>
        <w:pBdr>
          <w:left w:val="single" w:sz="24" w:space="6" w:color="52B69A"/>
        </w:pBdr>
        <w:spacing w:before="120" w:after="60"/>
        <w:ind w:left="170"/>
      </w:pPr>
      <w:r>
        <w:rPr>
          <w:b/>
          <w:color w:val="0F172A"/>
          <w:sz w:val="20"/>
        </w:rPr>
        <w:t>AI/ML &amp; Fraud Detection Capabilities — scored 75/100</w:t>
      </w:r>
    </w:p>
    <w:p w:rsidR="0071529F" w:rsidRDefault="005C3D9E">
      <w:pPr>
        <w:keepNext/>
        <w:pBdr>
          <w:left w:val="single" w:sz="24" w:space="6" w:color="52B69A"/>
        </w:pBdr>
        <w:ind w:left="170"/>
      </w:pPr>
      <w:r>
        <w:t>We verified that the company provides standard rules-based digital accounts payable controls, such as 3-way matching and d</w:t>
      </w:r>
      <w:r>
        <w:t>igital invoice workflows. Based on primary research, the company's automated anomaly detection capability can be estimated as strong for high-growth spend profiles, based on its 65 million ringgit revenue and seed funding from kk fund, cradle fund, and pri</w:t>
      </w:r>
      <w:r>
        <w:t>vate investors.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cloud-based procurement platform, ADAM, features spend analytics, configurable purchasing workflows, and a 3-way matching capability to reconcile purchase orders, receiving documents, and </w:t>
      </w:r>
      <w:r>
        <w:t>invoices.</w:t>
      </w:r>
    </w:p>
    <w:p w:rsidR="0071529F" w:rsidRDefault="005C3D9E">
      <w:pPr>
        <w:pStyle w:val="ListBullet"/>
        <w:spacing w:after="60"/>
        <w:ind w:left="510"/>
      </w:pPr>
      <w:r>
        <w:t>The company reports that its platform integrates e-invoice verification with the Malaysian Inland Revenue Board (LHDN) and highlights OCR (Optical Character Recognition) as an upcoming feature to reduce manual data entry.</w:t>
      </w:r>
    </w:p>
    <w:p w:rsidR="0071529F" w:rsidRDefault="005C3D9E">
      <w:pPr>
        <w:keepNext/>
        <w:pBdr>
          <w:left w:val="single" w:sz="24" w:space="6" w:color="52B69A"/>
        </w:pBdr>
        <w:spacing w:before="120" w:after="60"/>
        <w:ind w:left="170"/>
      </w:pPr>
      <w:r>
        <w:rPr>
          <w:b/>
          <w:color w:val="0F172A"/>
          <w:sz w:val="20"/>
        </w:rPr>
        <w:lastRenderedPageBreak/>
        <w:t>Scalability &amp; Global Com</w:t>
      </w:r>
      <w:r>
        <w:rPr>
          <w:b/>
          <w:color w:val="0F172A"/>
          <w:sz w:val="20"/>
        </w:rPr>
        <w:t>pliance Support — scored 65/100</w:t>
      </w:r>
    </w:p>
    <w:p w:rsidR="0071529F" w:rsidRDefault="005C3D9E">
      <w:pPr>
        <w:keepNext/>
        <w:pBdr>
          <w:left w:val="single" w:sz="24" w:space="6" w:color="52B69A"/>
        </w:pBdr>
        <w:ind w:left="170"/>
      </w:pPr>
      <w:r>
        <w:t xml:space="preserve">We verified that the platform provides basic modular scalability through API-based ERP integrations and e-invoice verification capabilities. Based on primary research, the company's multi-country platform uptime reliability </w:t>
      </w:r>
      <w:r>
        <w:t>can be estimated as stable and continuous for cross-border operations, based on its expansion across 4 countries including malaysia, australia, thailand, and singapore.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cloud-based ADAM platform can seamlessly</w:t>
      </w:r>
      <w:r>
        <w:t xml:space="preserve"> connect with existing ERP and accounting systems such as SAP, Oracle, Microsoft, Sage, and Xero via open APIs, allowing businesses to scale modules as they grow.</w:t>
      </w:r>
    </w:p>
    <w:p w:rsidR="0071529F" w:rsidRDefault="005C3D9E">
      <w:pPr>
        <w:pStyle w:val="ListBullet"/>
        <w:spacing w:after="60"/>
        <w:ind w:left="510"/>
      </w:pPr>
      <w:r>
        <w:t>The company reports that its platform supports e-invoice verification and digital workflows t</w:t>
      </w:r>
      <w:r>
        <w:t>o monitor compliance and controls according to corporate policies.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72/100</w:t>
      </w:r>
    </w:p>
    <w:p w:rsidR="0071529F" w:rsidRDefault="005C3D9E">
      <w:pPr>
        <w:keepNext/>
        <w:pBdr>
          <w:left w:val="single" w:sz="24" w:space="6" w:color="52B69A"/>
        </w:pBdr>
        <w:ind w:left="170"/>
      </w:pPr>
      <w:r>
        <w:t xml:space="preserve">We verified that the company highlights a customer base of prominent mid-market and enterprise logos across Southeast </w:t>
      </w:r>
      <w:r>
        <w:t>Asia for its cloud-based ADAM platform, with deployment case studies across logistics, education, and retail. Based on primary research, the company's contract values for enterprise wins can be estimated as substantial and typical of regional mid-market B2</w:t>
      </w:r>
      <w:r>
        <w:t>B software solutions, based on its top-line revenue reaching 65 million Malaysian Ringgit.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serving several notable corporate clients, including L'Oréal Malaysia Sdn Bhd (which integrated its ADAM platform with SAP and </w:t>
      </w:r>
      <w:r>
        <w:t>Ariba) and SEGi University.</w:t>
      </w:r>
    </w:p>
    <w:p w:rsidR="0071529F" w:rsidRDefault="005C3D9E">
      <w:pPr>
        <w:pStyle w:val="ListBullet"/>
        <w:spacing w:after="60"/>
        <w:ind w:left="510"/>
      </w:pPr>
      <w:r>
        <w:t>The company reports a historical portfolio of clients that includes prominent regional logos such as Grab, EcoWorld, Unilever, and Feruni, as well as sector-specific clients like AIMS Data Centre and Fitness First.</w:t>
      </w:r>
    </w:p>
    <w:p w:rsidR="0071529F" w:rsidRDefault="005C3D9E">
      <w:pPr>
        <w:keepNext/>
        <w:pBdr>
          <w:left w:val="single" w:sz="24" w:space="6" w:color="52B69A"/>
        </w:pBdr>
        <w:spacing w:before="120" w:after="60"/>
        <w:ind w:left="170"/>
      </w:pPr>
      <w:r>
        <w:rPr>
          <w:b/>
          <w:color w:val="0F172A"/>
          <w:sz w:val="20"/>
        </w:rPr>
        <w:t>Revenue Growt</w:t>
      </w:r>
      <w:r>
        <w:rPr>
          <w:b/>
          <w:color w:val="0F172A"/>
          <w:sz w:val="20"/>
        </w:rPr>
        <w:t>h &amp; Financial Health — scored 90/100</w:t>
      </w:r>
    </w:p>
    <w:p w:rsidR="0071529F" w:rsidRDefault="005C3D9E">
      <w:pPr>
        <w:keepNext/>
        <w:pBdr>
          <w:left w:val="single" w:sz="24" w:space="6" w:color="52B69A"/>
        </w:pBdr>
        <w:ind w:left="170"/>
      </w:pPr>
      <w:r>
        <w:t>The assessment rests on the company's publicly disclosed financial performance and growth indicators between 2021 and 2024, alongside its backing by public-private co-investment funds in Malaysia. Based on primary resea</w:t>
      </w:r>
      <w:r>
        <w:t>rch, the company's profitability and ARR breakdown can be estimated as early-to-mid stage growth profile with increasing recurring software contributions, based on its initial seed round of 500,000 US dollars and subsequent revenue expansion.</w:t>
      </w:r>
    </w:p>
    <w:p w:rsidR="0071529F" w:rsidRDefault="005C3D9E">
      <w:pPr>
        <w:keepNext/>
        <w:spacing w:after="40"/>
        <w:ind w:left="170"/>
      </w:pPr>
      <w:r>
        <w:rPr>
          <w:b/>
          <w:caps/>
          <w:color w:val="64748B"/>
          <w:sz w:val="15"/>
        </w:rPr>
        <w:t>Supporting po</w:t>
      </w:r>
      <w:r>
        <w:rPr>
          <w:b/>
          <w:caps/>
          <w:color w:val="64748B"/>
          <w:sz w:val="15"/>
        </w:rPr>
        <w:t>ints</w:t>
      </w:r>
    </w:p>
    <w:p w:rsidR="0071529F" w:rsidRDefault="005C3D9E">
      <w:pPr>
        <w:pStyle w:val="ListBullet"/>
        <w:spacing w:after="60"/>
        <w:ind w:left="510"/>
      </w:pPr>
      <w:r>
        <w:t>The company reports a compound annual growth rate (CAGR) of 144% and an absolute growth rate of approximately 1,300% from 2021 to 2024, achieving a top-line revenue of roughly RM65 million.</w:t>
      </w:r>
    </w:p>
    <w:p w:rsidR="0071529F" w:rsidRDefault="005C3D9E">
      <w:pPr>
        <w:pStyle w:val="ListBullet"/>
        <w:spacing w:after="60"/>
        <w:ind w:left="510"/>
      </w:pPr>
      <w:r>
        <w:t xml:space="preserve">The company utilizes a hybrid funding strategy that includes </w:t>
      </w:r>
      <w:r>
        <w:t>venture capital and equity crowdfunding (ECF), supported in part by co-investments from the Malaysia Co-Investment Fund (MyCIF).</w:t>
      </w:r>
    </w:p>
    <w:p w:rsidR="0071529F" w:rsidRDefault="005C3D9E">
      <w:pPr>
        <w:keepNext/>
        <w:pBdr>
          <w:left w:val="single" w:sz="24" w:space="6" w:color="52B69A"/>
        </w:pBdr>
        <w:spacing w:before="120" w:after="60"/>
        <w:ind w:left="170"/>
      </w:pPr>
      <w:r>
        <w:rPr>
          <w:b/>
          <w:color w:val="0F172A"/>
          <w:sz w:val="20"/>
        </w:rPr>
        <w:t>Geographic Coverage &amp; Partner Network — scored 77/100</w:t>
      </w:r>
    </w:p>
    <w:p w:rsidR="0071529F" w:rsidRDefault="005C3D9E">
      <w:pPr>
        <w:keepNext/>
        <w:pBdr>
          <w:left w:val="single" w:sz="24" w:space="6" w:color="52B69A"/>
        </w:pBdr>
        <w:ind w:left="170"/>
      </w:pPr>
      <w:r>
        <w:t xml:space="preserve">The assessment rests on the company's confirmed active expansions within </w:t>
      </w:r>
      <w:r>
        <w:t>Southeast Asia and Australia alongside self-reported coverage across 21 countries. Based on primary research, the company's channel partner and reseller network size can be estimated as developing alongside key regional digital consultants, based on its ph</w:t>
      </w:r>
      <w:r>
        <w:t>ysical footprint spanning Malaysia, Australia, Thailand, and Singapore.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expanding operations across Southeast Asia and Australia, establishing activities in Malaysia, Australia, Thailand, and Singapore.</w:t>
      </w:r>
    </w:p>
    <w:p w:rsidR="0071529F" w:rsidRDefault="005C3D9E">
      <w:pPr>
        <w:keepNext/>
        <w:pBdr>
          <w:left w:val="single" w:sz="24" w:space="6" w:color="52B69A"/>
        </w:pBdr>
        <w:spacing w:before="120" w:after="60"/>
        <w:ind w:left="170"/>
      </w:pPr>
      <w:r>
        <w:rPr>
          <w:b/>
          <w:color w:val="0F172A"/>
          <w:sz w:val="20"/>
        </w:rPr>
        <w:t xml:space="preserve">Market Share &amp; </w:t>
      </w:r>
      <w:r>
        <w:rPr>
          <w:b/>
          <w:color w:val="0F172A"/>
          <w:sz w:val="20"/>
        </w:rPr>
        <w:t>Competitive Positioning — scored 65/100</w:t>
      </w:r>
    </w:p>
    <w:p w:rsidR="0071529F" w:rsidRDefault="005C3D9E">
      <w:pPr>
        <w:keepNext/>
        <w:pBdr>
          <w:left w:val="single" w:sz="24" w:space="6" w:color="52B69A"/>
        </w:pBdr>
        <w:ind w:left="170"/>
      </w:pPr>
      <w:r>
        <w:t>Bhd. in the accounts payable automation market. Based on primary research, the company's regional procurement software competitive positioning can be estimated as expanding steadily within Southeast Asian mid-markets</w:t>
      </w:r>
      <w:r>
        <w:t>, based on its 65 million ringgit revenue and geographic footprint spanning 4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85/100</w:t>
      </w:r>
    </w:p>
    <w:p w:rsidR="0071529F" w:rsidRDefault="005C3D9E">
      <w:pPr>
        <w:keepNext/>
        <w:pBdr>
          <w:left w:val="single" w:sz="24" w:space="6" w:color="52B69A"/>
        </w:pBdr>
        <w:ind w:left="170"/>
      </w:pPr>
      <w:r>
        <w:t>We verified that the company's valuation and capital base rest on early-stage seed, Ser</w:t>
      </w:r>
      <w:r>
        <w:t>ies A, and public-private co-investment crowdfunding rounds. Based on primary research, the company's recent funding rounds or strategic M&amp;A activities post-2021 can be estimated as likely focused on growth equity or non-disclosed expansion capital in line</w:t>
      </w:r>
      <w:r>
        <w:t xml:space="preserve"> with major scale-ups, based on its revenue reaching 65 million Malaysian ringgit and expansion across 4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announced it raised a US$2 million Series A funding round in August 2018 from FirstFloor Capital, Capital </w:t>
      </w:r>
      <w:r>
        <w:t>Aucfan Co Ltd, and undisclosed private investors.</w:t>
      </w:r>
    </w:p>
    <w:p w:rsidR="0071529F" w:rsidRDefault="005C3D9E">
      <w:pPr>
        <w:pStyle w:val="ListBullet"/>
        <w:spacing w:after="60"/>
        <w:ind w:left="510"/>
      </w:pPr>
      <w:r>
        <w:t>The company successfully raised RM 1,545,295 through an equity crowdfunding campaign on the pitchIN platform that concluded on 21 September 2021, which included co-investment support from the Malaysia Co-In</w:t>
      </w:r>
      <w:r>
        <w:t>vestment Fund (MyCIF).</w:t>
      </w:r>
    </w:p>
    <w:p w:rsidR="0071529F" w:rsidRDefault="005C3D9E">
      <w:pPr>
        <w:pStyle w:val="Heading2"/>
        <w:pageBreakBefore/>
        <w:shd w:val="clear" w:color="auto" w:fill="002857"/>
        <w:spacing w:after="0"/>
      </w:pPr>
      <w:bookmarkStart w:id="17" w:name="_Toc242447161"/>
      <w:r>
        <w:lastRenderedPageBreak/>
        <w:t>Tipalti Inc.</w:t>
      </w:r>
      <w:bookmarkEnd w:id="17"/>
    </w:p>
    <w:p w:rsidR="0071529F" w:rsidRDefault="005C3D9E">
      <w:pPr>
        <w:shd w:val="clear" w:color="auto" w:fill="002857"/>
        <w:spacing w:after="200"/>
      </w:pPr>
      <w:r>
        <w:rPr>
          <w:color w:val="CBD5E1"/>
          <w:sz w:val="18"/>
        </w:rPr>
        <w:t xml:space="preserve">Tipalti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90</w:t>
      </w:r>
      <w:r>
        <w:rPr>
          <w:color w:val="CBD5E1"/>
          <w:sz w:val="18"/>
        </w:rPr>
        <w:t xml:space="preserve">     Overall </w:t>
      </w:r>
      <w:r>
        <w:rPr>
          <w:b/>
          <w:color w:val="FFFFFF"/>
          <w:sz w:val="20"/>
        </w:rPr>
        <w:t>90</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87/100</w:t>
      </w:r>
    </w:p>
    <w:p w:rsidR="0071529F" w:rsidRDefault="005C3D9E">
      <w:pPr>
        <w:keepNext/>
        <w:pBdr>
          <w:left w:val="single" w:sz="24" w:space="6" w:color="52B69A"/>
        </w:pBdr>
        <w:ind w:left="170"/>
      </w:pPr>
      <w:r>
        <w:t xml:space="preserve">The rating rests on the company's published capability to combine AI-driven </w:t>
      </w:r>
      <w:r>
        <w:t>OCR with a human-validated managed service to handle character-level data extraction exceptions. Based on primary research, the company's field-level extraction accuracy can be estimated as exceptionally high, based on its automation of invoice ingestion a</w:t>
      </w:r>
      <w:r>
        <w:t>nd optical character recognition capabilities across 5,000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AI-powered OCR technology achieved a 98% to 99% character-level data extraction accuracy rate.</w:t>
      </w:r>
    </w:p>
    <w:p w:rsidR="0071529F" w:rsidRDefault="005C3D9E">
      <w:pPr>
        <w:pStyle w:val="ListBullet"/>
        <w:spacing w:after="60"/>
        <w:ind w:left="510"/>
      </w:pPr>
      <w:r>
        <w:t>The company reports that its cloud OCR enabl</w:t>
      </w:r>
      <w:r>
        <w:t>es touchless invoice processing, reducing invoice processing times by up to 80%.</w:t>
      </w:r>
    </w:p>
    <w:p w:rsidR="0071529F" w:rsidRDefault="005C3D9E">
      <w:pPr>
        <w:keepNext/>
        <w:pBdr>
          <w:left w:val="single" w:sz="24" w:space="6" w:color="52B69A"/>
        </w:pBdr>
        <w:spacing w:before="120" w:after="60"/>
        <w:ind w:left="170"/>
      </w:pPr>
      <w:r>
        <w:rPr>
          <w:b/>
          <w:color w:val="0F172A"/>
          <w:sz w:val="20"/>
        </w:rPr>
        <w:t>Workflow Automation &amp; Approval Routing — scored 92/100</w:t>
      </w:r>
    </w:p>
    <w:p w:rsidR="0071529F" w:rsidRDefault="005C3D9E">
      <w:pPr>
        <w:keepNext/>
        <w:pBdr>
          <w:left w:val="single" w:sz="24" w:space="6" w:color="52B69A"/>
        </w:pBdr>
        <w:ind w:left="170"/>
      </w:pPr>
      <w:r>
        <w:t>The assessment rests on the company's verified capability to provide rule-based multi-level invoice routing, email and m</w:t>
      </w:r>
      <w:r>
        <w:t>obile-integrated approvals, and automated audit logs across global entities. Based on primary research, the company's exception handling capacity at peak volume can be estimated as strong and highly scalable, based on its $90 billion in annual payment volu</w:t>
      </w:r>
      <w:r>
        <w:t>me across 9 global offices.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AP automation platform supports customizable approval workflows with rules defined by invoice amount, vendor type, department, or custom tolerance ranges for two-way and three-way p</w:t>
      </w:r>
      <w:r>
        <w:t>urchase order matching.</w:t>
      </w:r>
    </w:p>
    <w:p w:rsidR="0071529F" w:rsidRDefault="005C3D9E">
      <w:pPr>
        <w:pStyle w:val="ListBullet"/>
        <w:spacing w:after="60"/>
        <w:ind w:left="510"/>
      </w:pPr>
      <w:r>
        <w:t>The company reports that authorized approvers can review, approve, reject, comment on, or dispute invoices directly from any mobile or desktop email client without logging into a separate portal, and the system automatically maintai</w:t>
      </w:r>
      <w:r>
        <w:t>ns a complete electronic audit trail.</w:t>
      </w:r>
    </w:p>
    <w:p w:rsidR="0071529F" w:rsidRDefault="005C3D9E">
      <w:pPr>
        <w:keepNext/>
        <w:pBdr>
          <w:left w:val="single" w:sz="24" w:space="6" w:color="52B69A"/>
        </w:pBdr>
        <w:spacing w:before="120" w:after="60"/>
        <w:ind w:left="170"/>
      </w:pPr>
      <w:r>
        <w:rPr>
          <w:b/>
          <w:color w:val="0F172A"/>
          <w:sz w:val="20"/>
        </w:rPr>
        <w:t>ERP &amp; Accounting System Integration — scored 96/100</w:t>
      </w:r>
    </w:p>
    <w:p w:rsidR="0071529F" w:rsidRDefault="005C3D9E">
      <w:pPr>
        <w:keepNext/>
        <w:pBdr>
          <w:left w:val="single" w:sz="24" w:space="6" w:color="52B69A"/>
        </w:pBdr>
        <w:ind w:left="170"/>
      </w:pPr>
      <w:r>
        <w:t>The rating rests on the company's extensive roster of officially certified native connectors and pre-built API integrations that support bi-directional, real-time dat</w:t>
      </w:r>
      <w:r>
        <w:t>a sync across prominent mid-market and enterprise ERP platforms. Based on primary research, the company's data sync thresholds for legacy enterprise systems can be estimated as limited to bidirectional file-based integration via scheduled or manual CSV tra</w:t>
      </w:r>
      <w:r>
        <w:t>nsfers, based on its 5,000 global companies and custom API options.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pre-built, API-based connectors that provide automated, near real-time synchronization of general ledger and subsidiary accounts payable data for </w:t>
      </w:r>
      <w:r>
        <w:t>major systems including Oracle NetSuite, Sage Intacct, Microsoft Dynamics 365, QuickBooks Online, Xero, and Acumatica.</w:t>
      </w:r>
    </w:p>
    <w:p w:rsidR="0071529F" w:rsidRDefault="005C3D9E">
      <w:pPr>
        <w:pStyle w:val="ListBullet"/>
        <w:spacing w:after="60"/>
        <w:ind w:left="510"/>
      </w:pPr>
      <w:r>
        <w:t>The company reports third-party certified integration statuses, including Oracle NetSuite Verified (Built for NetSuite status), Sage Tech</w:t>
      </w:r>
      <w:r>
        <w:t xml:space="preserve"> Partner Plus, Microsoft AppSource Certified for Dynamics 365 Business Central, and an SAP-certified integration for SAP Business One.</w:t>
      </w:r>
    </w:p>
    <w:p w:rsidR="0071529F" w:rsidRDefault="005C3D9E">
      <w:pPr>
        <w:keepNext/>
        <w:pBdr>
          <w:left w:val="single" w:sz="24" w:space="6" w:color="52B69A"/>
        </w:pBdr>
        <w:spacing w:before="120" w:after="60"/>
        <w:ind w:left="170"/>
      </w:pPr>
      <w:r>
        <w:rPr>
          <w:b/>
          <w:color w:val="0F172A"/>
          <w:sz w:val="20"/>
        </w:rPr>
        <w:t>AI/ML &amp; Fraud Detection Capabilities — scored 93/100</w:t>
      </w:r>
    </w:p>
    <w:p w:rsidR="0071529F" w:rsidRDefault="005C3D9E">
      <w:pPr>
        <w:keepNext/>
        <w:pBdr>
          <w:left w:val="single" w:sz="24" w:space="6" w:color="52B69A"/>
        </w:pBdr>
        <w:ind w:left="170"/>
      </w:pPr>
      <w:r>
        <w:t>The rating rests on the company's verified application of specialize</w:t>
      </w:r>
      <w:r>
        <w:t>d machine learning models and dedicated AI agents configured for invoice parsing, automated GL coding, and cross-network pattern analysis to intercept altered duplicate invoices and fraudulent payees. Based on primary research, the company's automated frau</w:t>
      </w:r>
      <w:r>
        <w:t>d intercept accuracy can be estimated as robust and market leading, based on its compliance engines, risk management tools, and $90 billion in payment processing volume.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integrated payables intelligence engine</w:t>
      </w:r>
      <w:r>
        <w:t>, Tipalti AI, combines OCR with machine learning to extract complex table data across variable layouts, perform intelligent GL coding, and automatically perform 2-way and 3-way purchase order matching using a contextual PO Matching Agent.</w:t>
      </w:r>
    </w:p>
    <w:p w:rsidR="0071529F" w:rsidRDefault="005C3D9E">
      <w:pPr>
        <w:pStyle w:val="ListBullet"/>
        <w:spacing w:after="60"/>
        <w:ind w:left="510"/>
      </w:pPr>
      <w:r>
        <w:t>The company repor</w:t>
      </w:r>
      <w:r>
        <w:t>ts that its dedicated fraud detection feature, Tipalti Detect, utilizes machine learning predictive modeling, behavioral analytics, and network analysis across more than 26,000 global rules to identify unusual patterns, catch near-duplicate invoices with e</w:t>
      </w:r>
      <w:r>
        <w:t>dited formatting, and flag suspicious payees or transactions in real time.</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89/100</w:t>
      </w:r>
    </w:p>
    <w:p w:rsidR="0071529F" w:rsidRDefault="005C3D9E">
      <w:pPr>
        <w:keepNext/>
        <w:pBdr>
          <w:left w:val="single" w:sz="24" w:space="6" w:color="52B69A"/>
        </w:pBdr>
        <w:ind w:left="170"/>
      </w:pPr>
      <w:r>
        <w:t>The rating rests on the platform's demonstrated, configurable multi-currency infrastructure and multi-national compliance rul</w:t>
      </w:r>
      <w:r>
        <w:t>e engine spanning over 200 countries alongside established Peppol e-invoicing network connectivity. Based on primary research, the company's system uptime SLA and scalability benchmarks can be estimated as strong, offering a ninety-nine point ninety-five p</w:t>
      </w:r>
      <w:r>
        <w:t>ercent uptime guarantee alongside massive transaction volume processing, based on its $90 billion annual payment volume and global multi-tenant cloud architecture.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scales to manage global subsidiaries</w:t>
      </w:r>
      <w:r>
        <w:t xml:space="preserve"> from a single platform, supporting mass payouts across 200+ countries and territories in 120 currencies with more than 26,000 built-in payment validation rules to reduce execution errors.</w:t>
      </w:r>
    </w:p>
    <w:p w:rsidR="0071529F" w:rsidRDefault="005C3D9E">
      <w:pPr>
        <w:pStyle w:val="ListBullet"/>
        <w:spacing w:after="60"/>
        <w:ind w:left="510"/>
      </w:pPr>
      <w:r>
        <w:t>The company reports that its automated global tax compliance module</w:t>
      </w:r>
      <w:r>
        <w:t xml:space="preserve"> natively collects and validates regional tax forms (including W-9, W-8 series, VAT, and GST), and in November 2024, it announced the expanded availability of electronic invoicing via the Peppol network for Germany, Sweden, Norway, and Denmark to address E</w:t>
      </w:r>
      <w:r>
        <w:t>U regulatory mandates.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79/100</w:t>
      </w:r>
    </w:p>
    <w:p w:rsidR="0071529F" w:rsidRDefault="005C3D9E">
      <w:pPr>
        <w:keepNext/>
        <w:pBdr>
          <w:left w:val="single" w:sz="24" w:space="6" w:color="52B69A"/>
        </w:pBdr>
        <w:ind w:left="170"/>
      </w:pPr>
      <w:r>
        <w:t>The evaluation rests on the company’s extensive public disclosure of its customer count milestones, strong 98% to 99% retention rates, and prominent named mid-mark</w:t>
      </w:r>
      <w:r>
        <w:t>et and enterprise clients. Based on primary research, the company's average enterprise contract value can be estimated as substantial and expanding, based on its position surpassing $200 million in annual recurring revenue across more than 5,000 global com</w:t>
      </w:r>
      <w:r>
        <w:t>panies.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over 6,500 global customers, including mid-market and enterprise logos such as GoodRx, e.l.f. Cosmetics, Cloudinary, GoDaddy, Vimeo, and Twitter.</w:t>
      </w:r>
    </w:p>
    <w:p w:rsidR="0071529F" w:rsidRDefault="005C3D9E">
      <w:pPr>
        <w:pStyle w:val="ListBullet"/>
        <w:spacing w:after="60"/>
        <w:ind w:left="510"/>
      </w:pPr>
      <w:r>
        <w:t xml:space="preserve">Commercial details from third-party vendor platforms </w:t>
      </w:r>
      <w:r>
        <w:t>indicate that Tipalti's mid-market and enterprise contract values typically range between $50,000 and $500,000 in Annual Recurring Revenue (ARR).</w:t>
      </w:r>
    </w:p>
    <w:p w:rsidR="0071529F" w:rsidRDefault="005C3D9E">
      <w:pPr>
        <w:keepNext/>
        <w:pBdr>
          <w:left w:val="single" w:sz="24" w:space="6" w:color="52B69A"/>
        </w:pBdr>
        <w:spacing w:before="120" w:after="60"/>
        <w:ind w:left="170"/>
      </w:pPr>
      <w:r>
        <w:rPr>
          <w:b/>
          <w:color w:val="0F172A"/>
          <w:sz w:val="20"/>
        </w:rPr>
        <w:t>Revenue Growth &amp; Financial Health — scored 90/100</w:t>
      </w:r>
    </w:p>
    <w:p w:rsidR="0071529F" w:rsidRDefault="005C3D9E">
      <w:pPr>
        <w:keepNext/>
        <w:pBdr>
          <w:left w:val="single" w:sz="24" w:space="6" w:color="52B69A"/>
        </w:pBdr>
        <w:ind w:left="170"/>
      </w:pPr>
      <w:r>
        <w:t>The rating rests on the company's announced multi-million do</w:t>
      </w:r>
      <w:r>
        <w:t xml:space="preserve">llar growth financing achievements and its self-reported milestone of exceeding $200 million in annual recurring revenue. Based on primary research, the company's net profitability margins can be estimated as reinvested heavily for expansion, based on its </w:t>
      </w:r>
      <w:r>
        <w:t>recent collection of $200 million in growth financing and over $750 million in total funding.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Tipalti reports that its annual recurring revenue surpassed $200 million alongside a 30% year-over-year growth in its customer base as of </w:t>
      </w:r>
      <w:r>
        <w:t>September 2025.</w:t>
      </w:r>
    </w:p>
    <w:p w:rsidR="0071529F" w:rsidRDefault="005C3D9E">
      <w:pPr>
        <w:pStyle w:val="ListBullet"/>
        <w:spacing w:after="60"/>
        <w:ind w:left="510"/>
      </w:pPr>
      <w:r>
        <w:t>The company reports securing $200 million in growth debt financing from Hercules Capital, Inc. in September 2025, which followed a $150 million growth financing round from JPMorgan Chase Bank and Hercules Capital, Inc. in May 2023.</w:t>
      </w:r>
    </w:p>
    <w:p w:rsidR="0071529F" w:rsidRDefault="005C3D9E">
      <w:pPr>
        <w:keepNext/>
        <w:pBdr>
          <w:left w:val="single" w:sz="24" w:space="6" w:color="52B69A"/>
        </w:pBdr>
        <w:spacing w:before="120" w:after="60"/>
        <w:ind w:left="170"/>
      </w:pPr>
      <w:r>
        <w:rPr>
          <w:b/>
          <w:color w:val="0F172A"/>
          <w:sz w:val="20"/>
        </w:rPr>
        <w:t>Geograph</w:t>
      </w:r>
      <w:r>
        <w:rPr>
          <w:b/>
          <w:color w:val="0F172A"/>
          <w:sz w:val="20"/>
        </w:rPr>
        <w:t>ic Coverage &amp; Partner Network — scored 82/100</w:t>
      </w:r>
    </w:p>
    <w:p w:rsidR="0071529F" w:rsidRDefault="005C3D9E">
      <w:pPr>
        <w:keepNext/>
        <w:pBdr>
          <w:left w:val="single" w:sz="24" w:space="6" w:color="52B69A"/>
        </w:pBdr>
        <w:ind w:left="170"/>
      </w:pPr>
      <w:r>
        <w:t>Our evaluation rests on the company's extensive self-reported cross-border capabilities and established financial institution relationships. Based on primary research, the company's breakdown of its active rese</w:t>
      </w:r>
      <w:r>
        <w:t>ller network or channel-driven revenue metrics can be estimated as growing steadily and expanding globally, based on its over 5,000 global companies, 9 global offices, and rapid alliance program expansion.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w:t>
      </w:r>
      <w:r>
        <w:t>tform supports payment automation across more than 200 countries and territories in 120 currencies, managed through nine global offices including Foster City, London, Amsterdam, Tel Aviv, and Medellín.</w:t>
      </w:r>
    </w:p>
    <w:p w:rsidR="0071529F" w:rsidRDefault="005C3D9E">
      <w:pPr>
        <w:pStyle w:val="ListBullet"/>
        <w:spacing w:after="60"/>
        <w:ind w:left="510"/>
      </w:pPr>
      <w:r>
        <w:t xml:space="preserve">The company reports that its global Alliances Program </w:t>
      </w:r>
      <w:r>
        <w:t>includes over 570 partners worldwide, featuring certified integrations with major ERP ecosystems and strategic financial network partnerships with Citi, Wells Fargo, J.P. Morgan, and Visa.</w:t>
      </w:r>
    </w:p>
    <w:p w:rsidR="0071529F" w:rsidRDefault="005C3D9E">
      <w:pPr>
        <w:keepNext/>
        <w:pBdr>
          <w:left w:val="single" w:sz="24" w:space="6" w:color="52B69A"/>
        </w:pBdr>
        <w:spacing w:before="120" w:after="60"/>
        <w:ind w:left="170"/>
      </w:pPr>
      <w:r>
        <w:rPr>
          <w:b/>
          <w:color w:val="0F172A"/>
          <w:sz w:val="20"/>
        </w:rPr>
        <w:lastRenderedPageBreak/>
        <w:t>Market Share &amp; Competitive Positioning — scored 97/100</w:t>
      </w:r>
    </w:p>
    <w:p w:rsidR="0071529F" w:rsidRDefault="005C3D9E">
      <w:pPr>
        <w:keepNext/>
        <w:pBdr>
          <w:left w:val="single" w:sz="24" w:space="6" w:color="52B69A"/>
        </w:pBdr>
        <w:ind w:left="170"/>
      </w:pPr>
      <w:r>
        <w:t>The rating r</w:t>
      </w:r>
      <w:r>
        <w:t>ests on the company's confirmed position as an assessed midmarket leader in independent multi-vendor evaluations and its documented growth to a base of 5,000 customers. Based on primary research, the company's overall percentage market share or competitive</w:t>
      </w:r>
      <w:r>
        <w:t xml:space="preserve"> win rates can be estimated as strong, in line with leading vendors, based on its surpassed annual recurring revenue of over $200 million and $90 billion in annual payment volume.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customer base grew to over 5,000 g</w:t>
      </w:r>
      <w:r>
        <w:t>lobal companies managing billions in payments and millions of transactions.</w:t>
      </w:r>
    </w:p>
    <w:p w:rsidR="0071529F" w:rsidRDefault="005C3D9E">
      <w:pPr>
        <w:pStyle w:val="ListBullet"/>
        <w:spacing w:after="60"/>
        <w:ind w:left="510"/>
      </w:pPr>
      <w:r>
        <w:t>An independent vendor assessment designated Tipalti Inc. as a Leader in worldwide accounts payable automation software for the midmarket segment in November 2024.</w:t>
      </w:r>
    </w:p>
    <w:p w:rsidR="0071529F" w:rsidRDefault="005C3D9E">
      <w:pPr>
        <w:keepNext/>
        <w:pBdr>
          <w:left w:val="single" w:sz="24" w:space="6" w:color="52B69A"/>
        </w:pBdr>
        <w:spacing w:before="120" w:after="60"/>
        <w:ind w:left="170"/>
      </w:pPr>
      <w:r>
        <w:rPr>
          <w:b/>
          <w:color w:val="0F172A"/>
          <w:sz w:val="20"/>
        </w:rPr>
        <w:t>Funding &amp; Strateg</w:t>
      </w:r>
      <w:r>
        <w:rPr>
          <w:b/>
          <w:color w:val="0F172A"/>
          <w:sz w:val="20"/>
        </w:rPr>
        <w:t>ic Investments — scored 100/100</w:t>
      </w:r>
    </w:p>
    <w:p w:rsidR="0071529F" w:rsidRDefault="005C3D9E">
      <w:pPr>
        <w:keepNext/>
        <w:pBdr>
          <w:left w:val="single" w:sz="24" w:space="6" w:color="52B69A"/>
        </w:pBdr>
        <w:ind w:left="170"/>
      </w:pPr>
      <w:r>
        <w:t>The rating rests on the company's extensive and verified track record of securing major equity rounds and substantial debt facilities from tier-one financial institutions to fund product engineering. Based on primary researc</w:t>
      </w:r>
      <w:r>
        <w:t>h, the company's distribution of capital allocation across product lines can be estimated as heavy toward AI-driven finance automation features, accounts payable innovation, and global payout infrastructure expansion, based on its $200 million growth finan</w:t>
      </w:r>
      <w:r>
        <w:t>cing and $750 million total funding.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raising $200 million in debt growth financing in September 2025 from Hercules Capital, Inc. to support investment in its artificial intelligence platform and global growth.</w:t>
      </w:r>
    </w:p>
    <w:p w:rsidR="0071529F" w:rsidRDefault="005C3D9E">
      <w:pPr>
        <w:pStyle w:val="ListBullet"/>
        <w:spacing w:after="60"/>
        <w:ind w:left="510"/>
      </w:pPr>
      <w:r>
        <w:t>The comp</w:t>
      </w:r>
      <w:r>
        <w:t>any reports reaching a valuation of $8.3 billion following a $270 million Series F equity funding round completed in December 2021, which was led by G Squared.</w:t>
      </w:r>
    </w:p>
    <w:p w:rsidR="0071529F" w:rsidRDefault="005C3D9E">
      <w:pPr>
        <w:pStyle w:val="Heading2"/>
        <w:pageBreakBefore/>
        <w:shd w:val="clear" w:color="auto" w:fill="002857"/>
        <w:spacing w:after="0"/>
      </w:pPr>
      <w:bookmarkStart w:id="18" w:name="_Toc242447162"/>
      <w:r>
        <w:lastRenderedPageBreak/>
        <w:t>cisbox GmbH (acquired by Main Capital Partners)</w:t>
      </w:r>
      <w:bookmarkEnd w:id="18"/>
    </w:p>
    <w:p w:rsidR="0071529F" w:rsidRDefault="005C3D9E">
      <w:pPr>
        <w:shd w:val="clear" w:color="auto" w:fill="002857"/>
        <w:spacing w:after="200"/>
      </w:pPr>
      <w:r>
        <w:rPr>
          <w:color w:val="CBD5E1"/>
          <w:sz w:val="18"/>
        </w:rPr>
        <w:t xml:space="preserve">cisbox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87</w:t>
      </w:r>
      <w:r>
        <w:rPr>
          <w:color w:val="CBD5E1"/>
          <w:sz w:val="18"/>
        </w:rPr>
        <w:t xml:space="preserve">     Ov</w:t>
      </w:r>
      <w:r>
        <w:rPr>
          <w:color w:val="CBD5E1"/>
          <w:sz w:val="18"/>
        </w:rPr>
        <w:t xml:space="preserve">erall </w:t>
      </w:r>
      <w:r>
        <w:rPr>
          <w:b/>
          <w:color w:val="FFFFFF"/>
          <w:sz w:val="20"/>
        </w:rPr>
        <w:t>84</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84/100</w:t>
      </w:r>
    </w:p>
    <w:p w:rsidR="0071529F" w:rsidRDefault="005C3D9E">
      <w:pPr>
        <w:keepNext/>
        <w:pBdr>
          <w:left w:val="single" w:sz="24" w:space="6" w:color="52B69A"/>
        </w:pBdr>
        <w:ind w:left="170"/>
      </w:pPr>
      <w:r>
        <w:t xml:space="preserve">The rating rests on the company's self-reported high automation and document-posting rates achieved through AI-driven capture and workflow extensions. Based on </w:t>
      </w:r>
      <w:r>
        <w:t>primary research, the company's data extraction accuracy rates can be estimated as near perfect automation with minimal errors, based on its 23,000 users and 98% pre-accounted automation rate.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cisbox Invoice s</w:t>
      </w:r>
      <w:r>
        <w:t>olution automatically captures invoices from multiple formats—including PDF, XRechnung, ZUGFeRD, EDI, and the Peppol network—via OCR and Intelligent Document Processing, reaching an automation rate of up to 98% when expanded with caito smart allocations.</w:t>
      </w:r>
    </w:p>
    <w:p w:rsidR="0071529F" w:rsidRDefault="005C3D9E">
      <w:pPr>
        <w:pStyle w:val="ListBullet"/>
        <w:spacing w:after="60"/>
        <w:ind w:left="510"/>
      </w:pPr>
      <w:r>
        <w:t>T</w:t>
      </w:r>
      <w:r>
        <w:t>he company reports that its intelligent data capture lowers manual effort by up to 80%, while its caito e-accounting module captures and posts up to 98% of documents for tax consultants.</w:t>
      </w:r>
    </w:p>
    <w:p w:rsidR="0071529F" w:rsidRDefault="005C3D9E">
      <w:pPr>
        <w:keepNext/>
        <w:pBdr>
          <w:left w:val="single" w:sz="24" w:space="6" w:color="52B69A"/>
        </w:pBdr>
        <w:spacing w:before="120" w:after="60"/>
        <w:ind w:left="170"/>
      </w:pPr>
      <w:r>
        <w:rPr>
          <w:b/>
          <w:color w:val="0F172A"/>
          <w:sz w:val="20"/>
        </w:rPr>
        <w:t>Workflow Automation &amp; Approval Routing — scored 85/100</w:t>
      </w:r>
    </w:p>
    <w:p w:rsidR="0071529F" w:rsidRDefault="005C3D9E">
      <w:pPr>
        <w:keepNext/>
        <w:pBdr>
          <w:left w:val="single" w:sz="24" w:space="6" w:color="52B69A"/>
        </w:pBdr>
        <w:ind w:left="170"/>
      </w:pPr>
      <w:r>
        <w:t>This assessmen</w:t>
      </w:r>
      <w:r>
        <w:t>t rests on the company's self-reported capabilities for multi-stage digital workflows and mobile approval functionality within its accounts payable suite. Based on primary research, the company's complex conditional routing and automated exception manageme</w:t>
      </w:r>
      <w:r>
        <w:t>nt thresholds can be estimated as granular and scalable for custom accounting workflows, based on its 23,000 users and 17,500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cisbox Invoice features digital, multi-stage approval workflows built with e</w:t>
      </w:r>
      <w:r>
        <w:t>scalation logic to replace manual and email-based invoice tracking.</w:t>
      </w:r>
    </w:p>
    <w:p w:rsidR="0071529F" w:rsidRDefault="005C3D9E">
      <w:pPr>
        <w:pStyle w:val="ListBullet"/>
        <w:spacing w:after="60"/>
        <w:ind w:left="510"/>
      </w:pPr>
      <w:r>
        <w:t xml:space="preserve">The company reports that mobile validation is supported via the cisbox Invoice application for iOS and Android, allowing users to execute approval workflows and review account allocations </w:t>
      </w:r>
      <w:r>
        <w:t>on smartphones.</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 xml:space="preserve">The rating rests on the company's clear and verifiable integration capability with major regional and international ERP suites via pre-built standard interfaces and native API connectors. </w:t>
      </w:r>
      <w:r>
        <w:t>Based on primary research, the company's ERP certification statuses and synchronization mechanics can be estimated as broad compatibility using certified standards and standardized API interfaces, based on its standard and custom interfaces for DATEV, SAP,</w:t>
      </w:r>
      <w:r>
        <w:t xml:space="preserve"> and Oracle systems.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standard and custom interfaces that transfer processed invoice data directly to key financial accounting and ERP software systems, including DATEV, SAP, Oracle, BMD, and Diamant, as published on th</w:t>
      </w:r>
      <w:r>
        <w:t>e official cisbox GmbH website.</w:t>
      </w:r>
    </w:p>
    <w:p w:rsidR="0071529F" w:rsidRDefault="005C3D9E">
      <w:pPr>
        <w:pStyle w:val="ListBullet"/>
        <w:spacing w:after="60"/>
        <w:ind w:left="510"/>
      </w:pPr>
      <w:r>
        <w:t>The company reports seamless API connectivity and pre-built system integration supporting an extensive landscape of DACH-focused and international accounting systems including Abacus, ACE Solutions, Addison OneClick, and arc</w:t>
      </w:r>
      <w:r>
        <w:t>os, as outlined in its specialized product documentation for tax consultants on the cisbox GmbH website.</w:t>
      </w:r>
    </w:p>
    <w:p w:rsidR="0071529F" w:rsidRDefault="005C3D9E">
      <w:pPr>
        <w:keepNext/>
        <w:pBdr>
          <w:left w:val="single" w:sz="24" w:space="6" w:color="52B69A"/>
        </w:pBdr>
        <w:spacing w:before="120" w:after="60"/>
        <w:ind w:left="170"/>
      </w:pPr>
      <w:r>
        <w:rPr>
          <w:b/>
          <w:color w:val="0F172A"/>
          <w:sz w:val="20"/>
        </w:rPr>
        <w:t>AI/ML &amp; Fraud Detection Capabilities — scored 85/100</w:t>
      </w:r>
    </w:p>
    <w:p w:rsidR="0071529F" w:rsidRDefault="005C3D9E">
      <w:pPr>
        <w:keepNext/>
        <w:pBdr>
          <w:left w:val="single" w:sz="24" w:space="6" w:color="52B69A"/>
        </w:pBdr>
        <w:ind w:left="170"/>
      </w:pPr>
      <w:r>
        <w:t>Our assessment rests on the company's documented deployment of its caito AI engine for line-item p</w:t>
      </w:r>
      <w:r>
        <w:t>rocessing and its analytics platform for predictive pattern identification. Based on primary research, the company's model accuracy percentages and advanced fraud prevention features can be estimated as highly precise automated item-level extraction with r</w:t>
      </w:r>
      <w:r>
        <w:t>obust payee validation, based on its 98% automated preliminary account assignment and verification of payee features.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offers the caito e-accounting and caito smart allocations AI engine, which automates up to 98% of item-level</w:t>
      </w:r>
      <w:r>
        <w:t xml:space="preserve"> preliminary cost allocations from day one and features automated mathematical checks with built-in duplicate invoice recognition, according to the cisbox Product Documentation.</w:t>
      </w:r>
    </w:p>
    <w:p w:rsidR="0071529F" w:rsidRDefault="005C3D9E">
      <w:pPr>
        <w:pStyle w:val="ListBullet"/>
        <w:spacing w:after="60"/>
        <w:ind w:left="510"/>
      </w:pPr>
      <w:r>
        <w:t>The company deploys the cisbox Insights analytics platform, which uses artific</w:t>
      </w:r>
      <w:r>
        <w:t>ial intelligence to automatically structure invoice data, identify spend patterns, and compile real-time liquidity forecasts and trend analyses, according to the cisbox Insights Platform Page.</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76/100</w:t>
      </w:r>
    </w:p>
    <w:p w:rsidR="0071529F" w:rsidRDefault="005C3D9E">
      <w:pPr>
        <w:keepNext/>
        <w:pBdr>
          <w:left w:val="single" w:sz="24" w:space="6" w:color="52B69A"/>
        </w:pBdr>
        <w:ind w:left="170"/>
      </w:pPr>
      <w:r>
        <w:t xml:space="preserve">The </w:t>
      </w:r>
      <w:r>
        <w:t>rating rests on the platform's verified operational compliance footprint within Europe and its certified Peppol access point capabilities. Based on primary research, the company's transactional processing throughput performance benchmarks and global multi-</w:t>
      </w:r>
      <w:r>
        <w:t>tax compliance frameworks can be estimated as highly efficient European-focused voucher throughput with strict GoBD and Peppol compliance, based on its operations in over 30 European and U.S. markets as a certified Peppol Access Service Provider.</w:t>
      </w:r>
    </w:p>
    <w:p w:rsidR="0071529F" w:rsidRDefault="005C3D9E">
      <w:pPr>
        <w:keepNext/>
        <w:spacing w:after="40"/>
        <w:ind w:left="170"/>
      </w:pPr>
      <w:r>
        <w:rPr>
          <w:b/>
          <w:caps/>
          <w:color w:val="64748B"/>
          <w:sz w:val="15"/>
        </w:rPr>
        <w:t>Supportin</w:t>
      </w:r>
      <w:r>
        <w:rPr>
          <w:b/>
          <w:caps/>
          <w:color w:val="64748B"/>
          <w:sz w:val="15"/>
        </w:rPr>
        <w:t>g points</w:t>
      </w:r>
    </w:p>
    <w:p w:rsidR="0071529F" w:rsidRDefault="005C3D9E">
      <w:pPr>
        <w:pStyle w:val="ListBullet"/>
        <w:spacing w:after="60"/>
        <w:ind w:left="510"/>
      </w:pPr>
      <w:r>
        <w:t>The company reports that its cloud-based platform supports automated processing across more than 30 country markets for over 23,000 users, and provides a certified Peppol Access Service Provider connection to handle multi-format e-invoice extracti</w:t>
      </w:r>
      <w:r>
        <w:t>on and validation (including XRechnung, ZUGFeRD, and FatturaPA) as published on the cisbox GmbH official website.</w:t>
      </w:r>
    </w:p>
    <w:p w:rsidR="0071529F" w:rsidRDefault="005C3D9E">
      <w:pPr>
        <w:pStyle w:val="ListBullet"/>
        <w:spacing w:after="60"/>
        <w:ind w:left="510"/>
      </w:pPr>
      <w:r>
        <w:t>The company's general terms and conditions state that its applications guarantee an availability SLA of 99% p.a. through localized data center</w:t>
      </w:r>
      <w:r>
        <w:t xml:space="preserve"> hosting in Germany, as documented in the cisbox GmbH terms and conditions.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76/100</w:t>
      </w:r>
    </w:p>
    <w:p w:rsidR="0071529F" w:rsidRDefault="005C3D9E">
      <w:pPr>
        <w:keepNext/>
        <w:pBdr>
          <w:left w:val="single" w:sz="24" w:space="6" w:color="52B69A"/>
        </w:pBdr>
        <w:ind w:left="170"/>
      </w:pPr>
      <w:r>
        <w:t>The assessment rests on the company's confirmed deployment metrics of over 17,500 customers and prominent regi</w:t>
      </w:r>
      <w:r>
        <w:t>onal client logos within the DACH hospitality and healthcare sectors. Based on primary research, the company's average contract values can be estimated as substantial, reflecting mid-market to enterprise scale, based on its 17,500 customers and multi-stage</w:t>
      </w:r>
      <w:r>
        <w:t xml:space="preserve"> corporate workflow features.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more than 17,500 customers primarily across the DACH region, with corporate clients utilizing its solutions including Purino, Patient21, and the Gustoso Group.</w:t>
      </w:r>
    </w:p>
    <w:p w:rsidR="0071529F" w:rsidRDefault="005C3D9E">
      <w:pPr>
        <w:pStyle w:val="ListBullet"/>
        <w:spacing w:after="60"/>
        <w:ind w:left="510"/>
      </w:pPr>
      <w:r>
        <w:t xml:space="preserve">The company reports </w:t>
      </w:r>
      <w:r>
        <w:t>that its cloud-based financial and accounting automation software is used daily by over 23,000 users across 30 countries.</w:t>
      </w:r>
    </w:p>
    <w:p w:rsidR="0071529F" w:rsidRDefault="005C3D9E">
      <w:pPr>
        <w:keepNext/>
        <w:pBdr>
          <w:left w:val="single" w:sz="24" w:space="6" w:color="52B69A"/>
        </w:pBdr>
        <w:spacing w:before="120" w:after="60"/>
        <w:ind w:left="170"/>
      </w:pPr>
      <w:r>
        <w:rPr>
          <w:b/>
          <w:color w:val="0F172A"/>
          <w:sz w:val="20"/>
        </w:rPr>
        <w:t>Revenue Growth &amp; Financial Health — scored 91/100</w:t>
      </w:r>
    </w:p>
    <w:p w:rsidR="0071529F" w:rsidRDefault="005C3D9E">
      <w:pPr>
        <w:keepNext/>
        <w:pBdr>
          <w:left w:val="single" w:sz="24" w:space="6" w:color="52B69A"/>
        </w:pBdr>
        <w:ind w:left="170"/>
      </w:pPr>
      <w:r>
        <w:t>The rating rests on the company's confirmed growth momentum through its recurring re</w:t>
      </w:r>
      <w:r>
        <w:t>venue CAGR of over 20% and its high placement in a verified regional software ranking. Based on primary research, the company's annual recurring revenue or profit margins can be estimated as leading within the regional software sector, based on its top pos</w:t>
      </w:r>
      <w:r>
        <w:t>ition in the software ranking and over 140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Main Capital Partners announced the acquisition of a majority stake in cisbox GmbH on February 2, 2024, noting that the company's recurring revenues were growing at a CAGR of more than</w:t>
      </w:r>
      <w:r>
        <w:t xml:space="preserve"> 20%.</w:t>
      </w:r>
    </w:p>
    <w:p w:rsidR="0071529F" w:rsidRDefault="005C3D9E">
      <w:pPr>
        <w:pStyle w:val="ListBullet"/>
        <w:spacing w:after="60"/>
        <w:ind w:left="510"/>
      </w:pPr>
      <w:r>
        <w:t>Cisbox GmbH achieved 11th place in the 2025 Main Software 50 DACH ranking, based on 2024 financial performance evaluated across sales revenue, growth, and SaaS metrics verified by the Fraunhofer Institute.</w:t>
      </w:r>
    </w:p>
    <w:p w:rsidR="0071529F" w:rsidRDefault="005C3D9E">
      <w:pPr>
        <w:keepNext/>
        <w:pBdr>
          <w:left w:val="single" w:sz="24" w:space="6" w:color="52B69A"/>
        </w:pBdr>
        <w:spacing w:before="120" w:after="60"/>
        <w:ind w:left="170"/>
      </w:pPr>
      <w:r>
        <w:rPr>
          <w:b/>
          <w:color w:val="0F172A"/>
          <w:sz w:val="20"/>
        </w:rPr>
        <w:t>Geographic Coverage &amp; Partner Network — scor</w:t>
      </w:r>
      <w:r>
        <w:rPr>
          <w:b/>
          <w:color w:val="0F172A"/>
          <w:sz w:val="20"/>
        </w:rPr>
        <w:t>ed 82/100</w:t>
      </w:r>
    </w:p>
    <w:p w:rsidR="0071529F" w:rsidRDefault="005C3D9E">
      <w:pPr>
        <w:keepNext/>
        <w:pBdr>
          <w:left w:val="single" w:sz="24" w:space="6" w:color="52B69A"/>
        </w:pBdr>
        <w:ind w:left="170"/>
      </w:pPr>
      <w:r>
        <w:t>The rating rests on the company's strong, expanding European footprint and regional partner model, driven by its 2026 acquisitions and mergers with Millum and Oxalys. Based on primary research, the company's channel resellers registry can be esti</w:t>
      </w:r>
      <w:r>
        <w:t>mated as expanding through structured ecosystem tiers, based on its referral and white-label partner programs combined with dedicated partner sales management.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operating internal offices and development facilities acro</w:t>
      </w:r>
      <w:r>
        <w:t>ss Germany (Solingen and Wangen im Allgäu), Norway (Fornebu, via its merger with Millum), and Vietnam (Ho Chi Minh City), while its cloud solutions are used by more than 33,000 customers in over 30 countries.</w:t>
      </w:r>
    </w:p>
    <w:p w:rsidR="0071529F" w:rsidRDefault="005C3D9E">
      <w:pPr>
        <w:pStyle w:val="ListBullet"/>
        <w:spacing w:after="60"/>
        <w:ind w:left="510"/>
      </w:pPr>
      <w:r>
        <w:t>The company operates a scalable partner-led dis</w:t>
      </w:r>
      <w:r>
        <w:t>tribution model that includes white-label partnership programs, purchasing organizations, and financial institutions, alongside certifications such as a Peppol Access Service Provider.</w:t>
      </w:r>
    </w:p>
    <w:p w:rsidR="0071529F" w:rsidRDefault="005C3D9E">
      <w:pPr>
        <w:keepNext/>
        <w:pBdr>
          <w:left w:val="single" w:sz="24" w:space="6" w:color="52B69A"/>
        </w:pBdr>
        <w:spacing w:before="120" w:after="60"/>
        <w:ind w:left="170"/>
      </w:pPr>
      <w:r>
        <w:rPr>
          <w:b/>
          <w:color w:val="0F172A"/>
          <w:sz w:val="20"/>
        </w:rPr>
        <w:lastRenderedPageBreak/>
        <w:t>Market Share &amp; Competitive Positioning — scored 90/100</w:t>
      </w:r>
    </w:p>
    <w:p w:rsidR="0071529F" w:rsidRDefault="005C3D9E">
      <w:pPr>
        <w:keepNext/>
        <w:pBdr>
          <w:left w:val="single" w:sz="24" w:space="6" w:color="52B69A"/>
        </w:pBdr>
        <w:ind w:left="170"/>
      </w:pPr>
      <w:r>
        <w:t>The rating rests</w:t>
      </w:r>
      <w:r>
        <w:t xml:space="preserve"> on verified, independent regional e-invoicing participant market shares and a regional software performance ranking verified by the Fraunhofer Institute. Based on primary research, the company's global AP automation market share percentage or competitive </w:t>
      </w:r>
      <w:r>
        <w:t>win-rate statistics can be estimated as specialized and dominant within European service industries, based on its strong presence in the hospitality, healthcare, and tax consultation sectors across Europe.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Independent Peppol Access Point </w:t>
      </w:r>
      <w:r>
        <w:t>provider statistics from October 2026 document that cisbox GmbH holds an 8.0% market share of active routable participants in Germany, ranking 3rd nationally behind Pagero and Storecove.</w:t>
      </w:r>
    </w:p>
    <w:p w:rsidR="0071529F" w:rsidRDefault="005C3D9E">
      <w:pPr>
        <w:pStyle w:val="ListBullet"/>
        <w:spacing w:after="60"/>
        <w:ind w:left="510"/>
      </w:pPr>
      <w:r>
        <w:t>Main Capital Partners announced that cisbox GmbH achieved 1st place i</w:t>
      </w:r>
      <w:r>
        <w:t>n the 2024 Main Software 50 Deutschland ranking, indicating significant operational growth within the regional vendor market.</w:t>
      </w:r>
    </w:p>
    <w:p w:rsidR="0071529F" w:rsidRDefault="005C3D9E">
      <w:pPr>
        <w:keepNext/>
        <w:pBdr>
          <w:left w:val="single" w:sz="24" w:space="6" w:color="52B69A"/>
        </w:pBdr>
        <w:spacing w:before="120" w:after="60"/>
        <w:ind w:left="170"/>
      </w:pPr>
      <w:r>
        <w:rPr>
          <w:b/>
          <w:color w:val="0F172A"/>
          <w:sz w:val="20"/>
        </w:rPr>
        <w:t>Funding &amp; Strategic Investments — scored 94/100</w:t>
      </w:r>
    </w:p>
    <w:p w:rsidR="0071529F" w:rsidRDefault="005C3D9E">
      <w:pPr>
        <w:keepNext/>
        <w:pBdr>
          <w:left w:val="single" w:sz="24" w:space="6" w:color="52B69A"/>
        </w:pBdr>
        <w:ind w:left="170"/>
      </w:pPr>
      <w:r>
        <w:t>The rating rests on the confirmed majority investment by Main Capital Partners and</w:t>
      </w:r>
      <w:r>
        <w:t xml:space="preserve"> the company's subsequent programmatic buy-and-build acquisitions across Europe. Based on primary research, the company's monetary valuation of transactions can be estimated as substantial and institutional grade, based on its majority acquisition by a maj</w:t>
      </w:r>
      <w:r>
        <w:t>or capital firm and strategic cross-border mergers.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Main Capital Partners acquired a majority stake in cisbox GmbH on February 2, 2024, to support its next growth phase, with financing provided by NORD/LB.</w:t>
      </w:r>
    </w:p>
    <w:p w:rsidR="0071529F" w:rsidRDefault="005C3D9E">
      <w:pPr>
        <w:pStyle w:val="ListBullet"/>
        <w:spacing w:after="60"/>
        <w:ind w:left="510"/>
      </w:pPr>
      <w:r>
        <w:t>Cisbox GmbH expanded its platfor</w:t>
      </w:r>
      <w:r>
        <w:t>m through strategic growth initiatives under Main Capital Partners, completing a merger with German financial management software firm windata on February 20, 2025, followed by a cross-border merger with Norwegian software provider Millum on March 17, 2026</w:t>
      </w:r>
      <w:r>
        <w:t>, and the acquisition of a majority stake in French procurement software firm Oxalys.</w:t>
      </w:r>
    </w:p>
    <w:p w:rsidR="0071529F" w:rsidRDefault="005C3D9E">
      <w:pPr>
        <w:pStyle w:val="Heading2"/>
        <w:pageBreakBefore/>
        <w:shd w:val="clear" w:color="auto" w:fill="002857"/>
        <w:spacing w:after="0"/>
      </w:pPr>
      <w:bookmarkStart w:id="19" w:name="_Toc242447163"/>
      <w:r>
        <w:lastRenderedPageBreak/>
        <w:t>Zone &amp; Co</w:t>
      </w:r>
      <w:bookmarkEnd w:id="19"/>
    </w:p>
    <w:p w:rsidR="0071529F" w:rsidRDefault="005C3D9E">
      <w:pPr>
        <w:shd w:val="clear" w:color="auto" w:fill="002857"/>
        <w:spacing w:after="200"/>
      </w:pPr>
      <w:r>
        <w:rPr>
          <w:color w:val="CBD5E1"/>
          <w:sz w:val="18"/>
        </w:rPr>
        <w:t xml:space="preserve">ZoneCapture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79</w:t>
      </w:r>
      <w:r>
        <w:rPr>
          <w:color w:val="CBD5E1"/>
          <w:sz w:val="18"/>
        </w:rPr>
        <w:t xml:space="preserve">     Overall </w:t>
      </w:r>
      <w:r>
        <w:rPr>
          <w:b/>
          <w:color w:val="FFFFFF"/>
          <w:sz w:val="20"/>
        </w:rPr>
        <w:t>81</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86/100</w:t>
      </w:r>
    </w:p>
    <w:p w:rsidR="0071529F" w:rsidRDefault="005C3D9E">
      <w:pPr>
        <w:keepNext/>
        <w:pBdr>
          <w:left w:val="single" w:sz="24" w:space="6" w:color="52B69A"/>
        </w:pBdr>
        <w:ind w:left="170"/>
      </w:pPr>
      <w:r>
        <w:t>We verified t</w:t>
      </w:r>
      <w:r>
        <w:t>hat the company's performance evaluations are supported by internal claims of up to 99% data extraction accuracy and customer case studies demonstrating 90%+ reductions in invoice error rates. Based on primary research, the company's data extraction accura</w:t>
      </w:r>
      <w:r>
        <w:t>cy and processing speed can be estimated as high, with continuous performance climbs, based on its more than 10 specialist AI agents deployed across over 4,000 global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ZoneCapture solution automatica</w:t>
      </w:r>
      <w:r>
        <w:t>lly captures invoice data from email or PDFs with up to 99% accuracy through a combination of neural-network optical character recognition (OCR) and generative AI.</w:t>
      </w:r>
    </w:p>
    <w:p w:rsidR="0071529F" w:rsidRDefault="005C3D9E">
      <w:pPr>
        <w:pStyle w:val="ListBullet"/>
        <w:spacing w:after="60"/>
        <w:ind w:left="510"/>
      </w:pPr>
      <w:r>
        <w:t>Case study data published by the company states that customers achieve a 90%+ reduction in i</w:t>
      </w:r>
      <w:r>
        <w:t>nvoice errors and an 83%+ reduction in processing times using the platform's automated capture and coding workflows.</w:t>
      </w:r>
    </w:p>
    <w:p w:rsidR="0071529F" w:rsidRDefault="005C3D9E">
      <w:pPr>
        <w:keepNext/>
        <w:pBdr>
          <w:left w:val="single" w:sz="24" w:space="6" w:color="52B69A"/>
        </w:pBdr>
        <w:spacing w:before="120" w:after="60"/>
        <w:ind w:left="170"/>
      </w:pPr>
      <w:r>
        <w:rPr>
          <w:b/>
          <w:color w:val="0F172A"/>
          <w:sz w:val="20"/>
        </w:rPr>
        <w:t>Workflow Automation &amp; Approval Routing — scored 87/100</w:t>
      </w:r>
    </w:p>
    <w:p w:rsidR="0071529F" w:rsidRDefault="005C3D9E">
      <w:pPr>
        <w:keepNext/>
        <w:pBdr>
          <w:left w:val="single" w:sz="24" w:space="6" w:color="52B69A"/>
        </w:pBdr>
        <w:ind w:left="170"/>
      </w:pPr>
      <w:r>
        <w:t xml:space="preserve">The rating rests on the company’s extensive self-reported capability for multi-step </w:t>
      </w:r>
      <w:r>
        <w:t>conditional routing, email approvals, out-of-office delegation, and native audit trails inside the NetSuite environment. Based on primary research, the company's approval workflow performance can be estimated as fast for most approvals, based on its more t</w:t>
      </w:r>
      <w:r>
        <w:t>han 10 specialist AI agents and 4,000 customers worldwide.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ZoneApprovals software provides customizable accounts payable approval matrices within NetSuite, allowing automated routing based on amount thresholds</w:t>
      </w:r>
      <w:r>
        <w:t>, department, vendor type, or subsidiary, and supports both email-friendly approvals without a NetSuite license and automated out-of-office delegation.</w:t>
      </w:r>
    </w:p>
    <w:p w:rsidR="0071529F" w:rsidRDefault="005C3D9E">
      <w:pPr>
        <w:pStyle w:val="ListBullet"/>
        <w:spacing w:after="60"/>
        <w:ind w:left="510"/>
      </w:pPr>
      <w:r>
        <w:t>The company reports that its June 2026 procure-to-pay platform features include ZoneProcure for upstream</w:t>
      </w:r>
      <w:r>
        <w:t xml:space="preserve"> intake and budget-aware pre-PO request approvals, alongside ZoneCapture and ZoneApprovals to log timestamped actions for end-to-end compliance and audit trails.</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The rating rests on the company's verified</w:t>
      </w:r>
      <w:r>
        <w:t xml:space="preserve"> and extensive native ERP capabilities specifically and exclusively for the Oracle NetSuite platform, where it operates entirely within the ERP environment. Based on primary research, the company's native connectors for alternative major ERPs can be estima</w:t>
      </w:r>
      <w:r>
        <w:t>ted as non-existent or heavily restricted outside NetSuite, based on its native built-in NetSuite platform architecture and over 4,000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accounts payable automation software suite, which includes the </w:t>
      </w:r>
      <w:r>
        <w:t>ZoneCapture, ZoneApprovals, and Zone AP Payments modules, is built as a native SuiteApp designed to run entirely inside Oracle NetSuite.</w:t>
      </w:r>
    </w:p>
    <w:p w:rsidR="0071529F" w:rsidRDefault="005C3D9E">
      <w:pPr>
        <w:pStyle w:val="ListBullet"/>
        <w:spacing w:after="60"/>
        <w:ind w:left="510"/>
      </w:pPr>
      <w:r>
        <w:t xml:space="preserve">The company reports that its applications are installed as bundles that run natively within NetSuite's security </w:t>
      </w:r>
      <w:r>
        <w:t>protocols, keeping all transactions and audit trails within the ERP without requiring third-party middleware, APIs, or external integrations.</w:t>
      </w:r>
    </w:p>
    <w:p w:rsidR="0071529F" w:rsidRDefault="005C3D9E">
      <w:pPr>
        <w:keepNext/>
        <w:pBdr>
          <w:left w:val="single" w:sz="24" w:space="6" w:color="52B69A"/>
        </w:pBdr>
        <w:spacing w:before="120" w:after="60"/>
        <w:ind w:left="170"/>
      </w:pPr>
      <w:r>
        <w:rPr>
          <w:b/>
          <w:color w:val="0F172A"/>
          <w:sz w:val="20"/>
        </w:rPr>
        <w:t>AI/ML &amp; Fraud Detection Capabilities — scored 88/100</w:t>
      </w:r>
    </w:p>
    <w:p w:rsidR="0071529F" w:rsidRDefault="005C3D9E">
      <w:pPr>
        <w:keepNext/>
        <w:pBdr>
          <w:left w:val="single" w:sz="24" w:space="6" w:color="52B69A"/>
        </w:pBdr>
        <w:ind w:left="170"/>
      </w:pPr>
      <w:r>
        <w:t xml:space="preserve">The evaluation rests on Zone &amp; Co's documented deployment of </w:t>
      </w:r>
      <w:r>
        <w:t>Generative AI, natural language processing, and continuous learning pattern-based monitoring for anomaly and fraud mitigation within its native ERP application suite. Based on primary research, the company's automated workflow coding accuracy can be estima</w:t>
      </w:r>
      <w:r>
        <w:t>ted as strong and near perfect, based on its 10 plus specialized AI agents trained across over 4,000 customer environments.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ZoneAI system runs continuous pattern-based anomaly detection across vendor and payme</w:t>
      </w:r>
      <w:r>
        <w:t>nt data, deploying specific features such as Duplicate Bill Detection, Irregular Bill Patterns, and a Bank Detail Change Log to execute continuous fraud monitoring.</w:t>
      </w:r>
    </w:p>
    <w:p w:rsidR="0071529F" w:rsidRDefault="005C3D9E">
      <w:pPr>
        <w:pStyle w:val="ListBullet"/>
        <w:spacing w:after="60"/>
        <w:ind w:left="510"/>
      </w:pPr>
      <w:r>
        <w:t>The company reports that ZoneCapture uses Neural Network OCR engines combined with Generati</w:t>
      </w:r>
      <w:r>
        <w:t>ve AI capabilities to ingest invoices, adapt to layout patterns, translate languages, and auto-assign general ledger accounts based on historical vendor patterns.</w:t>
      </w:r>
    </w:p>
    <w:p w:rsidR="0071529F" w:rsidRDefault="005C3D9E">
      <w:pPr>
        <w:keepNext/>
        <w:pBdr>
          <w:left w:val="single" w:sz="24" w:space="6" w:color="52B69A"/>
        </w:pBdr>
        <w:spacing w:before="120" w:after="60"/>
        <w:ind w:left="170"/>
      </w:pPr>
      <w:r>
        <w:rPr>
          <w:b/>
          <w:color w:val="0F172A"/>
          <w:sz w:val="20"/>
        </w:rPr>
        <w:t>Scalability &amp; Global Compliance Support — scored 79/100</w:t>
      </w:r>
    </w:p>
    <w:p w:rsidR="0071529F" w:rsidRDefault="005C3D9E">
      <w:pPr>
        <w:keepNext/>
        <w:pBdr>
          <w:left w:val="single" w:sz="24" w:space="6" w:color="52B69A"/>
        </w:pBdr>
        <w:ind w:left="170"/>
      </w:pPr>
      <w:r>
        <w:t>The rating rests on the platform's ve</w:t>
      </w:r>
      <w:r>
        <w:t xml:space="preserve">rifiable global compliance framework, highlighted by native NetSuite e-invoicing built through partnerships to integrate PEPPOL network formats and multi-currency international capabilities. Based </w:t>
      </w:r>
      <w:r>
        <w:lastRenderedPageBreak/>
        <w:t>on primary research, the company's platform processing scal</w:t>
      </w:r>
      <w:r>
        <w:t>ability and uptime can be estimated as enterprise grade and highly resilient, based on its global payments infrastructure operating across 200 countries and 140 currencies.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ZoneCapture application integrates N</w:t>
      </w:r>
      <w:r>
        <w:t>etSuite with PEPPOL-compliant networks, leveraging sub-processors like Basware to enable global e-invoicing compliance across various multi-country mandates (such as Belgium, Germany, and France).</w:t>
      </w:r>
    </w:p>
    <w:p w:rsidR="0071529F" w:rsidRDefault="005C3D9E">
      <w:pPr>
        <w:pStyle w:val="ListBullet"/>
        <w:spacing w:after="60"/>
        <w:ind w:left="510"/>
      </w:pPr>
      <w:r>
        <w:t>The company reports that its global payment system, Zone AP</w:t>
      </w:r>
      <w:r>
        <w:t xml:space="preserve"> Payments, is powered by a partnership with TransferMate Global Payments to support international disbursements across more than 140 currencies and 200 countries and territories.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67/100</w:t>
      </w:r>
    </w:p>
    <w:p w:rsidR="0071529F" w:rsidRDefault="005C3D9E">
      <w:pPr>
        <w:keepNext/>
        <w:pBdr>
          <w:left w:val="single" w:sz="24" w:space="6" w:color="52B69A"/>
        </w:pBdr>
        <w:ind w:left="170"/>
      </w:pPr>
      <w:r>
        <w:t xml:space="preserve">The </w:t>
      </w:r>
      <w:r>
        <w:t>rating rests on the company's self-reported customer metrics and named mid-market and enterprise customer case studies for its ZoneCapture accounts payable solution. Based on primary research, the company's average deployment contract and transaction value</w:t>
      </w:r>
      <w:r>
        <w:t xml:space="preserve"> can be estimated as substantial, aligned with upper mid market enterprise systems, based on its 4,000 global customers and 4,500 payroll management deployments.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over 4,500 total organizations across its platfo</w:t>
      </w:r>
      <w:r>
        <w:t>rm, with its NetSuite-native financial apps utilized by over 3,000 finance teams.</w:t>
      </w:r>
    </w:p>
    <w:p w:rsidR="0071529F" w:rsidRDefault="005C3D9E">
      <w:pPr>
        <w:pStyle w:val="ListBullet"/>
        <w:spacing w:after="60"/>
        <w:ind w:left="510"/>
      </w:pPr>
      <w:r>
        <w:t>The company reports specific accounts payable automation deployments with named customers including Guzman y Gomez, Escalante Golf, enviolo, and Amigo Mobility.</w:t>
      </w:r>
    </w:p>
    <w:p w:rsidR="0071529F" w:rsidRDefault="005C3D9E">
      <w:pPr>
        <w:keepNext/>
        <w:pBdr>
          <w:left w:val="single" w:sz="24" w:space="6" w:color="52B69A"/>
        </w:pBdr>
        <w:spacing w:before="120" w:after="60"/>
        <w:ind w:left="170"/>
      </w:pPr>
      <w:r>
        <w:rPr>
          <w:b/>
          <w:color w:val="0F172A"/>
          <w:sz w:val="20"/>
        </w:rPr>
        <w:t>Revenue Growt</w:t>
      </w:r>
      <w:r>
        <w:rPr>
          <w:b/>
          <w:color w:val="0F172A"/>
          <w:sz w:val="20"/>
        </w:rPr>
        <w:t>h &amp; Financial Health — scored 86/100</w:t>
      </w:r>
    </w:p>
    <w:p w:rsidR="0071529F" w:rsidRDefault="005C3D9E">
      <w:pPr>
        <w:keepNext/>
        <w:pBdr>
          <w:left w:val="single" w:sz="24" w:space="6" w:color="52B69A"/>
        </w:pBdr>
        <w:ind w:left="170"/>
      </w:pPr>
      <w:r>
        <w:t>We verified the company's financial posture using its confirmed growth equity funding round alongside its self-reported multi-year revenue growth milestones. Based on primary research, the company's annual recurring rev</w:t>
      </w:r>
      <w:r>
        <w:t>enue and profitability scale can be estimated as significant and expanding steadily, based on its 76 million dollar growth equity investment led by Insight Partners and over 4,000 customers.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announced that it closed a $76 mill</w:t>
      </w:r>
      <w:r>
        <w:t>ion growth equity investment with Insight Partners on October 14, 2021.</w:t>
      </w:r>
    </w:p>
    <w:p w:rsidR="0071529F" w:rsidRDefault="005C3D9E">
      <w:pPr>
        <w:pStyle w:val="ListBullet"/>
        <w:spacing w:after="60"/>
        <w:ind w:left="510"/>
      </w:pPr>
      <w:r>
        <w:t>The company reported a three-year revenue growth rate of 197 percent upon being named to the 2025 Inc. 5000 list.</w:t>
      </w:r>
    </w:p>
    <w:p w:rsidR="0071529F" w:rsidRDefault="005C3D9E">
      <w:pPr>
        <w:keepNext/>
        <w:pBdr>
          <w:left w:val="single" w:sz="24" w:space="6" w:color="52B69A"/>
        </w:pBdr>
        <w:spacing w:before="120" w:after="60"/>
        <w:ind w:left="170"/>
      </w:pPr>
      <w:r>
        <w:rPr>
          <w:b/>
          <w:color w:val="0F172A"/>
          <w:sz w:val="20"/>
        </w:rPr>
        <w:t>Geographic Coverage &amp; Partner Network — scored 80/100</w:t>
      </w:r>
    </w:p>
    <w:p w:rsidR="0071529F" w:rsidRDefault="005C3D9E">
      <w:pPr>
        <w:keepNext/>
        <w:pBdr>
          <w:left w:val="single" w:sz="24" w:space="6" w:color="52B69A"/>
        </w:pBdr>
        <w:ind w:left="170"/>
      </w:pPr>
      <w:r>
        <w:t>The rating rests</w:t>
      </w:r>
      <w:r>
        <w:t xml:space="preserve"> on the company's verified office locations spanning North America, Europe, and Australia, alongside documented regional channel implementation partnerships for its NetSuite-native accounts payable solutions. Based on primary research, the company's global</w:t>
      </w:r>
      <w:r>
        <w:t xml:space="preserve"> reach and reseller network scaling can be estimated as broad across international markets, based on its global payment solution enabling money movement to more than two00 countries and transactions in 140 currencies.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w:t>
      </w:r>
      <w:r>
        <w:t>global office coverage across multiple international hubs including Boston, Austin, Denver, New York, San Francisco, Los Angeles, Amsterdam, London, Brisbane, Brno, and Ottawa.</w:t>
      </w:r>
    </w:p>
    <w:p w:rsidR="0071529F" w:rsidRDefault="005C3D9E">
      <w:pPr>
        <w:pStyle w:val="ListBullet"/>
        <w:spacing w:after="60"/>
        <w:ind w:left="510"/>
      </w:pPr>
      <w:r>
        <w:t>The company reports that its global partner network supports more than 4,000 Ne</w:t>
      </w:r>
      <w:r>
        <w:t>tSuite users worldwide, utilizing regional channel partnerships such as Annexa in Australia and PS Global Consulting across eleven Asian markets.</w:t>
      </w:r>
    </w:p>
    <w:p w:rsidR="0071529F" w:rsidRDefault="005C3D9E">
      <w:pPr>
        <w:keepNext/>
        <w:pBdr>
          <w:left w:val="single" w:sz="24" w:space="6" w:color="52B69A"/>
        </w:pBdr>
        <w:spacing w:before="120" w:after="60"/>
        <w:ind w:left="170"/>
      </w:pPr>
      <w:r>
        <w:rPr>
          <w:b/>
          <w:color w:val="0F172A"/>
          <w:sz w:val="20"/>
        </w:rPr>
        <w:t>Market Share &amp; Competitive Positioning — scored 70/100</w:t>
      </w:r>
    </w:p>
    <w:p w:rsidR="0071529F" w:rsidRDefault="005C3D9E">
      <w:pPr>
        <w:keepNext/>
        <w:pBdr>
          <w:left w:val="single" w:sz="24" w:space="6" w:color="52B69A"/>
        </w:pBdr>
        <w:ind w:left="170"/>
      </w:pPr>
      <w:r>
        <w:t>Based on primary research, the company's market share a</w:t>
      </w:r>
      <w:r>
        <w:t>nd competitive win metrics can be estimated as growing steadily within major ERP ecosystems, based on its over 4,000 worldwide customers, over 4,500 organizations using its payroll services, and $76 million growth equity funding led by Insight Partners.</w:t>
      </w:r>
    </w:p>
    <w:p w:rsidR="0071529F" w:rsidRDefault="005C3D9E">
      <w:pPr>
        <w:keepNext/>
        <w:spacing w:after="40"/>
        <w:ind w:left="170"/>
      </w:pPr>
      <w:r>
        <w:rPr>
          <w:b/>
          <w:caps/>
          <w:color w:val="64748B"/>
          <w:sz w:val="15"/>
        </w:rPr>
        <w:t>Su</w:t>
      </w:r>
      <w:r>
        <w:rPr>
          <w:b/>
          <w:caps/>
          <w:color w:val="64748B"/>
          <w:sz w:val="15"/>
        </w:rPr>
        <w:t>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94/100</w:t>
      </w:r>
    </w:p>
    <w:p w:rsidR="0071529F" w:rsidRDefault="005C3D9E">
      <w:pPr>
        <w:keepNext/>
        <w:pBdr>
          <w:left w:val="single" w:sz="24" w:space="6" w:color="52B69A"/>
        </w:pBdr>
        <w:ind w:left="170"/>
      </w:pPr>
      <w:r>
        <w:t>The assessment rests on verified institutional backing of $76 million from Insight Partners and a demonstrated track record of strategic acquisitions to build out its NetSuite-na</w:t>
      </w:r>
      <w:r>
        <w:t>tive automation suite. Based on primary research, the company's acquisition transaction values can be estimated as substantial for scaling market reach, based on its 76 million dollar growth equity investment and 4,500 organizations trusted for payroll man</w:t>
      </w:r>
      <w:r>
        <w:t>agement.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Zone &amp; Co closed a $76 million growth equity investment from Insight Partners on October 14, 2021.</w:t>
      </w:r>
    </w:p>
    <w:p w:rsidR="0071529F" w:rsidRDefault="005C3D9E">
      <w:pPr>
        <w:pStyle w:val="ListBullet"/>
        <w:spacing w:after="60"/>
        <w:ind w:left="510"/>
      </w:pPr>
      <w:r>
        <w:t xml:space="preserve">Zone &amp; Co announced the acquisition of Staria Flow, an accounts payable automation solution, on July 11, 2024, to expand its </w:t>
      </w:r>
      <w:r>
        <w:t>enterprise OCR and procure-to-pay capabilities.</w:t>
      </w:r>
    </w:p>
    <w:p w:rsidR="0071529F" w:rsidRDefault="005C3D9E">
      <w:pPr>
        <w:pStyle w:val="Heading2"/>
        <w:pageBreakBefore/>
        <w:shd w:val="clear" w:color="auto" w:fill="002857"/>
        <w:spacing w:after="0"/>
      </w:pPr>
      <w:bookmarkStart w:id="20" w:name="_Toc242447164"/>
      <w:r>
        <w:lastRenderedPageBreak/>
        <w:t>Candis GmbH</w:t>
      </w:r>
      <w:bookmarkEnd w:id="20"/>
    </w:p>
    <w:p w:rsidR="0071529F" w:rsidRDefault="005C3D9E">
      <w:pPr>
        <w:shd w:val="clear" w:color="auto" w:fill="002857"/>
        <w:spacing w:after="200"/>
      </w:pPr>
      <w:r>
        <w:rPr>
          <w:color w:val="CBD5E1"/>
          <w:sz w:val="18"/>
        </w:rPr>
        <w:t xml:space="preserve">Candis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78</w:t>
      </w:r>
      <w:r>
        <w:rPr>
          <w:color w:val="CBD5E1"/>
          <w:sz w:val="18"/>
        </w:rPr>
        <w:t xml:space="preserve">     Overall </w:t>
      </w:r>
      <w:r>
        <w:rPr>
          <w:b/>
          <w:color w:val="FFFFFF"/>
          <w:sz w:val="20"/>
        </w:rPr>
        <w:t>81</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84/100</w:t>
      </w:r>
    </w:p>
    <w:p w:rsidR="0071529F" w:rsidRDefault="005C3D9E">
      <w:pPr>
        <w:keepNext/>
        <w:pBdr>
          <w:left w:val="single" w:sz="24" w:space="6" w:color="52B69A"/>
        </w:pBdr>
        <w:ind w:left="170"/>
      </w:pPr>
      <w:r>
        <w:t xml:space="preserve">The rating rests on the vendor's self-reported </w:t>
      </w:r>
      <w:r>
        <w:t xml:space="preserve">capability that its native AI data capture outperforms legacy rule-based OCR systems by 11% while natively processing regional electronic invoice formats. Based on primary research, the company's baseline data extraction accuracy can be estimated as high, </w:t>
      </w:r>
      <w:r>
        <w:t>based on its 96% of new customers successfully implementing Candis within 30 days and 91% accuracy capability.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Candis AI extracts data up to 11% more accurately than traditional, rule-based optical character recog</w:t>
      </w:r>
      <w:r>
        <w:t>nition (OCR) platforms.</w:t>
      </w:r>
    </w:p>
    <w:p w:rsidR="0071529F" w:rsidRDefault="005C3D9E">
      <w:pPr>
        <w:pStyle w:val="ListBullet"/>
        <w:spacing w:after="60"/>
        <w:ind w:left="510"/>
      </w:pPr>
      <w:r>
        <w:t>The company reports that its software automatically captures multi-format incoming invoices (including paper, PDF, and e-invoices such as XRechnung and ZUGFeRD) and generates AI-powered coding suggestions for preliminary account ass</w:t>
      </w:r>
      <w:r>
        <w:t>ignments.</w:t>
      </w:r>
    </w:p>
    <w:p w:rsidR="0071529F" w:rsidRDefault="005C3D9E">
      <w:pPr>
        <w:keepNext/>
        <w:pBdr>
          <w:left w:val="single" w:sz="24" w:space="6" w:color="52B69A"/>
        </w:pBdr>
        <w:spacing w:before="120" w:after="60"/>
        <w:ind w:left="170"/>
      </w:pPr>
      <w:r>
        <w:rPr>
          <w:b/>
          <w:color w:val="0F172A"/>
          <w:sz w:val="20"/>
        </w:rPr>
        <w:t>Workflow Automation &amp; Approval Routing — scored 87/100</w:t>
      </w:r>
    </w:p>
    <w:p w:rsidR="0071529F" w:rsidRDefault="005C3D9E">
      <w:pPr>
        <w:keepNext/>
        <w:pBdr>
          <w:left w:val="single" w:sz="24" w:space="6" w:color="52B69A"/>
        </w:pBdr>
        <w:ind w:left="170"/>
      </w:pPr>
      <w:r>
        <w:t>The rating rests on the company's clear and verifiable functional documentation detailing flexible amount, supplier, and cost-centre conditional routing rules alongside mobile approvals and a</w:t>
      </w:r>
      <w:r>
        <w:t xml:space="preserve">n audit trail. Based on primary research, the company's workflow maturity and upstream integration verification can be estimated as limited to recent standalone modules and custom partner setups, based on its more than 200 partners and recent introduction </w:t>
      </w:r>
      <w:r>
        <w:t>of purchase requests.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digital invoice management software supports multi-level approval workflows with individual amount-based, cost centre, and supplier-based thresholds and routing rules, alongside out-of-of</w:t>
      </w:r>
      <w:r>
        <w:t>fice delegation rules and real-time push notifications via a mobile application.</w:t>
      </w:r>
    </w:p>
    <w:p w:rsidR="0071529F" w:rsidRDefault="005C3D9E">
      <w:pPr>
        <w:pStyle w:val="ListBullet"/>
        <w:spacing w:after="60"/>
        <w:ind w:left="510"/>
      </w:pPr>
      <w:r>
        <w:t>The company reports that its platform includes a GoBD-compliant document history that automatically records all assignments, approval requests, and execution steps within an a</w:t>
      </w:r>
      <w:r>
        <w:t>udit trail.</w:t>
      </w:r>
    </w:p>
    <w:p w:rsidR="0071529F" w:rsidRDefault="005C3D9E">
      <w:pPr>
        <w:keepNext/>
        <w:pBdr>
          <w:left w:val="single" w:sz="24" w:space="6" w:color="52B69A"/>
        </w:pBdr>
        <w:spacing w:before="120" w:after="60"/>
        <w:ind w:left="170"/>
      </w:pPr>
      <w:r>
        <w:rPr>
          <w:b/>
          <w:color w:val="0F172A"/>
          <w:sz w:val="20"/>
        </w:rPr>
        <w:t>ERP &amp; Accounting System Integration — scored 86/100</w:t>
      </w:r>
    </w:p>
    <w:p w:rsidR="0071529F" w:rsidRDefault="005C3D9E">
      <w:pPr>
        <w:keepNext/>
        <w:pBdr>
          <w:left w:val="single" w:sz="24" w:space="6" w:color="52B69A"/>
        </w:pBdr>
        <w:ind w:left="170"/>
      </w:pPr>
      <w:r>
        <w:t>The evaluation rests on the company's verified and extensive suite of pre-built native integrations for key European and global mid-market platforms, particularly its deep, officially licensed</w:t>
      </w:r>
      <w:r>
        <w:t xml:space="preserve"> DATEV partner status. Based on primary research, the company's quickbooks integrations verification can be estimated as highly restricted or absent due to primary focus on European accounting ecosystems, based on its 4,000 customers served and foundationa</w:t>
      </w:r>
      <w:r>
        <w:t>l focus on Germany's leading software solutions.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direct integrations and native connectors built for regional and global ERP/accounting systems including SAP Business One (version 10.0 or higher), Microsoft Dynamics 36</w:t>
      </w:r>
      <w:r>
        <w:t>5 Business Central, Sage 100, and Oracle NetSuite.</w:t>
      </w:r>
    </w:p>
    <w:p w:rsidR="0071529F" w:rsidRDefault="005C3D9E">
      <w:pPr>
        <w:pStyle w:val="ListBullet"/>
        <w:spacing w:after="60"/>
        <w:ind w:left="510"/>
      </w:pPr>
      <w:r>
        <w:t xml:space="preserve">The company reports a licensed, technically tested interface partnership with DATEV, supporting services such as the DATEV Buchungsdatenservice, Rechnungsdatenservice 1.0, and Belegbilderservice for </w:t>
      </w:r>
      <w:r>
        <w:t>real-time bidirectional synchronization of master data, posting suggestions, and documents.</w:t>
      </w:r>
    </w:p>
    <w:p w:rsidR="0071529F" w:rsidRDefault="005C3D9E">
      <w:pPr>
        <w:keepNext/>
        <w:pBdr>
          <w:left w:val="single" w:sz="24" w:space="6" w:color="52B69A"/>
        </w:pBdr>
        <w:spacing w:before="120" w:after="60"/>
        <w:ind w:left="170"/>
      </w:pPr>
      <w:r>
        <w:rPr>
          <w:b/>
          <w:color w:val="0F172A"/>
          <w:sz w:val="20"/>
        </w:rPr>
        <w:t>AI/ML &amp; Fraud Detection Capabilities — scored 85/100</w:t>
      </w:r>
    </w:p>
    <w:p w:rsidR="0071529F" w:rsidRDefault="005C3D9E">
      <w:pPr>
        <w:keepNext/>
        <w:pBdr>
          <w:left w:val="single" w:sz="24" w:space="6" w:color="52B69A"/>
        </w:pBdr>
        <w:ind w:left="170"/>
      </w:pPr>
      <w:r>
        <w:t>The rating is supported by confirmed evidence of self-reported machine learning models that execute automated d</w:t>
      </w:r>
      <w:r>
        <w:t>ocument capture, structural pre-coding suggestions, compliance checks, and basic duplicate identification. Based on primary research, the company's anomaly detection performance can be estimated as strong, in line with leading vendors, based on its total f</w:t>
      </w:r>
      <w:r>
        <w:t>unding raised reaching $30 million and automatic validation compliance.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proprietary machine learning algorithms natively parse document formats and extract invoice data up to 11% more accurately than standard </w:t>
      </w:r>
      <w:r>
        <w:t>rule-based OCR tools.</w:t>
      </w:r>
    </w:p>
    <w:p w:rsidR="0071529F" w:rsidRDefault="005C3D9E">
      <w:pPr>
        <w:pStyle w:val="ListBullet"/>
        <w:spacing w:after="60"/>
        <w:ind w:left="510"/>
      </w:pPr>
      <w:r>
        <w:t>The company reports that its software continuously trains on continuous human feedback to improve pre-accounting suggestion patterns during a 30-day initial learning phase, deploying new model versions only after they achieve an inter</w:t>
      </w:r>
      <w:r>
        <w:t>nal test accuracy of at least 90%.</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76/100</w:t>
      </w:r>
    </w:p>
    <w:p w:rsidR="0071529F" w:rsidRDefault="005C3D9E">
      <w:pPr>
        <w:keepNext/>
        <w:pBdr>
          <w:left w:val="single" w:sz="24" w:space="6" w:color="52B69A"/>
        </w:pBdr>
        <w:ind w:left="170"/>
      </w:pPr>
      <w:r>
        <w:t>The evaluation rests on the company's confirmed self-reported capability to process local German e-invoicing standards, adhere to regional VAT compliance laws, and i</w:t>
      </w:r>
      <w:r>
        <w:t xml:space="preserve">ngest foreign B2B e-invoices via an integrated partner network. Based on primary research, the company's system uptime SLAs and performance benchmarks can be estimated as strong, in line with modern cloud software standard deployments, based on its 96% of </w:t>
      </w:r>
      <w:r>
        <w:t>new customers successfully implementing the solution within 30 days.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processes e-invoices in XRechnung and ZUGFeRD formats, incorporating automatic document compliance verification under Section 14 of</w:t>
      </w:r>
      <w:r>
        <w:t xml:space="preserve"> the German VAT Act (UStG) and GoBD-certified 10-year archiving.</w:t>
      </w:r>
    </w:p>
    <w:p w:rsidR="0071529F" w:rsidRDefault="005C3D9E">
      <w:pPr>
        <w:pStyle w:val="ListBullet"/>
        <w:spacing w:after="60"/>
        <w:ind w:left="510"/>
      </w:pPr>
      <w:r>
        <w:t xml:space="preserve">The company reports in its European Help Center that it supports receiving foreign B2B e-invoices (such as for France, Poland, and Belgium) by connecting individually to national e-invoicing </w:t>
      </w:r>
      <w:r>
        <w:t>networks through an integrated partner platform.</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70/100</w:t>
      </w:r>
    </w:p>
    <w:p w:rsidR="0071529F" w:rsidRDefault="005C3D9E">
      <w:pPr>
        <w:keepNext/>
        <w:pBdr>
          <w:left w:val="single" w:sz="24" w:space="6" w:color="52B69A"/>
        </w:pBdr>
        <w:ind w:left="170"/>
      </w:pPr>
      <w:r>
        <w:t xml:space="preserve">The rating rests on the company's self-reported milestone of serving over 10,000 companies. Based on primary research, the company's </w:t>
      </w:r>
      <w:r>
        <w:t>average contract values can be estimated as mid-market focused, growing steadily, based on its over 4,000 customers served since foundation and major ERP integrations.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more than 10,000 mid-sized companies and smal</w:t>
      </w:r>
      <w:r>
        <w:t>l-to-medium enterprises rely on its automated invoice management software.</w:t>
      </w:r>
    </w:p>
    <w:p w:rsidR="0071529F" w:rsidRDefault="005C3D9E">
      <w:pPr>
        <w:pStyle w:val="ListBullet"/>
        <w:spacing w:after="60"/>
        <w:ind w:left="510"/>
      </w:pPr>
      <w:r>
        <w:t>The company reports a 94% contract renewal rate across its customer base.</w:t>
      </w:r>
    </w:p>
    <w:p w:rsidR="0071529F" w:rsidRDefault="005C3D9E">
      <w:pPr>
        <w:keepNext/>
        <w:pBdr>
          <w:left w:val="single" w:sz="24" w:space="6" w:color="52B69A"/>
        </w:pBdr>
        <w:spacing w:before="120" w:after="60"/>
        <w:ind w:left="170"/>
      </w:pPr>
      <w:r>
        <w:rPr>
          <w:b/>
          <w:color w:val="0F172A"/>
          <w:sz w:val="20"/>
        </w:rPr>
        <w:t>Revenue Growth &amp; Financial Health — scored 85/100</w:t>
      </w:r>
    </w:p>
    <w:p w:rsidR="0071529F" w:rsidRDefault="005C3D9E">
      <w:pPr>
        <w:keepNext/>
        <w:pBdr>
          <w:left w:val="single" w:sz="24" w:space="6" w:color="52B69A"/>
        </w:pBdr>
        <w:ind w:left="170"/>
      </w:pPr>
      <w:r>
        <w:t>The rating rests on the company's confirmed venture fundi</w:t>
      </w:r>
      <w:r>
        <w:t>ng rounds and self-reported positive revenue acceleration through mid-2026. Based on primary research, the company's annual recurring revenue can be estimated as growing steadily, based on its total funding raised reaching $30 million and over 4,000 custom</w:t>
      </w:r>
      <w:r>
        <w:t>ers served.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announced that it raised a $16 million Series C funding round in September 2022, bringing its total funding to approximately $30 million.</w:t>
      </w:r>
    </w:p>
    <w:p w:rsidR="0071529F" w:rsidRDefault="005C3D9E">
      <w:pPr>
        <w:pStyle w:val="ListBullet"/>
        <w:spacing w:after="60"/>
        <w:ind w:left="510"/>
      </w:pPr>
      <w:r>
        <w:t xml:space="preserve">The company reports that the second quarter of 2026 was the strongest </w:t>
      </w:r>
      <w:r>
        <w:t>quarter in its history, experiencing climbing revenue and shrinking churn.</w:t>
      </w:r>
    </w:p>
    <w:p w:rsidR="0071529F" w:rsidRDefault="005C3D9E">
      <w:pPr>
        <w:keepNext/>
        <w:pBdr>
          <w:left w:val="single" w:sz="24" w:space="6" w:color="52B69A"/>
        </w:pBdr>
        <w:spacing w:before="120" w:after="60"/>
        <w:ind w:left="170"/>
      </w:pPr>
      <w:r>
        <w:rPr>
          <w:b/>
          <w:color w:val="0F172A"/>
          <w:sz w:val="20"/>
        </w:rPr>
        <w:t>Geographic Coverage &amp; Partner Network — scored 65/100</w:t>
      </w:r>
    </w:p>
    <w:p w:rsidR="0071529F" w:rsidRDefault="005C3D9E">
      <w:pPr>
        <w:keepNext/>
        <w:pBdr>
          <w:left w:val="single" w:sz="24" w:space="6" w:color="52B69A"/>
        </w:pBdr>
        <w:ind w:left="170"/>
      </w:pPr>
      <w:r>
        <w:t>The assessment rests on the company's verified partner network and software integrations heavily concentrated within Germany an</w:t>
      </w:r>
      <w:r>
        <w:t>d the broader DACH region. Based on primary research, the company's aggregate channel network size can be estimated as broad across the major ERP platforms, based on its more than 200 partners established since foundation and official DATEV interface partn</w:t>
      </w:r>
      <w:r>
        <w:t>ership.</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 localized partner directory composed primarily of Germany-based tax consultancies, ERP system integrators, and digitization consulting firms, including firms like Mazars GmbH &amp; Co. KG and ECOVIS Deutschland.</w:t>
      </w:r>
    </w:p>
    <w:p w:rsidR="0071529F" w:rsidRDefault="005C3D9E">
      <w:pPr>
        <w:pStyle w:val="ListBullet"/>
        <w:spacing w:after="60"/>
        <w:ind w:left="510"/>
      </w:pPr>
      <w:r>
        <w:t>The company reports direct product integrations with regional and international accounting platforms and ERP ecosystems, specifically maintaining interfaces for DATEV, Sage 100, SAP Business One, and Microsoft Business Central.</w:t>
      </w:r>
    </w:p>
    <w:p w:rsidR="0071529F" w:rsidRDefault="005C3D9E">
      <w:pPr>
        <w:keepNext/>
        <w:pBdr>
          <w:left w:val="single" w:sz="24" w:space="6" w:color="52B69A"/>
        </w:pBdr>
        <w:spacing w:before="120" w:after="60"/>
        <w:ind w:left="170"/>
      </w:pPr>
      <w:r>
        <w:rPr>
          <w:b/>
          <w:color w:val="0F172A"/>
          <w:sz w:val="20"/>
        </w:rPr>
        <w:t>Market Share &amp; Competitive P</w:t>
      </w:r>
      <w:r>
        <w:rPr>
          <w:b/>
          <w:color w:val="0F172A"/>
          <w:sz w:val="20"/>
        </w:rPr>
        <w:t>ositioning — scored 86/100</w:t>
      </w:r>
    </w:p>
    <w:p w:rsidR="0071529F" w:rsidRDefault="005C3D9E">
      <w:pPr>
        <w:keepNext/>
        <w:pBdr>
          <w:left w:val="single" w:sz="24" w:space="6" w:color="52B69A"/>
        </w:pBdr>
        <w:ind w:left="170"/>
      </w:pPr>
      <w:r>
        <w:t xml:space="preserve">The evaluation rests on verified records showing that the company maintains an active presence in the European SME mid-market, particularly within Germany, alongside competitors like Spendesk and Moss. Based on primary research, </w:t>
      </w:r>
      <w:r>
        <w:t>the company's market share and competitive win rate can be estimated as strong, in line with leading regional vendors, based on its 4,000 customers and 200 partners.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thousands of customers and has raised approx</w:t>
      </w:r>
      <w:r>
        <w:t>imately $31.2 million in total funding to support its AI-driven accounts payable software for small and medium-sized enterprises.</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86/100</w:t>
      </w:r>
    </w:p>
    <w:p w:rsidR="0071529F" w:rsidRDefault="005C3D9E">
      <w:pPr>
        <w:keepNext/>
        <w:pBdr>
          <w:left w:val="single" w:sz="24" w:space="6" w:color="52B69A"/>
        </w:pBdr>
        <w:ind w:left="170"/>
      </w:pPr>
      <w:r>
        <w:t xml:space="preserve">The assessment rests on the company's verified venture capital funding rounds </w:t>
      </w:r>
      <w:r>
        <w:t>that back its machine learning engine and invoice management product expansion. Based on primary research, the company's subsequent funding rounds or strategic acquisitions can be estimated as stable at the current stage without further public capital exte</w:t>
      </w:r>
      <w:r>
        <w:t>nsion, based on its total funding raised reaching $30 million and 16 million dollar Series C round.</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Candis GmbH raised $16 million in a Series C funding round announced in September 2022, which was led by Viola FinTech with participation </w:t>
      </w:r>
      <w:r>
        <w:t>from Lightspeed Venture Partners and Viola Ventures.</w:t>
      </w:r>
    </w:p>
    <w:p w:rsidR="0071529F" w:rsidRDefault="005C3D9E">
      <w:pPr>
        <w:pStyle w:val="ListBullet"/>
        <w:spacing w:after="60"/>
        <w:ind w:left="510"/>
      </w:pPr>
      <w:r>
        <w:t>The company raised €12 million ($14 million) in a Series B funding round announced in July 2020, led by Viola Ventures and Rabo Frontier Ventures.</w:t>
      </w:r>
    </w:p>
    <w:p w:rsidR="0071529F" w:rsidRDefault="005C3D9E">
      <w:pPr>
        <w:pStyle w:val="Heading2"/>
        <w:pageBreakBefore/>
        <w:shd w:val="clear" w:color="auto" w:fill="002857"/>
        <w:spacing w:after="0"/>
      </w:pPr>
      <w:bookmarkStart w:id="21" w:name="_Toc242447165"/>
      <w:r>
        <w:lastRenderedPageBreak/>
        <w:t>Dooap Inc.</w:t>
      </w:r>
      <w:bookmarkEnd w:id="21"/>
    </w:p>
    <w:p w:rsidR="0071529F" w:rsidRDefault="005C3D9E">
      <w:pPr>
        <w:shd w:val="clear" w:color="auto" w:fill="002857"/>
        <w:spacing w:after="200"/>
      </w:pPr>
      <w:r>
        <w:rPr>
          <w:color w:val="CBD5E1"/>
          <w:sz w:val="18"/>
        </w:rPr>
        <w:t xml:space="preserve">Dooap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71</w:t>
      </w:r>
      <w:r>
        <w:rPr>
          <w:color w:val="CBD5E1"/>
          <w:sz w:val="18"/>
        </w:rPr>
        <w:t xml:space="preserve">     </w:t>
      </w:r>
      <w:r>
        <w:rPr>
          <w:color w:val="CBD5E1"/>
          <w:sz w:val="18"/>
        </w:rPr>
        <w:t xml:space="preserve">Overall </w:t>
      </w:r>
      <w:r>
        <w:rPr>
          <w:b/>
          <w:color w:val="FFFFFF"/>
          <w:sz w:val="20"/>
        </w:rPr>
        <w:t>78</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87/100</w:t>
      </w:r>
    </w:p>
    <w:p w:rsidR="0071529F" w:rsidRDefault="005C3D9E">
      <w:pPr>
        <w:keepNext/>
        <w:pBdr>
          <w:left w:val="single" w:sz="24" w:space="6" w:color="52B69A"/>
        </w:pBdr>
        <w:ind w:left="170"/>
      </w:pPr>
      <w:r>
        <w:t>The rating rests on the company's verified deployment of an LLM-based capture engine alongside a human-in-the-loop managed service that achieves a self-reported</w:t>
      </w:r>
      <w:r>
        <w:t xml:space="preserve"> 99.5% field accuracy rate. Based on primary research, the company's touchless processing rates can be estimated as highly accurate for most invoices, based on its 99.5% human validated accuracy rate for paper invoices and automated 3 way purchase order ma</w:t>
      </w:r>
      <w:r>
        <w:t>tching.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managed scanning and capturing service leverages Optical Character Recognition (OCR) validated and corrected by a dedicated team, delivering data capture accuracy as high as 99.5%.</w:t>
      </w:r>
    </w:p>
    <w:p w:rsidR="0071529F" w:rsidRDefault="005C3D9E">
      <w:pPr>
        <w:pStyle w:val="ListBullet"/>
        <w:spacing w:after="60"/>
        <w:ind w:left="510"/>
      </w:pPr>
      <w:r>
        <w:t xml:space="preserve">The company reports </w:t>
      </w:r>
      <w:r>
        <w:t>that its standard platform features a built-in, LLM-based invoice data capture engine (Dooap Capture) that provides self-learning, template-free extraction for multi-language invoices across email, PDF, and other formats.</w:t>
      </w:r>
    </w:p>
    <w:p w:rsidR="0071529F" w:rsidRDefault="005C3D9E">
      <w:pPr>
        <w:keepNext/>
        <w:pBdr>
          <w:left w:val="single" w:sz="24" w:space="6" w:color="52B69A"/>
        </w:pBdr>
        <w:spacing w:before="120" w:after="60"/>
        <w:ind w:left="170"/>
      </w:pPr>
      <w:r>
        <w:rPr>
          <w:b/>
          <w:color w:val="0F172A"/>
          <w:sz w:val="20"/>
        </w:rPr>
        <w:t>Workflow Automation &amp; Approval Rou</w:t>
      </w:r>
      <w:r>
        <w:rPr>
          <w:b/>
          <w:color w:val="0F172A"/>
          <w:sz w:val="20"/>
        </w:rPr>
        <w:t>ting — scored 87/100</w:t>
      </w:r>
    </w:p>
    <w:p w:rsidR="0071529F" w:rsidRDefault="005C3D9E">
      <w:pPr>
        <w:keepNext/>
        <w:pBdr>
          <w:left w:val="single" w:sz="24" w:space="6" w:color="52B69A"/>
        </w:pBdr>
        <w:ind w:left="170"/>
      </w:pPr>
      <w:r>
        <w:t>We verified that the company's capabilities rest on its purpose-built integration with Microsoft Dynamics 365 to run configurable multi-step workflows, automated non-PO thresholds, and mobile-native approval apps. Based on primary rese</w:t>
      </w:r>
      <w:r>
        <w:t>arch, the company's workflow engine efficiency can be estimated as high, offering touchless straight-through processing, based on its automated 3-way PO matching, real-time machine learning workflows, and SOC Type II attested processing integrity.</w:t>
      </w:r>
    </w:p>
    <w:p w:rsidR="0071529F" w:rsidRDefault="005C3D9E">
      <w:pPr>
        <w:keepNext/>
        <w:spacing w:after="40"/>
        <w:ind w:left="170"/>
      </w:pPr>
      <w:r>
        <w:rPr>
          <w:b/>
          <w:caps/>
          <w:color w:val="64748B"/>
          <w:sz w:val="15"/>
        </w:rPr>
        <w:t>Supporti</w:t>
      </w:r>
      <w:r>
        <w:rPr>
          <w:b/>
          <w:caps/>
          <w:color w:val="64748B"/>
          <w:sz w:val="15"/>
        </w:rPr>
        <w:t>ng points</w:t>
      </w:r>
    </w:p>
    <w:p w:rsidR="0071529F" w:rsidRDefault="005C3D9E">
      <w:pPr>
        <w:pStyle w:val="ListBullet"/>
        <w:spacing w:after="60"/>
        <w:ind w:left="510"/>
      </w:pPr>
      <w:r>
        <w:t>The company reports that Dooap Inc. provides a flexible workflow engine that integrates with Microsoft Dynamics 365 Finance position hierarchies and signing limits, automatically incorporating additional step-based approvers based on the total in</w:t>
      </w:r>
      <w:r>
        <w:t>voice amount.</w:t>
      </w:r>
    </w:p>
    <w:p w:rsidR="0071529F" w:rsidRDefault="005C3D9E">
      <w:pPr>
        <w:pStyle w:val="ListBullet"/>
        <w:spacing w:after="60"/>
        <w:ind w:left="510"/>
      </w:pPr>
      <w:r>
        <w:t>The company reports that Dooap Inc. supports configurable logic-based rules, validation controls per workflow step, threshold-based automatic approvals for non-purchase order invoices, a native mobile app for on-the-go swiped approvals, and f</w:t>
      </w:r>
      <w:r>
        <w:t>ull audit trails tracking automated actions executed by AI agents.</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The rating rests on the company's verified native integration badge and deep compatibility configuration within the Microsoft Dynamics ec</w:t>
      </w:r>
      <w:r>
        <w:t>osystem. Based on primary research, the company's native connectors for non-microsoft ERP platforms can be estimated as non-existent due to exclusive focus on Microsoft environments, based on its purpose-built architecture explicitly dedicated only to Micr</w:t>
      </w:r>
      <w:r>
        <w:t>osoft Dynamics 68 Finance.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accounts payable automation solution is purpose-built exclusively for Microsoft Dynamics 365 Finance and AX 2012, utilizing dedicated native APIs and real-time REST calls deployed vi</w:t>
      </w:r>
      <w:r>
        <w:t>a Microsoft Lifecycle Services (LCS).</w:t>
      </w:r>
    </w:p>
    <w:p w:rsidR="0071529F" w:rsidRDefault="005C3D9E">
      <w:pPr>
        <w:pStyle w:val="ListBullet"/>
        <w:spacing w:after="60"/>
        <w:ind w:left="510"/>
      </w:pPr>
      <w:r>
        <w:t>Independent verification confirms that Dooap Inc. achieved Microsoft's Certified Software Designation for Business Applications in the Microsoft AppSource marketplace.</w:t>
      </w:r>
    </w:p>
    <w:p w:rsidR="0071529F" w:rsidRDefault="005C3D9E">
      <w:pPr>
        <w:keepNext/>
        <w:pBdr>
          <w:left w:val="single" w:sz="24" w:space="6" w:color="52B69A"/>
        </w:pBdr>
        <w:spacing w:before="120" w:after="60"/>
        <w:ind w:left="170"/>
      </w:pPr>
      <w:r>
        <w:rPr>
          <w:b/>
          <w:color w:val="0F172A"/>
          <w:sz w:val="20"/>
        </w:rPr>
        <w:t>AI/ML &amp; Fraud Detection Capabilities — scored 93/1</w:t>
      </w:r>
      <w:r>
        <w:rPr>
          <w:b/>
          <w:color w:val="0F172A"/>
          <w:sz w:val="20"/>
        </w:rPr>
        <w:t>00</w:t>
      </w:r>
    </w:p>
    <w:p w:rsidR="0071529F" w:rsidRDefault="005C3D9E">
      <w:pPr>
        <w:keepNext/>
        <w:pBdr>
          <w:left w:val="single" w:sz="24" w:space="6" w:color="52B69A"/>
        </w:pBdr>
        <w:ind w:left="170"/>
      </w:pPr>
      <w:r>
        <w:t>The rating rests on the company's clear deployment of machine learning algorithms for predictive ledger coding, duplicate cross-entity validation rules, and its newly introduced agentic AI studio for automated workflows. Based on primary research, the c</w:t>
      </w:r>
      <w:r>
        <w:t>ompany's AI model accuracy metrics can be estimated as unmeasured by public benchmarks but governed by strict internal frameworks, based on its compliance with SOC 2 Type 2 certifications and strict Azure-hosted data governance.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w:t>
      </w:r>
      <w:r>
        <w:t>ny reports that its Dooap Capture service utilizes a combination of Optical Character Recognition (OCR) and large language models (LLMs) to automatically extract, classify, and interpret invoice data.</w:t>
      </w:r>
    </w:p>
    <w:p w:rsidR="0071529F" w:rsidRDefault="005C3D9E">
      <w:pPr>
        <w:pStyle w:val="ListBullet"/>
        <w:spacing w:after="60"/>
        <w:ind w:left="510"/>
      </w:pPr>
      <w:r>
        <w:t xml:space="preserve">The company reports that its Dooap Studio environment, </w:t>
      </w:r>
      <w:r>
        <w:t>announced in 2026, allows finance teams to deploy no-code agentic AI agents specifically configured for tasks such as GL coding, purchase-order matching, tax processing, and pattern-recognition fraud detection.</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w:t>
      </w:r>
      <w:r>
        <w:rPr>
          <w:b/>
          <w:color w:val="0F172A"/>
          <w:sz w:val="20"/>
        </w:rPr>
        <w:t>red 79/100</w:t>
      </w:r>
    </w:p>
    <w:p w:rsidR="0071529F" w:rsidRDefault="005C3D9E">
      <w:pPr>
        <w:keepNext/>
        <w:pBdr>
          <w:left w:val="single" w:sz="24" w:space="6" w:color="52B69A"/>
        </w:pBdr>
        <w:ind w:left="170"/>
      </w:pPr>
      <w:r>
        <w:t>The evaluation is based on confirmed third-party integrations with Pagero for global e-invoicing networks and Vertex for global tax compliance, alongside participation in standardized North American e-invoicing pilots. Based on primary research,</w:t>
      </w:r>
      <w:r>
        <w:t xml:space="preserve"> the company's platform performance and reliability can be estimated as highly reliable with scalable enterprise hosting, based on its cloud-native architecture built exclusively on Microsoft Azure and aligned with Dynamics update cadences.</w:t>
      </w:r>
    </w:p>
    <w:p w:rsidR="0071529F" w:rsidRDefault="005C3D9E">
      <w:pPr>
        <w:keepNext/>
        <w:spacing w:after="40"/>
        <w:ind w:left="170"/>
      </w:pPr>
      <w:r>
        <w:rPr>
          <w:b/>
          <w:caps/>
          <w:color w:val="64748B"/>
          <w:sz w:val="15"/>
        </w:rPr>
        <w:t>Supporting poin</w:t>
      </w:r>
      <w:r>
        <w:rPr>
          <w:b/>
          <w:caps/>
          <w:color w:val="64748B"/>
          <w:sz w:val="15"/>
        </w:rPr>
        <w:t>ts</w:t>
      </w:r>
    </w:p>
    <w:p w:rsidR="0071529F" w:rsidRDefault="005C3D9E">
      <w:pPr>
        <w:pStyle w:val="ListBullet"/>
        <w:spacing w:after="60"/>
        <w:ind w:left="510"/>
      </w:pPr>
      <w:r>
        <w:t>The company reports its accounts payable automation solution partners with Pagero to allow customers to connect to Pagero's global e-invoicing network for digital invoice flows.</w:t>
      </w:r>
    </w:p>
    <w:p w:rsidR="0071529F" w:rsidRDefault="005C3D9E">
      <w:pPr>
        <w:pStyle w:val="ListBullet"/>
        <w:spacing w:after="60"/>
        <w:ind w:left="510"/>
      </w:pPr>
      <w:r>
        <w:t xml:space="preserve">The company reports a technology integration with Vertex, Inc. to </w:t>
      </w:r>
      <w:r>
        <w:t>automatically manage indirect taxes within accounts payable workflows to maintain regulatory compliance.</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72/100</w:t>
      </w:r>
    </w:p>
    <w:p w:rsidR="0071529F" w:rsidRDefault="005C3D9E">
      <w:pPr>
        <w:keepNext/>
        <w:pBdr>
          <w:left w:val="single" w:sz="24" w:space="6" w:color="52B69A"/>
        </w:pBdr>
        <w:ind w:left="170"/>
      </w:pPr>
      <w:r>
        <w:t>The assessment rests on a well-documented portfolio of named corporate and public</w:t>
      </w:r>
      <w:r>
        <w:t xml:space="preserve"> sector case studies demonstrating deployment viability. Based on primary research, the company's commercial deal sizes can be estimated as scalable across diverse market segments, based on its standardized annual pricing plans ranging from 17,900 dollars </w:t>
      </w:r>
      <w:r>
        <w:t>to over 54,000 dollars.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numerous named enterprise customer wins and case studies, including Médecins Sans Frontières Switzerland, Sarastia, enVista, GenOn, Ifolor, Inlook, Luck Companies, Parkland County, and SA Recycl</w:t>
      </w:r>
      <w:r>
        <w:t>ing.</w:t>
      </w:r>
    </w:p>
    <w:p w:rsidR="0071529F" w:rsidRDefault="005C3D9E">
      <w:pPr>
        <w:pStyle w:val="ListBullet"/>
        <w:spacing w:after="60"/>
        <w:ind w:left="510"/>
      </w:pPr>
      <w:r>
        <w:t>The company reports that its platform processes 500,000 purchase invoices annually for its customer Sarastia, with expectations to grow to two to three million invoices as more municipal users connect.</w:t>
      </w:r>
    </w:p>
    <w:p w:rsidR="0071529F" w:rsidRDefault="005C3D9E">
      <w:pPr>
        <w:keepNext/>
        <w:pBdr>
          <w:left w:val="single" w:sz="24" w:space="6" w:color="52B69A"/>
        </w:pBdr>
        <w:spacing w:before="120" w:after="60"/>
        <w:ind w:left="170"/>
      </w:pPr>
      <w:r>
        <w:rPr>
          <w:b/>
          <w:color w:val="0F172A"/>
          <w:sz w:val="20"/>
        </w:rPr>
        <w:t>Revenue Growth &amp; Financial Health — scored 65/100</w:t>
      </w:r>
    </w:p>
    <w:p w:rsidR="0071529F" w:rsidRDefault="005C3D9E">
      <w:pPr>
        <w:keepNext/>
        <w:pBdr>
          <w:left w:val="single" w:sz="24" w:space="6" w:color="52B69A"/>
        </w:pBdr>
        <w:ind w:left="170"/>
      </w:pPr>
      <w:r>
        <w:t>Based on primary research, the company's financial growth trajectory can be estimated as growing steadily with predictable software revenue, based on its subscription business model offering predefined mid-market plans alongside custom enterprise contract</w:t>
      </w:r>
      <w:r>
        <w: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Geographic Coverage &amp; Partner Network — scored 77/100</w:t>
      </w:r>
    </w:p>
    <w:p w:rsidR="0071529F" w:rsidRDefault="005C3D9E">
      <w:pPr>
        <w:keepNext/>
        <w:pBdr>
          <w:left w:val="single" w:sz="24" w:space="6" w:color="52B69A"/>
        </w:pBdr>
        <w:ind w:left="170"/>
      </w:pPr>
      <w:r>
        <w:t>The rating rests on the company's confirmed operational presence in the US and Finland along with several targeted ISV and channel partnerships tied specifically to it</w:t>
      </w:r>
      <w:r>
        <w:t>s core Microsoft Dynamics market. Based on primary research, the company's geographic reach and reseller network scope can be estimated as limited to niche international expansion through targeted strategic alliances, based on its case studies highlighting</w:t>
      </w:r>
      <w:r>
        <w:t xml:space="preserve"> projects spanning dozens of countries alongside specific ecosystem partnerships.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strategic operational hubs across North America and Europe, with corporate offices located in Austin, Texas, and Helsinki, Finland.</w:t>
      </w:r>
    </w:p>
    <w:p w:rsidR="0071529F" w:rsidRDefault="005C3D9E">
      <w:pPr>
        <w:pStyle w:val="ListBullet"/>
        <w:spacing w:after="60"/>
        <w:ind w:left="510"/>
      </w:pPr>
      <w:r>
        <w:t xml:space="preserve">The </w:t>
      </w:r>
      <w:r>
        <w:t xml:space="preserve">company reports active technology and channel partnerships within the Microsoft Dynamics ecosystem, including integrations with Pagero for global e-invoicing networks, Vertex for tax compliance, AMC Banking for bank integrations, and participation in Seer </w:t>
      </w:r>
      <w:r>
        <w:t>365's GYDE365-ISV partner program.</w:t>
      </w:r>
    </w:p>
    <w:p w:rsidR="0071529F" w:rsidRDefault="005C3D9E">
      <w:pPr>
        <w:keepNext/>
        <w:pBdr>
          <w:left w:val="single" w:sz="24" w:space="6" w:color="52B69A"/>
        </w:pBdr>
        <w:spacing w:before="120" w:after="60"/>
        <w:ind w:left="170"/>
      </w:pPr>
      <w:r>
        <w:rPr>
          <w:b/>
          <w:color w:val="0F172A"/>
          <w:sz w:val="20"/>
        </w:rPr>
        <w:t>Market Share &amp; Competitive Positioning — scored 70/100</w:t>
      </w:r>
    </w:p>
    <w:p w:rsidR="0071529F" w:rsidRDefault="005C3D9E">
      <w:pPr>
        <w:keepNext/>
        <w:pBdr>
          <w:left w:val="single" w:sz="24" w:space="6" w:color="52B69A"/>
        </w:pBdr>
        <w:ind w:left="170"/>
      </w:pPr>
      <w:r>
        <w:t>Based on primary research, the company's competitive market position can be estimated as strong within the Microsoft Dynamics ecosystem, based on its official designa</w:t>
      </w:r>
      <w:r>
        <w:t>tion as a Microsoft certified and preferred accounts payable solution.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Funding &amp; Strategic Investments — scored 70/100</w:t>
      </w:r>
    </w:p>
    <w:p w:rsidR="0071529F" w:rsidRDefault="005C3D9E">
      <w:pPr>
        <w:keepNext/>
        <w:pBdr>
          <w:left w:val="single" w:sz="24" w:space="6" w:color="52B69A"/>
        </w:pBdr>
        <w:ind w:left="170"/>
      </w:pPr>
      <w:r>
        <w:t xml:space="preserve">Based on primary research, the company's total funding raised can be estimated as limited or strategic </w:t>
      </w:r>
      <w:r>
        <w:t>growth capital, based on its expansion into the agentic artificial intelligence space and partnership with Corpay.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pStyle w:val="Heading2"/>
        <w:pageBreakBefore/>
        <w:shd w:val="clear" w:color="auto" w:fill="002857"/>
        <w:spacing w:after="0"/>
      </w:pPr>
      <w:bookmarkStart w:id="22" w:name="_Toc242447166"/>
      <w:r>
        <w:lastRenderedPageBreak/>
        <w:t>Traild Software LLC</w:t>
      </w:r>
      <w:bookmarkEnd w:id="22"/>
    </w:p>
    <w:p w:rsidR="0071529F" w:rsidRDefault="005C3D9E">
      <w:pPr>
        <w:shd w:val="clear" w:color="auto" w:fill="002857"/>
        <w:spacing w:after="200"/>
      </w:pPr>
      <w:r>
        <w:rPr>
          <w:color w:val="CBD5E1"/>
          <w:sz w:val="18"/>
        </w:rPr>
        <w:t xml:space="preserve">Traild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73</w:t>
      </w:r>
      <w:r>
        <w:rPr>
          <w:color w:val="CBD5E1"/>
          <w:sz w:val="18"/>
        </w:rPr>
        <w:t xml:space="preserve">     Overall </w:t>
      </w:r>
      <w:r>
        <w:rPr>
          <w:b/>
          <w:color w:val="FFFFFF"/>
          <w:sz w:val="20"/>
        </w:rPr>
        <w:t>78</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w:t>
      </w:r>
      <w:r>
        <w:rPr>
          <w:b/>
          <w:color w:val="0F172A"/>
          <w:sz w:val="20"/>
        </w:rPr>
        <w:t>voice Capture &amp; Data Extraction Accuracy — scored 83/100</w:t>
      </w:r>
    </w:p>
    <w:p w:rsidR="0071529F" w:rsidRDefault="005C3D9E">
      <w:pPr>
        <w:keepNext/>
        <w:pBdr>
          <w:left w:val="single" w:sz="24" w:space="6" w:color="52B69A"/>
        </w:pBdr>
        <w:ind w:left="170"/>
      </w:pPr>
      <w:r>
        <w:t>The rating rests on the platform's documented capability to perform automated line-level data extraction across various document formats, including unstructured and handwritten invoices. Based on pri</w:t>
      </w:r>
      <w:r>
        <w:t>mary research, the company's percentage accuracy rates or touchless processing metrics can be estimated as high, based on its millions of supplier invoices analyzed across its network.</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data extraction engine u</w:t>
      </w:r>
      <w:r>
        <w:t>tilizes artificial intelligence, machine learning, and natural language processing to extract header and line-level data from standard, complex, and handwritten invoices.</w:t>
      </w:r>
    </w:p>
    <w:p w:rsidR="0071529F" w:rsidRDefault="005C3D9E">
      <w:pPr>
        <w:pStyle w:val="ListBullet"/>
        <w:spacing w:after="60"/>
        <w:ind w:left="510"/>
      </w:pPr>
      <w:r>
        <w:t>Customer reviews published on the Xero App Store indicate that the system provides ac</w:t>
      </w:r>
      <w:r>
        <w:t>curate line-level data capture and automated coding via its machine learning-enabled invoice capture.</w:t>
      </w:r>
    </w:p>
    <w:p w:rsidR="0071529F" w:rsidRDefault="005C3D9E">
      <w:pPr>
        <w:keepNext/>
        <w:pBdr>
          <w:left w:val="single" w:sz="24" w:space="6" w:color="52B69A"/>
        </w:pBdr>
        <w:spacing w:before="120" w:after="60"/>
        <w:ind w:left="170"/>
      </w:pPr>
      <w:r>
        <w:rPr>
          <w:b/>
          <w:color w:val="0F172A"/>
          <w:sz w:val="20"/>
        </w:rPr>
        <w:t>Workflow Automation &amp; Approval Routing — scored 86/100</w:t>
      </w:r>
    </w:p>
    <w:p w:rsidR="0071529F" w:rsidRDefault="005C3D9E">
      <w:pPr>
        <w:keepNext/>
        <w:pBdr>
          <w:left w:val="single" w:sz="24" w:space="6" w:color="52B69A"/>
        </w:pBdr>
        <w:ind w:left="170"/>
      </w:pPr>
      <w:r>
        <w:t>The evaluation rests on the company's detailed documentation of its customizable multi-level approv</w:t>
      </w:r>
      <w:r>
        <w:t>al hierarchies, automated routing criteria, and cross-device mobile accessibility. Based on primary research, the company's routing efficiency gains can be estimated as fast for most approvals, based on its customizable multi-level approval workflows and a</w:t>
      </w:r>
      <w:r>
        <w:t>utomated routing rules.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accounts payable invoice approval software provides customizable, multi-level approval paths based on rules defined by supplier, location, General Ledger (GL) code, invoice value, job c</w:t>
      </w:r>
      <w:r>
        <w:t>ode, department, and AI risk scoring.</w:t>
      </w:r>
    </w:p>
    <w:p w:rsidR="0071529F" w:rsidRDefault="005C3D9E">
      <w:pPr>
        <w:pStyle w:val="ListBullet"/>
        <w:spacing w:after="60"/>
        <w:ind w:left="510"/>
      </w:pPr>
      <w:r>
        <w:t>The company reports that its platform supports mobile approvals across devices (phones, iPads, laptops) and automatically fast-tracks low-risk or purchase-order-matched invoices while routing high-risk or flagged anoma</w:t>
      </w:r>
      <w:r>
        <w:t>lies to designated reviewers.</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 xml:space="preserve">The rating rests on the company's documented suite of pre-built, real-time, two-way integrations spanning notable systems like NetSuite, Acumatica, SAP Business One, and </w:t>
      </w:r>
      <w:r>
        <w:t>Xero. Based on primary research, the company's certification statuses for these integrations can be estimated as comprehensive and officially endorsed by partner marketplaces, based on its official endorsements on the Acumatica and SYSPRO price lists.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 custom-built, real-time, two-way sync integration with NetSuite that automatically synchronizes data such as vendor information, purchase orders, invoices, general ledger updates, and payments.</w:t>
      </w:r>
    </w:p>
    <w:p w:rsidR="0071529F" w:rsidRDefault="005C3D9E">
      <w:pPr>
        <w:pStyle w:val="ListBullet"/>
        <w:spacing w:after="60"/>
        <w:ind w:left="510"/>
      </w:pPr>
      <w:r>
        <w:t>The company reports pr</w:t>
      </w:r>
      <w:r>
        <w:t>e-built, automatic live synchronization capabilities for other ERP and accounting systems, including Acumatica, SYSPRO, IFS, SAP Business One, MYOB (such as MYOB Acumatica and MYOB Exo), and Xero.</w:t>
      </w:r>
    </w:p>
    <w:p w:rsidR="0071529F" w:rsidRDefault="005C3D9E">
      <w:pPr>
        <w:keepNext/>
        <w:pBdr>
          <w:left w:val="single" w:sz="24" w:space="6" w:color="52B69A"/>
        </w:pBdr>
        <w:spacing w:before="120" w:after="60"/>
        <w:ind w:left="170"/>
      </w:pPr>
      <w:r>
        <w:rPr>
          <w:b/>
          <w:color w:val="0F172A"/>
          <w:sz w:val="20"/>
        </w:rPr>
        <w:t>AI/ML &amp; Fraud Detection Capabilities — scored 88/100</w:t>
      </w:r>
    </w:p>
    <w:p w:rsidR="0071529F" w:rsidRDefault="005C3D9E">
      <w:pPr>
        <w:keepNext/>
        <w:pBdr>
          <w:left w:val="single" w:sz="24" w:space="6" w:color="52B69A"/>
        </w:pBdr>
        <w:ind w:left="170"/>
      </w:pPr>
      <w:r>
        <w:t>The ra</w:t>
      </w:r>
      <w:r>
        <w:t>ting rests on the vendor's detailed disclosures regarding its multi-layered AI/ML data capture accuracy rates and its distinct behavioral profiling features targeting AP fraud types. Based on primary research, the company's validation metrics or peer-revie</w:t>
      </w:r>
      <w:r>
        <w:t>wed benchmarks certifying the performance accuracy of its fraud detection can be estimated as strong, rooted in standard security compliance frameworks rather than external academic benchmarks, based on its SOC 2 and ISO 27,001 certifications.</w:t>
      </w:r>
    </w:p>
    <w:p w:rsidR="0071529F" w:rsidRDefault="005C3D9E">
      <w:pPr>
        <w:keepNext/>
        <w:spacing w:after="40"/>
        <w:ind w:left="170"/>
      </w:pPr>
      <w:r>
        <w:rPr>
          <w:b/>
          <w:caps/>
          <w:color w:val="64748B"/>
          <w:sz w:val="15"/>
        </w:rPr>
        <w:t>Supporting p</w:t>
      </w:r>
      <w:r>
        <w:rPr>
          <w:b/>
          <w:caps/>
          <w:color w:val="64748B"/>
          <w:sz w:val="15"/>
        </w:rPr>
        <w:t>oints</w:t>
      </w:r>
    </w:p>
    <w:p w:rsidR="0071529F" w:rsidRDefault="005C3D9E">
      <w:pPr>
        <w:pStyle w:val="ListBullet"/>
        <w:spacing w:after="60"/>
        <w:ind w:left="510"/>
      </w:pPr>
      <w:r>
        <w:t>The company reports utilizing proprietary OCR, NLP, and machine learning classification engines for intelligent invoice data capture and coding, achieving 90% accuracy on the first read of an invoice from a new vendor and 99% accuracy by the second r</w:t>
      </w:r>
      <w:r>
        <w:t>ead.</w:t>
      </w:r>
    </w:p>
    <w:p w:rsidR="0071529F" w:rsidRDefault="005C3D9E">
      <w:pPr>
        <w:pStyle w:val="ListBullet"/>
        <w:spacing w:after="60"/>
        <w:ind w:left="510"/>
      </w:pPr>
      <w:r>
        <w:t>The company reports offering always-on AI fraud checks and anomaly detection that profile digital invoice metadata for geolocation and PDF manipulation, flags sequential invoice numbers, identifies duplicate bills, and tracks 12-month historical suppl</w:t>
      </w:r>
      <w:r>
        <w:t>ier spend patterns.</w:t>
      </w:r>
    </w:p>
    <w:p w:rsidR="0071529F" w:rsidRDefault="005C3D9E">
      <w:pPr>
        <w:keepNext/>
        <w:pBdr>
          <w:left w:val="single" w:sz="24" w:space="6" w:color="52B69A"/>
        </w:pBdr>
        <w:spacing w:before="120" w:after="60"/>
        <w:ind w:left="170"/>
      </w:pPr>
      <w:r>
        <w:rPr>
          <w:b/>
          <w:color w:val="0F172A"/>
          <w:sz w:val="20"/>
        </w:rPr>
        <w:t>Scalability &amp; Global Compliance Support — scored 81/100</w:t>
      </w:r>
    </w:p>
    <w:p w:rsidR="0071529F" w:rsidRDefault="005C3D9E">
      <w:pPr>
        <w:keepNext/>
        <w:pBdr>
          <w:left w:val="single" w:sz="24" w:space="6" w:color="52B69A"/>
        </w:pBdr>
        <w:ind w:left="170"/>
      </w:pPr>
      <w:r>
        <w:t>The rating rests on the company's documented e-invoicing compliance network integrations (such as Peppol) and cross-border multi-currency payment capabilities. Based on primary res</w:t>
      </w:r>
      <w:r>
        <w:t xml:space="preserve">earch, the company's transaction volume </w:t>
      </w:r>
      <w:r>
        <w:lastRenderedPageBreak/>
        <w:t>scalability benchmarks can be estimated as strong, in line with leading vendors, based on its cloud-based architecture designed to scale with growing invoice volumes securely.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w:t>
      </w:r>
      <w:r>
        <w:t>at its electronic invoicing platform connects to global networks including Peppol and local tax platforms such as KSeF, SDI, Chorus Pro, and InvoiceNow across Europe, the Americas, Asia, and Oceania to manage compliant structured e-invoices across accounts</w:t>
      </w:r>
      <w:r>
        <w:t xml:space="preserve"> payable and receivable.</w:t>
      </w:r>
    </w:p>
    <w:p w:rsidR="0071529F" w:rsidRDefault="005C3D9E">
      <w:pPr>
        <w:pStyle w:val="ListBullet"/>
        <w:spacing w:after="60"/>
        <w:ind w:left="510"/>
      </w:pPr>
      <w:r>
        <w:t xml:space="preserve">The company reports that it supports multi-currency transactions for global operations, maintaining accurate conversion rates and international accounting compliance, alongside supporting international and domestic payments across </w:t>
      </w:r>
      <w:r>
        <w:t>150 countries and 60 currencies via Traild Pay.</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67/100</w:t>
      </w:r>
    </w:p>
    <w:p w:rsidR="0071529F" w:rsidRDefault="005C3D9E">
      <w:pPr>
        <w:keepNext/>
        <w:pBdr>
          <w:left w:val="single" w:sz="24" w:space="6" w:color="52B69A"/>
        </w:pBdr>
        <w:ind w:left="170"/>
      </w:pPr>
      <w:r>
        <w:t>The rating rests on verified, multi-industry mid-market and enterprise customer logos using the company's platform alongside explicit tran</w:t>
      </w:r>
      <w:r>
        <w:t>saction volumes reported directly by the firm. Based on primary research, the company's average contract values for its software engagements can be estimated as premium, tailored for mid-market and enterprise businesses, based on its target market of mid-m</w:t>
      </w:r>
      <w:r>
        <w:t>arket and enterprise operations running complex ERP systems.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accounts payable automation software enables clients to process hundreds of millions of dollars of payments each day, and independent database analysis i</w:t>
      </w:r>
      <w:r>
        <w:t>ndicates a tracked customer count of 61 verified customer records using its Traild AP application.</w:t>
      </w:r>
    </w:p>
    <w:p w:rsidR="0071529F" w:rsidRDefault="005C3D9E">
      <w:pPr>
        <w:pStyle w:val="ListBullet"/>
        <w:spacing w:after="60"/>
        <w:ind w:left="510"/>
      </w:pPr>
      <w:r>
        <w:t>Verified enterprise customer adoptions of the Traild AP solution span multiple industries and include Charger Logistics (2,500 employees, $450 million revenu</w:t>
      </w:r>
      <w:r>
        <w:t>e), Tindall (1,000 employees, $300 million revenue), Family Doctor ($268 million revenue), and Sono Bello ($250 million revenue).</w:t>
      </w:r>
    </w:p>
    <w:p w:rsidR="0071529F" w:rsidRDefault="005C3D9E">
      <w:pPr>
        <w:keepNext/>
        <w:pBdr>
          <w:left w:val="single" w:sz="24" w:space="6" w:color="52B69A"/>
        </w:pBdr>
        <w:spacing w:before="120" w:after="60"/>
        <w:ind w:left="170"/>
      </w:pPr>
      <w:r>
        <w:rPr>
          <w:b/>
          <w:color w:val="0F172A"/>
          <w:sz w:val="20"/>
        </w:rPr>
        <w:t>Revenue Growth &amp; Financial Health — scored 65/100</w:t>
      </w:r>
    </w:p>
    <w:p w:rsidR="0071529F" w:rsidRDefault="005C3D9E">
      <w:pPr>
        <w:keepNext/>
        <w:pBdr>
          <w:left w:val="single" w:sz="24" w:space="6" w:color="52B69A"/>
        </w:pBdr>
        <w:ind w:left="170"/>
      </w:pPr>
      <w:r>
        <w:t xml:space="preserve">The assessment rests on the confirmed receipt of Australian export grant </w:t>
      </w:r>
      <w:r>
        <w:t>funding as the sole available financial health indicator. Based on primary research, the company's annual recurring revenue can be estimated as growing steadily, based on its multi-region footprint expanding across North America, APAC, and EMEA.</w:t>
      </w:r>
    </w:p>
    <w:p w:rsidR="0071529F" w:rsidRDefault="005C3D9E">
      <w:pPr>
        <w:keepNext/>
        <w:spacing w:after="40"/>
        <w:ind w:left="170"/>
      </w:pPr>
      <w:r>
        <w:rPr>
          <w:b/>
          <w:caps/>
          <w:color w:val="64748B"/>
          <w:sz w:val="15"/>
        </w:rPr>
        <w:t>Supporting</w:t>
      </w:r>
      <w:r>
        <w:rPr>
          <w:b/>
          <w:caps/>
          <w:color w:val="64748B"/>
          <w:sz w:val="15"/>
        </w:rPr>
        <w:t xml:space="preserve"> points</w:t>
      </w:r>
    </w:p>
    <w:p w:rsidR="0071529F" w:rsidRDefault="005C3D9E">
      <w:pPr>
        <w:pStyle w:val="ListBullet"/>
        <w:spacing w:after="60"/>
        <w:ind w:left="510"/>
      </w:pPr>
      <w:r>
        <w:t>The company reports that it received grant funding from the Australian Government through Austrade's Export Market Development Grant (EMDG) program.</w:t>
      </w:r>
    </w:p>
    <w:p w:rsidR="0071529F" w:rsidRDefault="005C3D9E">
      <w:pPr>
        <w:keepNext/>
        <w:pBdr>
          <w:left w:val="single" w:sz="24" w:space="6" w:color="52B69A"/>
        </w:pBdr>
        <w:spacing w:before="120" w:after="60"/>
        <w:ind w:left="170"/>
      </w:pPr>
      <w:r>
        <w:rPr>
          <w:b/>
          <w:color w:val="0F172A"/>
          <w:sz w:val="20"/>
        </w:rPr>
        <w:t>Geographic Coverage &amp; Partner Network — scored 82/100</w:t>
      </w:r>
    </w:p>
    <w:p w:rsidR="0071529F" w:rsidRDefault="005C3D9E">
      <w:pPr>
        <w:keepNext/>
        <w:pBdr>
          <w:left w:val="single" w:sz="24" w:space="6" w:color="52B69A"/>
        </w:pBdr>
        <w:ind w:left="170"/>
      </w:pPr>
      <w:r>
        <w:t>The rating rests on the company's established</w:t>
      </w:r>
      <w:r>
        <w:t xml:space="preserve"> international office footprint and strategic integrations within major enterprise resource planning software networks. Based on primary research, the company's global resellers and international customer footprint can be estimated as growing steadily thro</w:t>
      </w:r>
      <w:r>
        <w:t>ugh an expanding channel network, based on its strategic reseller ecosystem partnership with Pine Services Group and multi-region operations.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businesses across North America, APAC, and EMEA, maintaining corpora</w:t>
      </w:r>
      <w:r>
        <w:t>te offices in Denver, London, Tel Aviv, Melbourne, and Sydney.</w:t>
      </w:r>
    </w:p>
    <w:p w:rsidR="0071529F" w:rsidRDefault="005C3D9E">
      <w:pPr>
        <w:pStyle w:val="ListBullet"/>
        <w:spacing w:after="60"/>
        <w:ind w:left="510"/>
      </w:pPr>
      <w:r>
        <w:t>The company joined the Global IFS ISV Partner Program in August 2025 and established a strategic channel partnership with Pine Services Group in February 2026 to expand its ERP value-added rese</w:t>
      </w:r>
      <w:r>
        <w:t>ller network.</w:t>
      </w:r>
    </w:p>
    <w:p w:rsidR="0071529F" w:rsidRDefault="005C3D9E">
      <w:pPr>
        <w:keepNext/>
        <w:pBdr>
          <w:left w:val="single" w:sz="24" w:space="6" w:color="52B69A"/>
        </w:pBdr>
        <w:spacing w:before="120" w:after="60"/>
        <w:ind w:left="170"/>
      </w:pPr>
      <w:r>
        <w:rPr>
          <w:b/>
          <w:color w:val="0F172A"/>
          <w:sz w:val="20"/>
        </w:rPr>
        <w:t>Market Share &amp; Competitive Positioning — scored 67/100</w:t>
      </w:r>
    </w:p>
    <w:p w:rsidR="0071529F" w:rsidRDefault="005C3D9E">
      <w:pPr>
        <w:keepNext/>
        <w:pBdr>
          <w:left w:val="single" w:sz="24" w:space="6" w:color="52B69A"/>
        </w:pBdr>
        <w:ind w:left="170"/>
      </w:pPr>
      <w:r>
        <w:t>Based on primary research, the company's market share and competitive win rates can be estimated as high for enterprise and complex ERP environments, based on its certified premier market</w:t>
      </w:r>
      <w:r>
        <w:t>place status with IFS and deep core integrations.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85/100</w:t>
      </w:r>
    </w:p>
    <w:p w:rsidR="0071529F" w:rsidRDefault="005C3D9E">
      <w:pPr>
        <w:keepNext/>
        <w:pBdr>
          <w:left w:val="single" w:sz="24" w:space="6" w:color="52B69A"/>
        </w:pBdr>
        <w:ind w:left="170"/>
      </w:pPr>
      <w:r>
        <w:t>We verified that the company has secured institutional venture backing and government grant funding to support its growth in t</w:t>
      </w:r>
      <w:r>
        <w:t>he automated finance sector. Based on primary research, the company's funding round capital amounts and strategic investments can be estimated as modest and heavily reliant on commercial cash flows, based on its reception of an Australian government export</w:t>
      </w:r>
      <w:r>
        <w:t xml:space="preserve"> market development grant.</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An independent media report in September 2025 confirmed that venture capital firm Square Peg Capital backed Traild Software LLC's Series A funding round.</w:t>
      </w:r>
    </w:p>
    <w:p w:rsidR="0071529F" w:rsidRDefault="005C3D9E">
      <w:pPr>
        <w:pStyle w:val="ListBullet"/>
        <w:spacing w:after="60"/>
        <w:ind w:left="510"/>
      </w:pPr>
      <w:r>
        <w:t>The company reports that it received grant funding from t</w:t>
      </w:r>
      <w:r>
        <w:t>he Australian Government through Austrade's Export Market Development (EMDG) program.</w:t>
      </w:r>
    </w:p>
    <w:p w:rsidR="0071529F" w:rsidRDefault="005C3D9E">
      <w:pPr>
        <w:pStyle w:val="Heading2"/>
        <w:pageBreakBefore/>
        <w:shd w:val="clear" w:color="auto" w:fill="002857"/>
        <w:spacing w:after="0"/>
      </w:pPr>
      <w:bookmarkStart w:id="23" w:name="_Toc242447167"/>
      <w:r>
        <w:lastRenderedPageBreak/>
        <w:t>Payflows</w:t>
      </w:r>
      <w:bookmarkEnd w:id="23"/>
    </w:p>
    <w:p w:rsidR="0071529F" w:rsidRDefault="005C3D9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76</w:t>
      </w:r>
      <w:r>
        <w:rPr>
          <w:color w:val="CBD5E1"/>
          <w:sz w:val="18"/>
        </w:rPr>
        <w:t xml:space="preserve">     Overall </w:t>
      </w:r>
      <w:r>
        <w:rPr>
          <w:b/>
          <w:color w:val="FFFFFF"/>
          <w:sz w:val="20"/>
        </w:rPr>
        <w:t>78</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82/100</w:t>
      </w:r>
    </w:p>
    <w:p w:rsidR="0071529F" w:rsidRDefault="005C3D9E">
      <w:pPr>
        <w:keepNext/>
        <w:pBdr>
          <w:left w:val="single" w:sz="24" w:space="6" w:color="52B69A"/>
        </w:pBdr>
        <w:ind w:left="170"/>
      </w:pPr>
      <w:r>
        <w:t xml:space="preserve">The rating rests on the </w:t>
      </w:r>
      <w:r>
        <w:t>company's marketing claims regarding its use of AI-driven OCR to pull data and reduce processing times. Based on primary research, the company's field-level extraction accuracy rates can be estimated as high, in line with leading vendors, based on its auto</w:t>
      </w:r>
      <w:r>
        <w:t>mated invoice processing with advanced artificial intelligence and optical character recognition technology.</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procurement and accounts payable automation module utilizes advanced AI and optical character recogn</w:t>
      </w:r>
      <w:r>
        <w:t>ition (OCR) technology to automatically extract, validate, and process invoice data with minimal human intervention.</w:t>
      </w:r>
    </w:p>
    <w:p w:rsidR="0071529F" w:rsidRDefault="005C3D9E">
      <w:pPr>
        <w:pStyle w:val="ListBullet"/>
        <w:spacing w:after="60"/>
        <w:ind w:left="510"/>
      </w:pPr>
      <w:r>
        <w:t>The company reports that its AI and OCR document extraction workflow reduces overall invoice processing time by up to 80%.</w:t>
      </w:r>
    </w:p>
    <w:p w:rsidR="0071529F" w:rsidRDefault="005C3D9E">
      <w:pPr>
        <w:keepNext/>
        <w:pBdr>
          <w:left w:val="single" w:sz="24" w:space="6" w:color="52B69A"/>
        </w:pBdr>
        <w:spacing w:before="120" w:after="60"/>
        <w:ind w:left="170"/>
      </w:pPr>
      <w:r>
        <w:rPr>
          <w:b/>
          <w:color w:val="0F172A"/>
          <w:sz w:val="20"/>
        </w:rPr>
        <w:t>Workflow Automat</w:t>
      </w:r>
      <w:r>
        <w:rPr>
          <w:b/>
          <w:color w:val="0F172A"/>
          <w:sz w:val="20"/>
        </w:rPr>
        <w:t>ion &amp; Approval Routing — scored 84/100</w:t>
      </w:r>
    </w:p>
    <w:p w:rsidR="0071529F" w:rsidRDefault="005C3D9E">
      <w:pPr>
        <w:keepNext/>
        <w:pBdr>
          <w:left w:val="single" w:sz="24" w:space="6" w:color="52B69A"/>
        </w:pBdr>
        <w:ind w:left="170"/>
      </w:pPr>
      <w:r>
        <w:t>The rating rests on the company's self-reported capability to design customizable invoice routing paths for approvals and exceptions alongside no-code conditional logic configuration. Based on primary research, the co</w:t>
      </w:r>
      <w:r>
        <w:t>mpany's mobile approval and integration depth can be estimated as deep across communication and major ERP platforms, based on its Slack and Teams connectivity and SAP integration.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supports custom invo</w:t>
      </w:r>
      <w:r>
        <w:t>ice routing paths that adapt to a business's needs—including approvals, exception-handling, or compliance checks—and can trigger approval routing for any invoice above a set threshold.</w:t>
      </w:r>
    </w:p>
    <w:p w:rsidR="0071529F" w:rsidRDefault="005C3D9E">
      <w:pPr>
        <w:pStyle w:val="ListBullet"/>
        <w:spacing w:after="60"/>
        <w:ind w:left="510"/>
      </w:pPr>
      <w:r>
        <w:t>The company reports that its "Vera" module lets finance teams configure</w:t>
      </w:r>
      <w:r>
        <w:t xml:space="preserve"> onboarding and approval workflows with review steps, conditional logic, and rule adjustments without code as policies evolve.</w:t>
      </w:r>
    </w:p>
    <w:p w:rsidR="0071529F" w:rsidRDefault="005C3D9E">
      <w:pPr>
        <w:keepNext/>
        <w:pBdr>
          <w:left w:val="single" w:sz="24" w:space="6" w:color="52B69A"/>
        </w:pBdr>
        <w:spacing w:before="120" w:after="60"/>
        <w:ind w:left="170"/>
      </w:pPr>
      <w:r>
        <w:rPr>
          <w:b/>
          <w:color w:val="0F172A"/>
          <w:sz w:val="20"/>
        </w:rPr>
        <w:t>ERP &amp; Accounting System Integration — scored 75/100</w:t>
      </w:r>
    </w:p>
    <w:p w:rsidR="0071529F" w:rsidRDefault="005C3D9E">
      <w:pPr>
        <w:keepNext/>
        <w:pBdr>
          <w:left w:val="single" w:sz="24" w:space="6" w:color="52B69A"/>
        </w:pBdr>
        <w:ind w:left="170"/>
      </w:pPr>
      <w:r>
        <w:t>The rating rests on the platform's documented native connectors and direct AP</w:t>
      </w:r>
      <w:r>
        <w:t xml:space="preserve">I/protocol synchronization capabilities for major mid-market and enterprise ERP platforms. Based on primary research, the company's formal developer certifications or publicly auditable integration badges for all listed platforms can be estimated as broad </w:t>
      </w:r>
      <w:r>
        <w:t>across the major ERP platforms, based on its 25 million euro series A funding round and expansion into a modular finance command centre that orchestrates data across legacy enterprise resource planning tools.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pre-built</w:t>
      </w:r>
      <w:r>
        <w:t xml:space="preserve"> ERP and accounting connectors for major systems including NetSuite, Microsoft Dynamics, Oracle, SAP (S/4HANA, ECC, Business One, ByDesign), Workday, and Microsoft Business Central.</w:t>
      </w:r>
    </w:p>
    <w:p w:rsidR="0071529F" w:rsidRDefault="005C3D9E">
      <w:pPr>
        <w:keepNext/>
        <w:pBdr>
          <w:left w:val="single" w:sz="24" w:space="6" w:color="52B69A"/>
        </w:pBdr>
        <w:spacing w:before="120" w:after="60"/>
        <w:ind w:left="170"/>
      </w:pPr>
      <w:r>
        <w:rPr>
          <w:b/>
          <w:color w:val="0F172A"/>
          <w:sz w:val="20"/>
        </w:rPr>
        <w:t>AI/ML &amp; Fraud Detection Capabilities — scored 85/100</w:t>
      </w:r>
    </w:p>
    <w:p w:rsidR="0071529F" w:rsidRDefault="005C3D9E">
      <w:pPr>
        <w:keepNext/>
        <w:pBdr>
          <w:left w:val="single" w:sz="24" w:space="6" w:color="52B69A"/>
        </w:pBdr>
        <w:ind w:left="170"/>
      </w:pPr>
      <w:r>
        <w:t>The rating rests on t</w:t>
      </w:r>
      <w:r>
        <w:t xml:space="preserve">he company's self-reported capabilities for its Athena AI module to flag fraud and duplicate invoices, alongside its AI Risk Detector for anomalies. Based on primary research, the company's model accuracy rates can be estimated as fast for most approvals, </w:t>
      </w:r>
      <w:r>
        <w:t>based on its autonomous AI accountant Athena which independently processes a vast majority of complex invoices.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autonomous AI accountant module, Athena, catches duplicates and fraud during invoice processing w</w:t>
      </w:r>
      <w:r>
        <w:t>hile autonomously processing 95% of invoices from day one.</w:t>
      </w:r>
    </w:p>
    <w:p w:rsidR="0071529F" w:rsidRDefault="005C3D9E">
      <w:pPr>
        <w:pStyle w:val="ListBullet"/>
        <w:spacing w:after="60"/>
        <w:ind w:left="510"/>
      </w:pPr>
      <w:r>
        <w:t>The company reports that its software incorporates an "AI Risk Detector" alert system that flags potential liquidity traps and anomalies by analyzing historical and real-time accounts receivable an</w:t>
      </w:r>
      <w:r>
        <w:t>d payable data.</w:t>
      </w:r>
    </w:p>
    <w:p w:rsidR="0071529F" w:rsidRDefault="005C3D9E">
      <w:pPr>
        <w:keepNext/>
        <w:pBdr>
          <w:left w:val="single" w:sz="24" w:space="6" w:color="52B69A"/>
        </w:pBdr>
        <w:spacing w:before="120" w:after="60"/>
        <w:ind w:left="170"/>
      </w:pPr>
      <w:r>
        <w:rPr>
          <w:b/>
          <w:color w:val="0F172A"/>
          <w:sz w:val="20"/>
        </w:rPr>
        <w:t>Scalability &amp; Global Compliance Support — scored 78/100</w:t>
      </w:r>
    </w:p>
    <w:p w:rsidR="0071529F" w:rsidRDefault="005C3D9E">
      <w:pPr>
        <w:keepNext/>
        <w:pBdr>
          <w:left w:val="single" w:sz="24" w:space="6" w:color="52B69A"/>
        </w:pBdr>
        <w:ind w:left="170"/>
      </w:pPr>
      <w:r>
        <w:t xml:space="preserve">The evaluation rests on the platform's self-reported electronic invoice data validation for Peppol BIS compliance and its capability to manage high-volume multi-entity treasury </w:t>
      </w:r>
      <w:r>
        <w:t>volumes. Based on primary research, the company's uptime service level agreements can be estimated as strong, in line with leading vendors, based on its SOC 2 Type 2 accreditation, continuous monitoring, and secure software-as-a-service infrastructure.</w:t>
      </w:r>
    </w:p>
    <w:p w:rsidR="0071529F" w:rsidRDefault="005C3D9E">
      <w:pPr>
        <w:keepNext/>
        <w:spacing w:after="40"/>
        <w:ind w:left="170"/>
      </w:pPr>
      <w:r>
        <w:rPr>
          <w:b/>
          <w:caps/>
          <w:color w:val="64748B"/>
          <w:sz w:val="15"/>
        </w:rPr>
        <w:t>Sup</w:t>
      </w:r>
      <w:r>
        <w:rPr>
          <w:b/>
          <w:caps/>
          <w:color w:val="64748B"/>
          <w:sz w:val="15"/>
        </w:rPr>
        <w:t>porting points</w:t>
      </w:r>
    </w:p>
    <w:p w:rsidR="0071529F" w:rsidRDefault="005C3D9E">
      <w:pPr>
        <w:pStyle w:val="ListBullet"/>
        <w:spacing w:after="60"/>
        <w:ind w:left="510"/>
      </w:pPr>
      <w:r>
        <w:t>The company reports that its platform helps enterprises auto-map intake formats to European standards like EN 16931 and Peppol BIS, providing pre-dispatch validation checks for structural schemas and country-specific rules.</w:t>
      </w:r>
    </w:p>
    <w:p w:rsidR="0071529F" w:rsidRDefault="005C3D9E">
      <w:pPr>
        <w:pStyle w:val="ListBullet"/>
        <w:spacing w:after="60"/>
        <w:ind w:left="510"/>
      </w:pPr>
      <w:r>
        <w:lastRenderedPageBreak/>
        <w:t>The company repor</w:t>
      </w:r>
      <w:r>
        <w:t>ts that its automated cash flow and treasury sub-ledger module manages $20 billion in annualized payment volumes.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67/100</w:t>
      </w:r>
    </w:p>
    <w:p w:rsidR="0071529F" w:rsidRDefault="005C3D9E">
      <w:pPr>
        <w:keepNext/>
        <w:pBdr>
          <w:left w:val="single" w:sz="24" w:space="6" w:color="52B69A"/>
        </w:pBdr>
        <w:ind w:left="170"/>
      </w:pPr>
      <w:r>
        <w:t xml:space="preserve">The rating rests on self-reported validation of a mid-market enterprise </w:t>
      </w:r>
      <w:r>
        <w:t>implementation. Based on primary research, the company's total enterprise customer count can be estimated as growing steadily, based on its expanding list of scale-up clients like Spendesk, Swile, Ornikar, and Podimo.</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w:t>
      </w:r>
      <w:r>
        <w:t>that its platform handles procure-to-pay automation for Feedzai, a financial RiskOps platform, processing more than 1,000 invoices monthly.</w:t>
      </w:r>
    </w:p>
    <w:p w:rsidR="0071529F" w:rsidRDefault="005C3D9E">
      <w:pPr>
        <w:keepNext/>
        <w:pBdr>
          <w:left w:val="single" w:sz="24" w:space="6" w:color="52B69A"/>
        </w:pBdr>
        <w:spacing w:before="120" w:after="60"/>
        <w:ind w:left="170"/>
      </w:pPr>
      <w:r>
        <w:rPr>
          <w:b/>
          <w:color w:val="0F172A"/>
          <w:sz w:val="20"/>
        </w:rPr>
        <w:t>Revenue Growth &amp; Financial Health — scored 79/100</w:t>
      </w:r>
    </w:p>
    <w:p w:rsidR="0071529F" w:rsidRDefault="005C3D9E">
      <w:pPr>
        <w:keepNext/>
        <w:pBdr>
          <w:left w:val="single" w:sz="24" w:space="6" w:color="52B69A"/>
        </w:pBdr>
        <w:ind w:left="170"/>
      </w:pPr>
      <w:r>
        <w:t>The rating rests on the company's confirmed venture backing, which</w:t>
      </w:r>
      <w:r>
        <w:t xml:space="preserve"> includes a €25 million Series A round in 2024 and an earlier $5.5 million seed round. Based on primary research, the company's annual recurring revenue can be estimated as strong, backed by tier-one venture capital firms, based on its 25 million Euro Seri</w:t>
      </w:r>
      <w:r>
        <w:t>es A funding round led by Balderton Capital.</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In April 2024, Payflows announced it raised €25 million ($26 million) in a Series A funding round led by Balderton Capital, with participation from Headline, Ribbit Capital, 20VC, and family of</w:t>
      </w:r>
      <w:r>
        <w:t>fices.</w:t>
      </w:r>
    </w:p>
    <w:p w:rsidR="0071529F" w:rsidRDefault="005C3D9E">
      <w:pPr>
        <w:pStyle w:val="ListBullet"/>
        <w:spacing w:after="60"/>
        <w:ind w:left="510"/>
      </w:pPr>
      <w:r>
        <w:t>In October 2022, Payflows raised $5.5 million in seed funding co-led by Headline and Ribbit Capital while operating in stealth mode.</w:t>
      </w:r>
    </w:p>
    <w:p w:rsidR="0071529F" w:rsidRDefault="005C3D9E">
      <w:pPr>
        <w:keepNext/>
        <w:pBdr>
          <w:left w:val="single" w:sz="24" w:space="6" w:color="52B69A"/>
        </w:pBdr>
        <w:spacing w:before="120" w:after="60"/>
        <w:ind w:left="170"/>
      </w:pPr>
      <w:r>
        <w:rPr>
          <w:b/>
          <w:color w:val="0F172A"/>
          <w:sz w:val="20"/>
        </w:rPr>
        <w:t>Geographic Coverage &amp; Partner Network — scored 77/100</w:t>
      </w:r>
    </w:p>
    <w:p w:rsidR="0071529F" w:rsidRDefault="005C3D9E">
      <w:pPr>
        <w:keepNext/>
        <w:pBdr>
          <w:left w:val="single" w:sz="24" w:space="6" w:color="52B69A"/>
        </w:pBdr>
        <w:ind w:left="170"/>
      </w:pPr>
      <w:r>
        <w:t>We verified that the company maintains an active physical pres</w:t>
      </w:r>
      <w:r>
        <w:t xml:space="preserve">ence in France and the United States, supported by integrated connections to multi-national banking systems and enterprise ERP software. Based on primary research, the company's global reseller and country presence can be estimated as growing across major </w:t>
      </w:r>
      <w:r>
        <w:t>European markets, based on its fast-growing enterprise customer base across Europe.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physical operational footprints with office locations established in Paris, France and New York, USA.</w:t>
      </w:r>
    </w:p>
    <w:p w:rsidR="0071529F" w:rsidRDefault="005C3D9E">
      <w:pPr>
        <w:pStyle w:val="ListBullet"/>
        <w:spacing w:after="60"/>
        <w:ind w:left="510"/>
      </w:pPr>
      <w:r>
        <w:t>The company reports direct integ</w:t>
      </w:r>
      <w:r>
        <w:t>rations with over 60 global banking institutions, including Citibank, Goldman Sachs, J.P. Morgan, and HSBC.</w:t>
      </w:r>
    </w:p>
    <w:p w:rsidR="0071529F" w:rsidRDefault="005C3D9E">
      <w:pPr>
        <w:keepNext/>
        <w:pBdr>
          <w:left w:val="single" w:sz="24" w:space="6" w:color="52B69A"/>
        </w:pBdr>
        <w:spacing w:before="120" w:after="60"/>
        <w:ind w:left="170"/>
      </w:pPr>
      <w:r>
        <w:rPr>
          <w:b/>
          <w:color w:val="0F172A"/>
          <w:sz w:val="20"/>
        </w:rPr>
        <w:t>Market Share &amp; Competitive Positioning — scored 67/100</w:t>
      </w:r>
    </w:p>
    <w:p w:rsidR="0071529F" w:rsidRDefault="005C3D9E">
      <w:pPr>
        <w:keepNext/>
        <w:pBdr>
          <w:left w:val="single" w:sz="24" w:space="6" w:color="52B69A"/>
        </w:pBdr>
        <w:ind w:left="170"/>
      </w:pPr>
      <w:r>
        <w:t>We verified that no independent rankings or third-party estimates exist to confirm the compan</w:t>
      </w:r>
      <w:r>
        <w:t xml:space="preserve">y's relative position in the accounts payable automation space. Based on primary research, the company's market share or competitive win rates can be estimated as growing steadily, based on its recent series a funding round and adoption by forward-looking </w:t>
      </w:r>
      <w:r>
        <w:t>european finance teams.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Funding &amp; Strategic Investments — scored 89/100</w:t>
      </w:r>
    </w:p>
    <w:p w:rsidR="0071529F" w:rsidRDefault="005C3D9E">
      <w:pPr>
        <w:keepNext/>
        <w:pBdr>
          <w:left w:val="single" w:sz="24" w:space="6" w:color="52B69A"/>
        </w:pBdr>
        <w:ind w:left="170"/>
      </w:pPr>
      <w:r>
        <w:t xml:space="preserve">The assessment rests on the company's successful completion of institutional seed and Series A funding rounds to back its finance automation platform. </w:t>
      </w:r>
      <w:r>
        <w:t>Based on primary research, the company's post-money valuations or strategic acquisitions can be estimated as strong, in line with leading vendors, based on its 25 million euro funding round backed by balderton capital.</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Payflows raised €25</w:t>
      </w:r>
      <w:r>
        <w:t xml:space="preserve"> million in a Series A funding round announced on April 22, 2024, led by Balderton Capital with participation from Headline, Ribbit Capital, 20VC, and the family offices of the Plaid founder and Galeries Lafayette.</w:t>
      </w:r>
    </w:p>
    <w:p w:rsidR="0071529F" w:rsidRDefault="005C3D9E">
      <w:pPr>
        <w:pStyle w:val="ListBullet"/>
        <w:spacing w:after="60"/>
        <w:ind w:left="510"/>
      </w:pPr>
      <w:r>
        <w:t>Payflows raised $5.5 million in a seed fu</w:t>
      </w:r>
      <w:r>
        <w:t>nding round in October 2022 co-led by Ribbit Capital and Headline, as reported by Business Insider.</w:t>
      </w:r>
    </w:p>
    <w:p w:rsidR="0071529F" w:rsidRDefault="005C3D9E">
      <w:pPr>
        <w:pStyle w:val="Heading2"/>
        <w:pageBreakBefore/>
        <w:shd w:val="clear" w:color="auto" w:fill="002857"/>
        <w:spacing w:after="0"/>
      </w:pPr>
      <w:bookmarkStart w:id="24" w:name="_Toc242447168"/>
      <w:r>
        <w:lastRenderedPageBreak/>
        <w:t>Peakflo</w:t>
      </w:r>
      <w:bookmarkEnd w:id="24"/>
    </w:p>
    <w:p w:rsidR="0071529F" w:rsidRDefault="005C3D9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74</w:t>
      </w:r>
      <w:r>
        <w:rPr>
          <w:color w:val="CBD5E1"/>
          <w:sz w:val="18"/>
        </w:rPr>
        <w:t xml:space="preserve">     Overall </w:t>
      </w:r>
      <w:r>
        <w:rPr>
          <w:b/>
          <w:color w:val="FFFFFF"/>
          <w:sz w:val="20"/>
        </w:rPr>
        <w:t>77</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87/100</w:t>
      </w:r>
    </w:p>
    <w:p w:rsidR="0071529F" w:rsidRDefault="005C3D9E">
      <w:pPr>
        <w:keepNext/>
        <w:pBdr>
          <w:left w:val="single" w:sz="24" w:space="6" w:color="52B69A"/>
        </w:pBdr>
        <w:ind w:left="170"/>
      </w:pPr>
      <w:r>
        <w:t xml:space="preserve">The rating </w:t>
      </w:r>
      <w:r>
        <w:t>rests on the company's detailed self-reported data metrics regarding out-of-the-box, regional, and steady-state extraction accuracy rates across multi-format invoices. Based on primary research, the company's accuracy rates can be estimated as strong, in l</w:t>
      </w:r>
      <w:r>
        <w:t>ine with leading vendors, based on its over 100 finance teams and 80% published error reduction.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AI-powered invoice capture achieves 98% field-level accuracy out-of-the-box across diverse supplier formats </w:t>
      </w:r>
      <w:r>
        <w:t>without template configuration.</w:t>
      </w:r>
    </w:p>
    <w:p w:rsidR="0071529F" w:rsidRDefault="005C3D9E">
      <w:pPr>
        <w:pStyle w:val="ListBullet"/>
        <w:spacing w:after="60"/>
        <w:ind w:left="510"/>
      </w:pPr>
      <w:r>
        <w:t>The company reports that its AI OCR extraction accuracy typically achieves 92% to 96% accuracy on initial deployment, reaching 95% to 99% accuracy rates based on platform data, and can achieve 97% out-of-the-box accuracy spe</w:t>
      </w:r>
      <w:r>
        <w:t>cifically on Singapore invoices.</w:t>
      </w:r>
    </w:p>
    <w:p w:rsidR="0071529F" w:rsidRDefault="005C3D9E">
      <w:pPr>
        <w:keepNext/>
        <w:pBdr>
          <w:left w:val="single" w:sz="24" w:space="6" w:color="52B69A"/>
        </w:pBdr>
        <w:spacing w:before="120" w:after="60"/>
        <w:ind w:left="170"/>
      </w:pPr>
      <w:r>
        <w:rPr>
          <w:b/>
          <w:color w:val="0F172A"/>
          <w:sz w:val="20"/>
        </w:rPr>
        <w:t>Workflow Automation &amp; Approval Routing — scored 86/100</w:t>
      </w:r>
    </w:p>
    <w:p w:rsidR="0071529F" w:rsidRDefault="005C3D9E">
      <w:pPr>
        <w:keepNext/>
        <w:pBdr>
          <w:left w:val="single" w:sz="24" w:space="6" w:color="52B69A"/>
        </w:pBdr>
        <w:ind w:left="170"/>
      </w:pPr>
      <w:r>
        <w:t>We verified the platform's capabilities through the company's technical product documentation outlining its configurable multi-condition routing matrices, tiered bracke</w:t>
      </w:r>
      <w:r>
        <w:t>ts, and compliance logging. Based on primary research, the company's workflow automation functionality verification can be estimated as compliant, matching enterprise standards, based on its over 100 finance teams and documented multi-level approval rules.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accounts payable automation platform provides a visual workflow editor for configuring multi-level approval thresholds and routing brackets based on invoice value, spend category, department, or project type.</w:t>
      </w:r>
    </w:p>
    <w:p w:rsidR="0071529F" w:rsidRDefault="005C3D9E">
      <w:pPr>
        <w:pStyle w:val="ListBullet"/>
        <w:spacing w:after="60"/>
        <w:ind w:left="510"/>
      </w:pPr>
      <w:r>
        <w:t>The company reports supporting advanced workflow features including customizable AND/OR approval logic within tiers, out-of-office delegation with specified date ranges, automated SLA escalation timelines, and centralized timeline audit trails.</w:t>
      </w:r>
    </w:p>
    <w:p w:rsidR="0071529F" w:rsidRDefault="005C3D9E">
      <w:pPr>
        <w:keepNext/>
        <w:pBdr>
          <w:left w:val="single" w:sz="24" w:space="6" w:color="52B69A"/>
        </w:pBdr>
        <w:spacing w:before="120" w:after="60"/>
        <w:ind w:left="170"/>
      </w:pPr>
      <w:r>
        <w:rPr>
          <w:b/>
          <w:color w:val="0F172A"/>
          <w:sz w:val="20"/>
        </w:rPr>
        <w:t>ERP &amp; Acco</w:t>
      </w:r>
      <w:r>
        <w:rPr>
          <w:b/>
          <w:color w:val="0F172A"/>
          <w:sz w:val="20"/>
        </w:rPr>
        <w:t>unting System Integration — scored 75/100</w:t>
      </w:r>
    </w:p>
    <w:p w:rsidR="0071529F" w:rsidRDefault="005C3D9E">
      <w:pPr>
        <w:keepNext/>
        <w:pBdr>
          <w:left w:val="single" w:sz="24" w:space="6" w:color="52B69A"/>
        </w:pBdr>
        <w:ind w:left="170"/>
      </w:pPr>
      <w:r>
        <w:t>The rating rests on the company's documented bi-directional sync capabilities, pre-built API connectors, and downloadable bundles for prominent ERP systems like Oracle NetSuite and SAP. Based on primary research, t</w:t>
      </w:r>
      <w:r>
        <w:t>he company's marketplace listings can be estimated as broad across the major ERP platforms, based on its pre-built integrations with QuickBooks and SAP S/4 HANA.</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providing bi-directional, native API connectors and SFTP</w:t>
      </w:r>
      <w:r>
        <w:t xml:space="preserve"> file exchanges for platforms including Oracle NetSuite, SAP S/4HANA, SAP Business One, Microsoft Dynamics 365 Business Central, QuickBooks, and Xero to synchronize invoice postings, ledger updates, and cost center entries.</w:t>
      </w:r>
    </w:p>
    <w:p w:rsidR="0071529F" w:rsidRDefault="005C3D9E">
      <w:pPr>
        <w:pStyle w:val="ListBullet"/>
        <w:spacing w:after="60"/>
        <w:ind w:left="510"/>
      </w:pPr>
      <w:r>
        <w:t>The company reports offering ded</w:t>
      </w:r>
      <w:r>
        <w:t>icated NetSuite integration bundles downloadable via SuiteBuilder to allow administrators to perform a direct configuration setup within the ERP.</w:t>
      </w:r>
    </w:p>
    <w:p w:rsidR="0071529F" w:rsidRDefault="005C3D9E">
      <w:pPr>
        <w:keepNext/>
        <w:pBdr>
          <w:left w:val="single" w:sz="24" w:space="6" w:color="52B69A"/>
        </w:pBdr>
        <w:spacing w:before="120" w:after="60"/>
        <w:ind w:left="170"/>
      </w:pPr>
      <w:r>
        <w:rPr>
          <w:b/>
          <w:color w:val="0F172A"/>
          <w:sz w:val="20"/>
        </w:rPr>
        <w:t>AI/ML &amp; Fraud Detection Capabilities — scored 86/100</w:t>
      </w:r>
    </w:p>
    <w:p w:rsidR="0071529F" w:rsidRDefault="005C3D9E">
      <w:pPr>
        <w:keepNext/>
        <w:pBdr>
          <w:left w:val="single" w:sz="24" w:space="6" w:color="52B69A"/>
        </w:pBdr>
        <w:ind w:left="170"/>
      </w:pPr>
      <w:r>
        <w:t>The evaluation rests on the platform's self-reported capa</w:t>
      </w:r>
      <w:r>
        <w:t>bilities for multi-variable anomaly identification, continuous model adaptation, and automated exception routing. Based on primary research, the company's model accuracy metrics can be estimated as high, validated through customer case data, based on its p</w:t>
      </w:r>
      <w:r>
        <w:t>ublished 91% straight-through processing rate achieved with Vida.</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utilizes multi-dimensional duplicate detection powered by AI to evaluate vendor information, line-item content, and historical payment</w:t>
      </w:r>
      <w:r>
        <w:t xml:space="preserve"> patterns, allowing it to catch sophisticated variations that bypass traditional exact-match ERP checks.</w:t>
      </w:r>
    </w:p>
    <w:p w:rsidR="0071529F" w:rsidRDefault="005C3D9E">
      <w:pPr>
        <w:pStyle w:val="ListBullet"/>
        <w:spacing w:after="60"/>
        <w:ind w:left="510"/>
      </w:pPr>
      <w:r>
        <w:t>The company reports that its machine learning algorithms engage in continuous learning from manual AP staff corrections, which improves invoice data ex</w:t>
      </w:r>
      <w:r>
        <w:t>traction accuracy from an initial 94%–96% up to 98%–99% after processing 3,000–5,000 invoices.</w:t>
      </w:r>
    </w:p>
    <w:p w:rsidR="0071529F" w:rsidRDefault="005C3D9E">
      <w:pPr>
        <w:keepNext/>
        <w:pBdr>
          <w:left w:val="single" w:sz="24" w:space="6" w:color="52B69A"/>
        </w:pBdr>
        <w:spacing w:before="120" w:after="60"/>
        <w:ind w:left="170"/>
      </w:pPr>
      <w:r>
        <w:rPr>
          <w:b/>
          <w:color w:val="0F172A"/>
          <w:sz w:val="20"/>
        </w:rPr>
        <w:lastRenderedPageBreak/>
        <w:t>Scalability &amp; Global Compliance Support — scored 65/100</w:t>
      </w:r>
    </w:p>
    <w:p w:rsidR="0071529F" w:rsidRDefault="005C3D9E">
      <w:pPr>
        <w:keepNext/>
        <w:pBdr>
          <w:left w:val="single" w:sz="24" w:space="6" w:color="52B69A"/>
        </w:pBdr>
        <w:ind w:left="170"/>
      </w:pPr>
      <w:r>
        <w:t>The rating rests on the platform's documented multi-currency conversion capabilities and regional payment</w:t>
      </w:r>
      <w:r>
        <w:t xml:space="preserve"> infrastructure spanning specific Southeast Asian markets. Based on primary research, the company's transactional scalability benchmarks can be estimated as fast for most approvals, based on its trusted by over 100 finance teams.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w:t>
      </w:r>
      <w:r>
        <w:t>any reports that its platform can support payment collections across 4 countries (Singapore, Indonesia, Thailand, and Malaysia), and automated disbursements from 2 countries (Singapore and Indonesia) to more than 50 beneficiary countries.</w:t>
      </w:r>
    </w:p>
    <w:p w:rsidR="0071529F" w:rsidRDefault="005C3D9E">
      <w:pPr>
        <w:pStyle w:val="ListBullet"/>
        <w:spacing w:after="60"/>
        <w:ind w:left="510"/>
      </w:pPr>
      <w:r>
        <w:t>The company repor</w:t>
      </w:r>
      <w:r>
        <w:t>ts that its platform supports entity-specific policy configurations for varying multi-country desks (such as Singapore and Hong Kong) alongside automatic multi-currency conversion at transaction-date rates.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 xml:space="preserve">Customer Base &amp; Contract </w:t>
      </w:r>
      <w:r>
        <w:rPr>
          <w:b/>
          <w:color w:val="0F172A"/>
          <w:sz w:val="20"/>
        </w:rPr>
        <w:t>Wins — scored 67/100</w:t>
      </w:r>
    </w:p>
    <w:p w:rsidR="0071529F" w:rsidRDefault="005C3D9E">
      <w:pPr>
        <w:keepNext/>
        <w:pBdr>
          <w:left w:val="single" w:sz="24" w:space="6" w:color="52B69A"/>
        </w:pBdr>
        <w:ind w:left="170"/>
      </w:pPr>
      <w:r>
        <w:t>The rating rests on the company's self-reported client base of over 100 finance teams spanning accounts receivable and accounts payable workflows in Southeast Asia. Based on primary research, the company's average contract values can b</w:t>
      </w:r>
      <w:r>
        <w:t>e estimated as growing steadily, based on its trusted by over 100 finance teams and $4.1 million in seed funding.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Peakflo reports that its software solutions are trusted by 100+ finance teams, including mid-market and enterprise logos </w:t>
      </w:r>
      <w:r>
        <w:t>such as Ninja Van, InMobi, Glints, Pickupp, EstimateOne, and Bharathi Homes.</w:t>
      </w:r>
    </w:p>
    <w:p w:rsidR="0071529F" w:rsidRDefault="005C3D9E">
      <w:pPr>
        <w:pStyle w:val="ListBullet"/>
        <w:spacing w:after="60"/>
        <w:ind w:left="510"/>
      </w:pPr>
      <w:r>
        <w:t>The company reports explicit accounts payable (AP) automation contract outcomes, including its deployment with Bharathi Homes to automate purchase order creation and 2-way matchin</w:t>
      </w:r>
      <w:r>
        <w:t>g, alongside deployments with Vida and Haisia.</w:t>
      </w:r>
    </w:p>
    <w:p w:rsidR="0071529F" w:rsidRDefault="005C3D9E">
      <w:pPr>
        <w:keepNext/>
        <w:pBdr>
          <w:left w:val="single" w:sz="24" w:space="6" w:color="52B69A"/>
        </w:pBdr>
        <w:spacing w:before="120" w:after="60"/>
        <w:ind w:left="170"/>
      </w:pPr>
      <w:r>
        <w:rPr>
          <w:b/>
          <w:color w:val="0F172A"/>
          <w:sz w:val="20"/>
        </w:rPr>
        <w:t>Revenue Growth &amp; Financial Health — scored 77/100</w:t>
      </w:r>
    </w:p>
    <w:p w:rsidR="0071529F" w:rsidRDefault="005C3D9E">
      <w:pPr>
        <w:keepNext/>
        <w:pBdr>
          <w:left w:val="single" w:sz="24" w:space="6" w:color="52B69A"/>
        </w:pBdr>
        <w:ind w:left="170"/>
      </w:pPr>
      <w:r>
        <w:t xml:space="preserve">We verified that the firm's trackable financial footprint is limited to its early multi-million dollar seed capital injections. Based on primary research, the </w:t>
      </w:r>
      <w:r>
        <w:t>company's revenue metrics can be estimated as growing steadily, based on its $4.1 million in seed funding and 45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raising $4.1 million in seed funding in July 2022 to develop its automated invoice collections</w:t>
      </w:r>
      <w:r>
        <w:t xml:space="preserve"> and bill payments platform.</w:t>
      </w:r>
    </w:p>
    <w:p w:rsidR="0071529F" w:rsidRDefault="005C3D9E">
      <w:pPr>
        <w:keepNext/>
        <w:pBdr>
          <w:left w:val="single" w:sz="24" w:space="6" w:color="52B69A"/>
        </w:pBdr>
        <w:spacing w:before="120" w:after="60"/>
        <w:ind w:left="170"/>
      </w:pPr>
      <w:r>
        <w:rPr>
          <w:b/>
          <w:color w:val="0F172A"/>
          <w:sz w:val="20"/>
        </w:rPr>
        <w:t>Geographic Coverage &amp; Partner Network — scored 76/100</w:t>
      </w:r>
    </w:p>
    <w:p w:rsidR="0071529F" w:rsidRDefault="005C3D9E">
      <w:pPr>
        <w:keepNext/>
        <w:pBdr>
          <w:left w:val="single" w:sz="24" w:space="6" w:color="52B69A"/>
        </w:pBdr>
        <w:ind w:left="170"/>
      </w:pPr>
      <w:r>
        <w:t>Our evaluation rests on the company's self-reported office presence spanning Southeast Asia and the United States, alongside localized transactional capabilities optimized f</w:t>
      </w:r>
      <w:r>
        <w:t>or regional compliance frameworks. Based on primary research, the company's total number of channel partners can be estimated as limited to a few markets, based on its 2 offices globally in Singapore and United States.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w:t>
      </w:r>
      <w:r>
        <w:t xml:space="preserve"> maintaining physical corporate office locations in Singapore and San Francisco, California.</w:t>
      </w:r>
    </w:p>
    <w:p w:rsidR="0071529F" w:rsidRDefault="005C3D9E">
      <w:pPr>
        <w:pStyle w:val="ListBullet"/>
        <w:spacing w:after="60"/>
        <w:ind w:left="510"/>
      </w:pPr>
      <w:r>
        <w:t>The company reports that its platform supports automated payment collections across four countries (Singapore, Indonesia, Thailand, and Malaysia) and automated dis</w:t>
      </w:r>
      <w:r>
        <w:t>bursements from two countries (Singapore and Indonesia).</w:t>
      </w:r>
    </w:p>
    <w:p w:rsidR="0071529F" w:rsidRDefault="005C3D9E">
      <w:pPr>
        <w:keepNext/>
        <w:pBdr>
          <w:left w:val="single" w:sz="24" w:space="6" w:color="52B69A"/>
        </w:pBdr>
        <w:spacing w:before="120" w:after="60"/>
        <w:ind w:left="170"/>
      </w:pPr>
      <w:r>
        <w:rPr>
          <w:b/>
          <w:color w:val="0F172A"/>
          <w:sz w:val="20"/>
        </w:rPr>
        <w:t>Market Share &amp; Competitive Positioning — scored 65/100</w:t>
      </w:r>
    </w:p>
    <w:p w:rsidR="0071529F" w:rsidRDefault="005C3D9E">
      <w:pPr>
        <w:keepNext/>
        <w:pBdr>
          <w:left w:val="single" w:sz="24" w:space="6" w:color="52B69A"/>
        </w:pBdr>
        <w:ind w:left="170"/>
      </w:pPr>
      <w:r>
        <w:t>We verified that no independent analyst rankings, market share estimates, or competitive win rates are available for Peakflo within the accounts</w:t>
      </w:r>
      <w:r>
        <w:t xml:space="preserve"> payable automation software sector. Based on primary research, the company's competitive win rates can be estimated as strong, in line with leading vendors, based on its trusted by over 100 finance teams and $4.1 million in seed funding.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lastRenderedPageBreak/>
        <w:t>Funding &amp; Strategic Investments — scored 85/100</w:t>
      </w:r>
    </w:p>
    <w:p w:rsidR="0071529F" w:rsidRDefault="005C3D9E">
      <w:pPr>
        <w:keepNext/>
        <w:pBdr>
          <w:left w:val="single" w:sz="24" w:space="6" w:color="52B69A"/>
        </w:pBdr>
        <w:ind w:left="170"/>
      </w:pPr>
      <w:r>
        <w:t>The rating is based on the company's confirmed $4.1 million seed funding round and its participation in the Y Combinator accelerator program. Based on primary research, the company's subsequent</w:t>
      </w:r>
      <w:r>
        <w:t xml:space="preserve"> funding or strategic corporate actions can be estimated as limited to early stage capital injections without subsequent public buyouts, based on its $4.1 million seed funding and 45 employees.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announced its $4.1 million seed </w:t>
      </w:r>
      <w:r>
        <w:t>funding round on July 6, 2022, backed by institutional investors including Y Combinator, Rebel Fund, Soma Capital, Amino Capital, GMO Fintech Fund, CE Fintech Capital, Global Founders Capital, and Entrepreneur First.</w:t>
      </w:r>
    </w:p>
    <w:p w:rsidR="0071529F" w:rsidRDefault="005C3D9E">
      <w:pPr>
        <w:pStyle w:val="ListBullet"/>
        <w:spacing w:after="60"/>
        <w:ind w:left="510"/>
      </w:pPr>
      <w:r>
        <w:t>The company reports raising an addition</w:t>
      </w:r>
      <w:r>
        <w:t>al early funding commitment of almost $1 million when it was founded in 2021, alongside $500,000 from Y Combinator during its initial period.</w:t>
      </w:r>
    </w:p>
    <w:p w:rsidR="0071529F" w:rsidRDefault="005C3D9E">
      <w:pPr>
        <w:pStyle w:val="Heading2"/>
        <w:pageBreakBefore/>
        <w:shd w:val="clear" w:color="auto" w:fill="002857"/>
        <w:spacing w:after="0"/>
      </w:pPr>
      <w:bookmarkStart w:id="25" w:name="_Toc242447169"/>
      <w:r>
        <w:lastRenderedPageBreak/>
        <w:t>Digipharmacie (acquired by Equasens)</w:t>
      </w:r>
      <w:bookmarkEnd w:id="25"/>
    </w:p>
    <w:p w:rsidR="0071529F" w:rsidRDefault="005C3D9E">
      <w:pPr>
        <w:shd w:val="clear" w:color="auto" w:fill="002857"/>
        <w:spacing w:after="200"/>
      </w:pPr>
      <w:r>
        <w:rPr>
          <w:color w:val="CBD5E1"/>
          <w:sz w:val="18"/>
        </w:rPr>
        <w:t xml:space="preserve">Digipharmacie   </w:t>
      </w: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77</w:t>
      </w:r>
      <w:r>
        <w:rPr>
          <w:color w:val="CBD5E1"/>
          <w:sz w:val="18"/>
        </w:rPr>
        <w:t xml:space="preserve">     Overall </w:t>
      </w:r>
      <w:r>
        <w:rPr>
          <w:b/>
          <w:color w:val="FFFFFF"/>
          <w:sz w:val="20"/>
        </w:rPr>
        <w:t>72</w:t>
      </w:r>
    </w:p>
    <w:p w:rsidR="0071529F" w:rsidRDefault="005C3D9E">
      <w:pPr>
        <w:keepNext/>
        <w:pBdr>
          <w:bottom w:val="single" w:sz="6" w:space="3" w:color="E2E8F0"/>
        </w:pBdr>
        <w:spacing w:before="120" w:after="120"/>
      </w:pPr>
      <w:r>
        <w:rPr>
          <w:b/>
          <w:caps/>
          <w:color w:val="1A759F"/>
        </w:rPr>
        <w:t xml:space="preserve">X — </w:t>
      </w:r>
      <w:r>
        <w:rPr>
          <w:b/>
          <w:caps/>
          <w:color w:val="1A759F"/>
        </w:rPr>
        <w:t>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67/100</w:t>
      </w:r>
    </w:p>
    <w:p w:rsidR="0071529F" w:rsidRDefault="005C3D9E">
      <w:pPr>
        <w:keepNext/>
        <w:pBdr>
          <w:left w:val="single" w:sz="24" w:space="6" w:color="52B69A"/>
        </w:pBdr>
        <w:ind w:left="170"/>
      </w:pPr>
      <w:r>
        <w:t xml:space="preserve">Based on primary research, the company's field-level extraction accuracy can be estimated as high and stable across common supplier formats, based on its automatic extraction </w:t>
      </w:r>
      <w:r>
        <w:t>from more than 150 client portals for 16,000 pharmacies.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Workflow Automation &amp; Approval Routing — scored 65/100</w:t>
      </w:r>
    </w:p>
    <w:p w:rsidR="0071529F" w:rsidRDefault="005C3D9E">
      <w:pPr>
        <w:keepNext/>
        <w:pBdr>
          <w:left w:val="single" w:sz="24" w:space="6" w:color="52B69A"/>
        </w:pBdr>
        <w:ind w:left="170"/>
      </w:pPr>
      <w:r>
        <w:t>We verified that the platform lacks a built-in internal invoice validation workflow according to regional accoun</w:t>
      </w:r>
      <w:r>
        <w:t>ting authority assessments, although it handles automated invoice-to-order matching and financial anomaly tracking. Based on primary research, the company's configurable approval workflows can be estimated as tailored specifically for pharmacy to accountan</w:t>
      </w:r>
      <w:r>
        <w:t>t routing, based on its structured artificial intelligence data flows to accounting software and DigiPA module integration.</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A standard listing on the Ordre des Experts-Comptables de Paris platform registry states that Digipharmacie does n</w:t>
      </w:r>
      <w:r>
        <w:t>ot include an internal invoice validation workflow ("Workflow de validation: non").</w:t>
      </w:r>
    </w:p>
    <w:p w:rsidR="0071529F" w:rsidRDefault="005C3D9E">
      <w:pPr>
        <w:pStyle w:val="ListBullet"/>
        <w:spacing w:after="60"/>
        <w:ind w:left="510"/>
      </w:pPr>
      <w:r>
        <w:t xml:space="preserve">The company provides automated reconciliation between invoices and pharmacy orders to highlight price or discount discrepancies and allows pharmacies to log dispute claims </w:t>
      </w:r>
      <w:r>
        <w:t>directly with laboratories.</w:t>
      </w:r>
    </w:p>
    <w:p w:rsidR="0071529F" w:rsidRDefault="005C3D9E">
      <w:pPr>
        <w:keepNext/>
        <w:pBdr>
          <w:left w:val="single" w:sz="24" w:space="6" w:color="52B69A"/>
        </w:pBdr>
        <w:spacing w:before="120" w:after="60"/>
        <w:ind w:left="170"/>
      </w:pPr>
      <w:r>
        <w:rPr>
          <w:b/>
          <w:color w:val="0F172A"/>
          <w:sz w:val="20"/>
        </w:rPr>
        <w:t>ERP &amp; Accounting System Integration — scored 68/100</w:t>
      </w:r>
    </w:p>
    <w:p w:rsidR="0071529F" w:rsidRDefault="005C3D9E">
      <w:pPr>
        <w:keepNext/>
        <w:pBdr>
          <w:left w:val="single" w:sz="24" w:space="6" w:color="52B69A"/>
        </w:pBdr>
        <w:ind w:left="170"/>
      </w:pPr>
      <w:r>
        <w:t>The rating reflects confirmed automated API integrations with regional mid-market platforms like Pennylane and Inqom. Based on primary research, the company's ERP network integ</w:t>
      </w:r>
      <w:r>
        <w:t>rations can be estimated as limited to a few specific local platforms, based on its integrations with local health networks and wholesale software like OCP, CERP, Alliance, and Alloga.</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active API integrations and autom</w:t>
      </w:r>
      <w:r>
        <w:t>ated synchronization with specific digital accounting platforms, such as Pennylane and Inqom, allowing automated push of validated documents and invoices into accounting records.</w:t>
      </w:r>
    </w:p>
    <w:p w:rsidR="0071529F" w:rsidRDefault="005C3D9E">
      <w:pPr>
        <w:pStyle w:val="ListBullet"/>
        <w:spacing w:after="60"/>
        <w:ind w:left="510"/>
      </w:pPr>
      <w:r>
        <w:t>The company maintains broader, structured data flows via artificial intellige</w:t>
      </w:r>
      <w:r>
        <w:t>nce to generic accountants' software across the French pharmacy market segment.</w:t>
      </w:r>
    </w:p>
    <w:p w:rsidR="0071529F" w:rsidRDefault="005C3D9E">
      <w:pPr>
        <w:keepNext/>
        <w:pBdr>
          <w:left w:val="single" w:sz="24" w:space="6" w:color="52B69A"/>
        </w:pBdr>
        <w:spacing w:before="120" w:after="60"/>
        <w:ind w:left="170"/>
      </w:pPr>
      <w:r>
        <w:rPr>
          <w:b/>
          <w:color w:val="0F172A"/>
          <w:sz w:val="20"/>
        </w:rPr>
        <w:t>AI/ML &amp; Fraud Detection Capabilities — scored 65/100</w:t>
      </w:r>
    </w:p>
    <w:p w:rsidR="0071529F" w:rsidRDefault="005C3D9E">
      <w:pPr>
        <w:keepNext/>
        <w:pBdr>
          <w:left w:val="single" w:sz="24" w:space="6" w:color="52B69A"/>
        </w:pBdr>
        <w:ind w:left="170"/>
      </w:pPr>
      <w:r>
        <w:t>Based on primary research, the company's continuous learning model accuracy can be estimated as strong and expanding steadi</w:t>
      </w:r>
      <w:r>
        <w:t>ly, based on its automated processing of over 1 million invoices every month via artificial intelligence.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Scalability &amp; Global Compliance Support — scored 76/100</w:t>
      </w:r>
    </w:p>
    <w:p w:rsidR="0071529F" w:rsidRDefault="005C3D9E">
      <w:pPr>
        <w:keepNext/>
        <w:pBdr>
          <w:left w:val="single" w:sz="24" w:space="6" w:color="52B69A"/>
        </w:pBdr>
        <w:ind w:left="170"/>
      </w:pPr>
      <w:r>
        <w:t xml:space="preserve">The rating rests on the platform's verified local compliance </w:t>
      </w:r>
      <w:r>
        <w:t>status as an officially accredited French PDP platform capable of receiving electronic invoices for an extensive network of pharmacies. Based on primary research, the company's global tax capabilities and scalability benchmarks can be estimated as localize</w:t>
      </w:r>
      <w:r>
        <w:t>d specifically to French domestic compliance standards, based on its strict focus on the French electronic invoicing mandate entering force in September 46.</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its DigiPA platform was officially registered by the DGFiP on</w:t>
      </w:r>
      <w:r>
        <w:t xml:space="preserve"> December 23, 2025, as an accredited partner platform (Plateforme Agréée / PDP) under France's B2B e-invoicing reform to manage the transmission and receiving of electronic invoices and e-reporting.</w:t>
      </w:r>
    </w:p>
    <w:p w:rsidR="0071529F" w:rsidRDefault="005C3D9E">
      <w:pPr>
        <w:pStyle w:val="ListBullet"/>
        <w:spacing w:after="60"/>
        <w:ind w:left="510"/>
      </w:pPr>
      <w:r>
        <w:t>The company reports its software handles accounts payable</w:t>
      </w:r>
      <w:r>
        <w:t xml:space="preserve"> workflows for more than 16,000 to 17,500 pharmacies in France, fetching supplier invoices automatically from over 150 client portals.</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Base &amp; Contract Wins — scored 72/100</w:t>
      </w:r>
    </w:p>
    <w:p w:rsidR="0071529F" w:rsidRDefault="005C3D9E">
      <w:pPr>
        <w:keepNext/>
        <w:pBdr>
          <w:left w:val="single" w:sz="24" w:space="6" w:color="52B69A"/>
        </w:pBdr>
        <w:ind w:left="170"/>
      </w:pPr>
      <w:r>
        <w:t>The rating rests on the company's verified deployme</w:t>
      </w:r>
      <w:r>
        <w:t xml:space="preserve">nt across a substantial footprint of specialized medical retail outlets (pharmacies) and partnerships with hundreds of regional accounting firms. Based on primary research, the </w:t>
      </w:r>
      <w:r>
        <w:lastRenderedPageBreak/>
        <w:t>company's enterprise contract values and non-sector software logos can be estim</w:t>
      </w:r>
      <w:r>
        <w:t>ated as low and structured around small business budgets, based on its standardized monthly subscription pricing tiers for independent pharmacy clients.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serving over 16,000 pharmacies (and a parent company announcement</w:t>
      </w:r>
      <w:r>
        <w:t xml:space="preserve"> from Equasens in early 2026 reports supporting 17,500 officines out of 19,400 in France), approximately 300 accounting firms, and holding agreements with nearly 80% of pharmacy purchasing groups.</w:t>
      </w:r>
    </w:p>
    <w:p w:rsidR="0071529F" w:rsidRDefault="005C3D9E">
      <w:pPr>
        <w:pStyle w:val="ListBullet"/>
        <w:spacing w:after="60"/>
        <w:ind w:left="510"/>
      </w:pPr>
      <w:r>
        <w:t>The company's platform processes more than 1 million suppli</w:t>
      </w:r>
      <w:r>
        <w:t>er invoices each month for its pharmacy clients.</w:t>
      </w:r>
    </w:p>
    <w:p w:rsidR="0071529F" w:rsidRDefault="005C3D9E">
      <w:pPr>
        <w:keepNext/>
        <w:pBdr>
          <w:left w:val="single" w:sz="24" w:space="6" w:color="52B69A"/>
        </w:pBdr>
        <w:spacing w:before="120" w:after="60"/>
        <w:ind w:left="170"/>
      </w:pPr>
      <w:r>
        <w:rPr>
          <w:b/>
          <w:color w:val="0F172A"/>
          <w:sz w:val="20"/>
        </w:rPr>
        <w:t>Revenue Growth &amp; Financial Health — scored 91/100</w:t>
      </w:r>
    </w:p>
    <w:p w:rsidR="0071529F" w:rsidRDefault="005C3D9E">
      <w:pPr>
        <w:keepNext/>
        <w:pBdr>
          <w:left w:val="single" w:sz="24" w:space="6" w:color="52B69A"/>
        </w:pBdr>
        <w:ind w:left="170"/>
      </w:pPr>
      <w:r>
        <w:t>The rating rests on verified, multi-year French statutory corporate filing data establishing consecutive annual revenue growth and positive net income figure</w:t>
      </w:r>
      <w:r>
        <w:t>s up through 2025, alongside its acquisition by Equasens in January 2024. Based on primary research, the company's annualized recurring revenue breakdown can be estimated as growing steadily, based on its annual revenue growth of 27% and launch as an integ</w:t>
      </w:r>
      <w:r>
        <w:t>rated cloud offering.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Digipharmacie achieved a recorded turnover (CA) of €789K in 2022, €2.59M in 2023, €3.96M in 2024, and €5.28M in 2025.</w:t>
      </w:r>
    </w:p>
    <w:p w:rsidR="0071529F" w:rsidRDefault="005C3D9E">
      <w:pPr>
        <w:pStyle w:val="ListBullet"/>
        <w:spacing w:after="60"/>
        <w:ind w:left="510"/>
      </w:pPr>
      <w:r>
        <w:t>The company registered an escalating net profit of €127K in 2022, €684K in 2023, €993K in 2024, an</w:t>
      </w:r>
      <w:r>
        <w:t>d €1.39M in 2025.</w:t>
      </w:r>
    </w:p>
    <w:p w:rsidR="0071529F" w:rsidRDefault="005C3D9E">
      <w:pPr>
        <w:keepNext/>
        <w:pBdr>
          <w:left w:val="single" w:sz="24" w:space="6" w:color="52B69A"/>
        </w:pBdr>
        <w:spacing w:before="120" w:after="60"/>
        <w:ind w:left="170"/>
      </w:pPr>
      <w:r>
        <w:rPr>
          <w:b/>
          <w:color w:val="0F172A"/>
          <w:sz w:val="20"/>
        </w:rPr>
        <w:t>Geographic Coverage &amp; Partner Network — scored 65/100</w:t>
      </w:r>
    </w:p>
    <w:p w:rsidR="0071529F" w:rsidRDefault="005C3D9E">
      <w:pPr>
        <w:keepNext/>
        <w:pBdr>
          <w:left w:val="single" w:sz="24" w:space="6" w:color="52B69A"/>
        </w:pBdr>
        <w:ind w:left="170"/>
      </w:pPr>
      <w:r>
        <w:t>The assessment rests on the company's verified regional presence in France and its targeted partnerships within the French pharmaceutical and accounting ecosystems. Based on primary re</w:t>
      </w:r>
      <w:r>
        <w:t>search, the company's international geographic footprint can be estimated as limited to a few markets, based on its focus on the French e-reporting mandate and integration with French accounting firms.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a specialized pr</w:t>
      </w:r>
      <w:r>
        <w:t>oduct presence in France, with its headquarters located in Paris and integration with local accounting software such as Pennylane.</w:t>
      </w:r>
    </w:p>
    <w:p w:rsidR="0071529F" w:rsidRDefault="005C3D9E">
      <w:pPr>
        <w:pStyle w:val="ListBullet"/>
        <w:spacing w:after="60"/>
        <w:ind w:left="510"/>
      </w:pPr>
      <w:r>
        <w:t>The company reports a distribution partnership with the French pharmaceutical wholesaler OCP to offer its invoice centralizat</w:t>
      </w:r>
      <w:r>
        <w:t>ion solution to OCP's pharmacy clients at a preferential rate.</w:t>
      </w:r>
    </w:p>
    <w:p w:rsidR="0071529F" w:rsidRDefault="005C3D9E">
      <w:pPr>
        <w:keepNext/>
        <w:pBdr>
          <w:left w:val="single" w:sz="24" w:space="6" w:color="52B69A"/>
        </w:pBdr>
        <w:spacing w:before="120" w:after="60"/>
        <w:ind w:left="170"/>
      </w:pPr>
      <w:r>
        <w:rPr>
          <w:b/>
          <w:color w:val="0F172A"/>
          <w:sz w:val="20"/>
        </w:rPr>
        <w:t>Market Share &amp; Competitive Positioning — scored 67/100</w:t>
      </w:r>
    </w:p>
    <w:p w:rsidR="0071529F" w:rsidRDefault="005C3D9E">
      <w:pPr>
        <w:keepNext/>
        <w:pBdr>
          <w:left w:val="single" w:sz="24" w:space="6" w:color="52B69A"/>
        </w:pBdr>
        <w:ind w:left="170"/>
      </w:pPr>
      <w:r>
        <w:t xml:space="preserve">Based on primary research, the company's competitive win rates can be estimated as strong, in line with leading vendors, based on its </w:t>
      </w:r>
      <w:r>
        <w:t>acquisition of over 900 new customers and leadership position in pharmacy invoicing.</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Funding &amp; Strategic Investments — scored 88/100</w:t>
      </w:r>
    </w:p>
    <w:p w:rsidR="0071529F" w:rsidRDefault="005C3D9E">
      <w:pPr>
        <w:keepNext/>
        <w:pBdr>
          <w:left w:val="single" w:sz="24" w:space="6" w:color="52B69A"/>
        </w:pBdr>
        <w:ind w:left="170"/>
      </w:pPr>
      <w:r>
        <w:t>The evaluation rests on the company's strategic acquisition by Equasens Group in January 20</w:t>
      </w:r>
      <w:r>
        <w:t>24. Based on primary research, the company's venture capital funding can be estimated as limited prior outside funding rounds, based on its position as a subsidiary acquired by Equasens and member of La Coopérative Welcoop.</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Equasens Group</w:t>
      </w:r>
      <w:r>
        <w:t xml:space="preserve"> announced on January 2, 2024, that it acquired a 70% majority stake in Digipharmacie.</w:t>
      </w:r>
    </w:p>
    <w:p w:rsidR="0071529F" w:rsidRDefault="005C3D9E">
      <w:pPr>
        <w:pStyle w:val="Heading2"/>
        <w:pageBreakBefore/>
        <w:shd w:val="clear" w:color="auto" w:fill="002857"/>
        <w:spacing w:after="0"/>
      </w:pPr>
      <w:bookmarkStart w:id="26" w:name="_Toc242447170"/>
      <w:r>
        <w:lastRenderedPageBreak/>
        <w:t>Klak Limited</w:t>
      </w:r>
      <w:bookmarkEnd w:id="26"/>
    </w:p>
    <w:p w:rsidR="0071529F" w:rsidRDefault="005C3D9E">
      <w:pPr>
        <w:shd w:val="clear" w:color="auto" w:fill="002857"/>
        <w:spacing w:after="200"/>
      </w:pPr>
      <w:r>
        <w:rPr>
          <w:color w:val="CBD5E1"/>
          <w:sz w:val="18"/>
        </w:rPr>
        <w:t xml:space="preserve">Klak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68</w:t>
      </w:r>
      <w:r>
        <w:rPr>
          <w:color w:val="CBD5E1"/>
          <w:sz w:val="18"/>
        </w:rPr>
        <w:t xml:space="preserve">     Overall </w:t>
      </w:r>
      <w:r>
        <w:rPr>
          <w:b/>
          <w:color w:val="FFFFFF"/>
          <w:sz w:val="20"/>
        </w:rPr>
        <w:t>72</w:t>
      </w:r>
    </w:p>
    <w:p w:rsidR="0071529F" w:rsidRDefault="005C3D9E">
      <w:pPr>
        <w:keepNext/>
        <w:pBdr>
          <w:bottom w:val="single" w:sz="6" w:space="3" w:color="E2E8F0"/>
        </w:pBdr>
        <w:spacing w:before="120" w:after="120"/>
      </w:pPr>
      <w:r>
        <w:rPr>
          <w:b/>
          <w:caps/>
          <w:color w:val="1A759F"/>
        </w:rPr>
        <w:t>X — Technology Capability</w:t>
      </w:r>
    </w:p>
    <w:p w:rsidR="0071529F" w:rsidRDefault="005C3D9E">
      <w:pPr>
        <w:keepNext/>
        <w:pBdr>
          <w:left w:val="single" w:sz="24" w:space="6" w:color="52B69A"/>
        </w:pBdr>
        <w:spacing w:before="120" w:after="60"/>
        <w:ind w:left="170"/>
      </w:pPr>
      <w:r>
        <w:rPr>
          <w:b/>
          <w:color w:val="0F172A"/>
          <w:sz w:val="20"/>
        </w:rPr>
        <w:t>Invoice Capture &amp; Data Extraction Accuracy — scored 77/100</w:t>
      </w:r>
    </w:p>
    <w:p w:rsidR="0071529F" w:rsidRDefault="005C3D9E">
      <w:pPr>
        <w:keepNext/>
        <w:pBdr>
          <w:left w:val="single" w:sz="24" w:space="6" w:color="52B69A"/>
        </w:pBdr>
        <w:ind w:left="170"/>
      </w:pPr>
      <w:r>
        <w:t xml:space="preserve">Based on </w:t>
      </w:r>
      <w:r>
        <w:t>primary research, the company's published data extraction accuracy rates or touchless processing rates can be estimated as highly precise across varying invoice formats, based on its AI powered reconciliation matching engine that operates in 60 seconds.</w:t>
      </w:r>
    </w:p>
    <w:p w:rsidR="0071529F" w:rsidRDefault="005C3D9E">
      <w:pPr>
        <w:keepNext/>
        <w:spacing w:after="40"/>
        <w:ind w:left="170"/>
      </w:pPr>
      <w:r>
        <w:rPr>
          <w:b/>
          <w:caps/>
          <w:color w:val="64748B"/>
          <w:sz w:val="15"/>
        </w:rPr>
        <w:t>Su</w:t>
      </w:r>
      <w:r>
        <w:rPr>
          <w:b/>
          <w:caps/>
          <w:color w:val="64748B"/>
          <w:sz w:val="15"/>
        </w:rPr>
        <w:t>pporting points</w:t>
      </w:r>
    </w:p>
    <w:p w:rsidR="0071529F" w:rsidRDefault="005C3D9E">
      <w:pPr>
        <w:pStyle w:val="ListBullet"/>
        <w:spacing w:after="60"/>
        <w:ind w:left="510"/>
      </w:pPr>
      <w:r>
        <w:t>The company reports that its platform uses Optical Character Recognition (OCR) and AI-powered data extraction to automatically read details from submitted invoices, such as invoice numbers, vendor names, amounts, and due dates.</w:t>
      </w:r>
    </w:p>
    <w:p w:rsidR="0071529F" w:rsidRDefault="005C3D9E">
      <w:pPr>
        <w:keepNext/>
        <w:pBdr>
          <w:left w:val="single" w:sz="24" w:space="6" w:color="52B69A"/>
        </w:pBdr>
        <w:spacing w:before="120" w:after="60"/>
        <w:ind w:left="170"/>
      </w:pPr>
      <w:r>
        <w:rPr>
          <w:b/>
          <w:color w:val="0F172A"/>
          <w:sz w:val="20"/>
        </w:rPr>
        <w:t>Workflow Aut</w:t>
      </w:r>
      <w:r>
        <w:rPr>
          <w:b/>
          <w:color w:val="0F172A"/>
          <w:sz w:val="20"/>
        </w:rPr>
        <w:t>omation &amp; Approval Routing — scored 83/100</w:t>
      </w:r>
    </w:p>
    <w:p w:rsidR="0071529F" w:rsidRDefault="005C3D9E">
      <w:pPr>
        <w:keepNext/>
        <w:pBdr>
          <w:left w:val="single" w:sz="24" w:space="6" w:color="52B69A"/>
        </w:pBdr>
        <w:ind w:left="170"/>
      </w:pPr>
      <w:r>
        <w:t>Our analysis rests on the vendor's self-reported functionality for automated invoice routing, 3-way document matching, and basic purchase request approvals. Based on primary research, the company's depth of condit</w:t>
      </w:r>
      <w:r>
        <w:t>ional routing, mobile approval, and complex exception handling rules can be estimated as automated and predefined through internal workflows, based on its capability to enable businesses to collect payments 5 times faster and reduce time spent on bank reco</w:t>
      </w:r>
      <w:r>
        <w:t>nciliation by 80%.</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finance operations platform includes smart approval workflows designed to eliminate manual email loops and automate purchase request routing.</w:t>
      </w:r>
    </w:p>
    <w:p w:rsidR="0071529F" w:rsidRDefault="005C3D9E">
      <w:pPr>
        <w:pStyle w:val="ListBullet"/>
        <w:spacing w:after="60"/>
        <w:ind w:left="510"/>
      </w:pPr>
      <w:r>
        <w:t xml:space="preserve">The company reports that its platform </w:t>
      </w:r>
      <w:r>
        <w:t>automatically routes invoices to approvers based on predefined workflows, executes automated 3-way invoice matching, and provides clean audit trails.</w:t>
      </w:r>
    </w:p>
    <w:p w:rsidR="0071529F" w:rsidRDefault="005C3D9E">
      <w:pPr>
        <w:keepNext/>
        <w:pBdr>
          <w:left w:val="single" w:sz="24" w:space="6" w:color="52B69A"/>
        </w:pBdr>
        <w:spacing w:before="120" w:after="60"/>
        <w:ind w:left="170"/>
      </w:pPr>
      <w:r>
        <w:rPr>
          <w:b/>
          <w:color w:val="0F172A"/>
          <w:sz w:val="20"/>
        </w:rPr>
        <w:t>ERP &amp; Accounting System Integration — scored 67/100</w:t>
      </w:r>
    </w:p>
    <w:p w:rsidR="0071529F" w:rsidRDefault="005C3D9E">
      <w:pPr>
        <w:keepNext/>
        <w:pBdr>
          <w:left w:val="single" w:sz="24" w:space="6" w:color="52B69A"/>
        </w:pBdr>
        <w:ind w:left="170"/>
      </w:pPr>
      <w:r>
        <w:t>Our assessment rests on the company's reported out-of-</w:t>
      </w:r>
      <w:r>
        <w:t>the-box compatibility with major global accounting suites and ERP systems to facilitate cross-system data synchronization. Based on primary research, the company's formal developer compliance badges and technical API documentation can be estimated as robus</w:t>
      </w:r>
      <w:r>
        <w:t>tly integrated with major accounting systems and local financial infrastructure, based on its AI-powered reconciliation matching engine operating in 60 seconds and payables automation across more than 190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w:t>
      </w:r>
      <w:r>
        <w:t>at its finance automation software integrates with major enterprise resource planning (ERP) systems and accounting tools including QuickBooks Online, Sage Accounting, Microsoft Dynamics 365 Business Central, Oracle NetSuite, Odoo, and ERPNext.</w:t>
      </w:r>
    </w:p>
    <w:p w:rsidR="0071529F" w:rsidRDefault="005C3D9E">
      <w:pPr>
        <w:pStyle w:val="ListBullet"/>
        <w:spacing w:after="60"/>
        <w:ind w:left="510"/>
      </w:pPr>
      <w:r>
        <w:t xml:space="preserve">The company </w:t>
      </w:r>
      <w:r>
        <w:t>reports that the platform acts as an ERP add-on to provide two-way transaction synchronization and real-time data integration for automated cash flow reconciliation.</w:t>
      </w:r>
    </w:p>
    <w:p w:rsidR="0071529F" w:rsidRDefault="005C3D9E">
      <w:pPr>
        <w:keepNext/>
        <w:pBdr>
          <w:left w:val="single" w:sz="24" w:space="6" w:color="52B69A"/>
        </w:pBdr>
        <w:spacing w:before="120" w:after="60"/>
        <w:ind w:left="170"/>
      </w:pPr>
      <w:r>
        <w:rPr>
          <w:b/>
          <w:color w:val="0F172A"/>
          <w:sz w:val="20"/>
        </w:rPr>
        <w:t>AI/ML &amp; Fraud Detection Capabilities — scored 83/100</w:t>
      </w:r>
    </w:p>
    <w:p w:rsidR="0071529F" w:rsidRDefault="005C3D9E">
      <w:pPr>
        <w:keepNext/>
        <w:pBdr>
          <w:left w:val="single" w:sz="24" w:space="6" w:color="52B69A"/>
        </w:pBdr>
        <w:ind w:left="170"/>
      </w:pPr>
      <w:r>
        <w:t>The evaluation rests on the company's</w:t>
      </w:r>
      <w:r>
        <w:t xml:space="preserve"> self-reported utilization of AI for basic transaction matching and its reliance on traditional workflow governance for fraud mitigation. Based on primary research, the company's predictive anomaly detection and duplicate invoice identification can be esti</w:t>
      </w:r>
      <w:r>
        <w:t>mated as exceptionally fast at identifying processing discrepancies, based on its capability to match 10,000 plus line transactions in seconds.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offering AI-powered matching within its automated reconciliation module, a</w:t>
      </w:r>
      <w:r>
        <w:t>llowing users to match transactions across records within 60 seconds and close books 10 times faster.</w:t>
      </w:r>
    </w:p>
    <w:p w:rsidR="0071529F" w:rsidRDefault="005C3D9E">
      <w:pPr>
        <w:pStyle w:val="ListBullet"/>
        <w:spacing w:after="60"/>
        <w:ind w:left="510"/>
      </w:pPr>
      <w:r>
        <w:t>The company highlights fraud prevention through rule-based platform security mechanisms, including multi-layer automated approval workflows, two-factor au</w:t>
      </w:r>
      <w:r>
        <w:t>thentication (2FA), and centralized transaction audit trails.</w:t>
      </w:r>
    </w:p>
    <w:p w:rsidR="0071529F" w:rsidRDefault="005C3D9E">
      <w:pPr>
        <w:keepNext/>
        <w:pBdr>
          <w:left w:val="single" w:sz="24" w:space="6" w:color="52B69A"/>
        </w:pBdr>
        <w:spacing w:before="120" w:after="60"/>
        <w:ind w:left="170"/>
      </w:pPr>
      <w:r>
        <w:rPr>
          <w:b/>
          <w:color w:val="0F172A"/>
          <w:sz w:val="20"/>
        </w:rPr>
        <w:t>Scalability &amp; Global Compliance Support — scored 76/100</w:t>
      </w:r>
    </w:p>
    <w:p w:rsidR="0071529F" w:rsidRDefault="005C3D9E">
      <w:pPr>
        <w:keepNext/>
        <w:pBdr>
          <w:left w:val="single" w:sz="24" w:space="6" w:color="52B69A"/>
        </w:pBdr>
        <w:ind w:left="170"/>
      </w:pPr>
      <w:r>
        <w:t>The assessment rests on the company's regional compliance features for African banking frameworks and its self-reported multi-country payl</w:t>
      </w:r>
      <w:r>
        <w:t>oad capabilities. Based on primary research, the company's maximum invoice transaction volume thresholds and framework compliance can be estimated as robustly scalable for enterprise level cross border transactions, based on its automation of payables acro</w:t>
      </w:r>
      <w:r>
        <w:t>ss 190 plus countries.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supports accounts payable processing locally or in over 190 countries, alongside multi-currency cross-border transactions.</w:t>
      </w:r>
    </w:p>
    <w:p w:rsidR="0071529F" w:rsidRDefault="005C3D9E">
      <w:pPr>
        <w:pStyle w:val="ListBullet"/>
        <w:spacing w:after="60"/>
        <w:ind w:left="510"/>
      </w:pPr>
      <w:r>
        <w:lastRenderedPageBreak/>
        <w:t>The company reports that its software architecture inc</w:t>
      </w:r>
      <w:r>
        <w:t>ludes regional compliance tools optimized for West and East African markets, featuring specific features like Naira/NGN support, local bank API integrations, and built-in regulatory mechanisms for VAT and withholding tax.</w:t>
      </w:r>
    </w:p>
    <w:p w:rsidR="0071529F" w:rsidRDefault="005C3D9E">
      <w:pPr>
        <w:keepNext/>
        <w:pBdr>
          <w:bottom w:val="single" w:sz="6" w:space="3" w:color="E2E8F0"/>
        </w:pBdr>
        <w:spacing w:before="120" w:after="120"/>
      </w:pPr>
      <w:r>
        <w:rPr>
          <w:b/>
          <w:caps/>
          <w:color w:val="1A759F"/>
        </w:rPr>
        <w:t>Y — Business Capability</w:t>
      </w:r>
    </w:p>
    <w:p w:rsidR="0071529F" w:rsidRDefault="005C3D9E">
      <w:pPr>
        <w:keepNext/>
        <w:pBdr>
          <w:left w:val="single" w:sz="24" w:space="6" w:color="52B69A"/>
        </w:pBdr>
        <w:spacing w:before="120" w:after="60"/>
        <w:ind w:left="170"/>
      </w:pPr>
      <w:r>
        <w:rPr>
          <w:b/>
          <w:color w:val="0F172A"/>
          <w:sz w:val="20"/>
        </w:rPr>
        <w:t>Customer B</w:t>
      </w:r>
      <w:r>
        <w:rPr>
          <w:b/>
          <w:color w:val="0F172A"/>
          <w:sz w:val="20"/>
        </w:rPr>
        <w:t>ase &amp; Contract Wins — scored 71/100</w:t>
      </w:r>
    </w:p>
    <w:p w:rsidR="0071529F" w:rsidRDefault="005C3D9E">
      <w:pPr>
        <w:keepNext/>
        <w:pBdr>
          <w:left w:val="single" w:sz="24" w:space="6" w:color="52B69A"/>
        </w:pBdr>
        <w:ind w:left="170"/>
      </w:pPr>
      <w:r>
        <w:t>The rating rests on the company's disclosure of specific named enterprise customers within the microfinance banking sector. Based on primary research, the company's total customer count and transaction amounts can be est</w:t>
      </w:r>
      <w:r>
        <w:t>imated as growing steadily among fast growing regional small and medium businesses, based on its cash management platform launch in Nigeria and Kenya.</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 xml:space="preserve">The company reports that its platform is trusted by leading players in the financial </w:t>
      </w:r>
      <w:r>
        <w:t>sector, specifically naming Capital Express Microfinance Bank, Grooming Microfinance Bank, Davodani Microfinance Bank, Asha Microfinance Bank, and Seap Microfinance Bank.</w:t>
      </w:r>
    </w:p>
    <w:p w:rsidR="0071529F" w:rsidRDefault="005C3D9E">
      <w:pPr>
        <w:keepNext/>
        <w:pBdr>
          <w:left w:val="single" w:sz="24" w:space="6" w:color="52B69A"/>
        </w:pBdr>
        <w:spacing w:before="120" w:after="60"/>
        <w:ind w:left="170"/>
      </w:pPr>
      <w:r>
        <w:rPr>
          <w:b/>
          <w:color w:val="0F172A"/>
          <w:sz w:val="20"/>
        </w:rPr>
        <w:t>Revenue Growth &amp; Financial Health — scored 65/100</w:t>
      </w:r>
    </w:p>
    <w:p w:rsidR="0071529F" w:rsidRDefault="005C3D9E">
      <w:pPr>
        <w:keepNext/>
        <w:pBdr>
          <w:left w:val="single" w:sz="24" w:space="6" w:color="52B69A"/>
        </w:pBdr>
        <w:ind w:left="170"/>
      </w:pPr>
      <w:r>
        <w:t xml:space="preserve">Based on primary research, the </w:t>
      </w:r>
      <w:r>
        <w:t>company's annual recurring revenue and profitability metrics can be estimated as strong in line with early stage business to business software as a service providers, based on its launch of cash flow management and procurement tools for small and medium bu</w:t>
      </w:r>
      <w:r>
        <w:t>sinesses.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Geographic Coverage &amp; Partner Network — scored 74/100</w:t>
      </w:r>
    </w:p>
    <w:p w:rsidR="0071529F" w:rsidRDefault="005C3D9E">
      <w:pPr>
        <w:keepNext/>
        <w:pBdr>
          <w:left w:val="single" w:sz="24" w:space="6" w:color="52B69A"/>
        </w:pBdr>
        <w:ind w:left="170"/>
      </w:pPr>
      <w:r>
        <w:t>The assessment rests on the company's self-reported operational presence in East and West Africa, along with global invoice processing capabilities. Based on pr</w:t>
      </w:r>
      <w:r>
        <w:t xml:space="preserve">imary research, the company's number of regional offices, size of channel reseller network, and strategic partner network details can be estimated as localized to major East and West African commercial centers with emerging regional partnerships, based on </w:t>
      </w:r>
      <w:r>
        <w:t>its operations spanning payables automation in over 190 countries and its core focus on modern African businesses.</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The company reports that its platform is live and operates primarily in Nigeria and Kenya.</w:t>
      </w:r>
    </w:p>
    <w:p w:rsidR="0071529F" w:rsidRDefault="005C3D9E">
      <w:pPr>
        <w:pStyle w:val="ListBullet"/>
        <w:spacing w:after="60"/>
        <w:ind w:left="510"/>
      </w:pPr>
      <w:r>
        <w:t>The company reports that its sma</w:t>
      </w:r>
      <w:r>
        <w:t>rter payables feature automates invoice processing locally or across more than 190 countries.</w:t>
      </w:r>
    </w:p>
    <w:p w:rsidR="0071529F" w:rsidRDefault="005C3D9E">
      <w:pPr>
        <w:keepNext/>
        <w:pBdr>
          <w:left w:val="single" w:sz="24" w:space="6" w:color="52B69A"/>
        </w:pBdr>
        <w:spacing w:before="120" w:after="60"/>
        <w:ind w:left="170"/>
      </w:pPr>
      <w:r>
        <w:rPr>
          <w:b/>
          <w:color w:val="0F172A"/>
          <w:sz w:val="20"/>
        </w:rPr>
        <w:t>Market Share &amp; Competitive Positioning — scored 67/100</w:t>
      </w:r>
    </w:p>
    <w:p w:rsidR="0071529F" w:rsidRDefault="005C3D9E">
      <w:pPr>
        <w:keepNext/>
        <w:pBdr>
          <w:left w:val="single" w:sz="24" w:space="6" w:color="52B69A"/>
        </w:pBdr>
        <w:ind w:left="170"/>
      </w:pPr>
      <w:r>
        <w:t>Based on primary research, the company's market share or competitive win metrics can be estimated as broadl</w:t>
      </w:r>
      <w:r>
        <w:t>y established internationally with rapid transaction processing capabilities, based on its presence across over 190 countries and a 60 second automated reconciliation matching engine.</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keepNext/>
        <w:pBdr>
          <w:left w:val="single" w:sz="24" w:space="6" w:color="52B69A"/>
        </w:pBdr>
        <w:spacing w:before="120" w:after="60"/>
        <w:ind w:left="170"/>
      </w:pPr>
      <w:r>
        <w:rPr>
          <w:b/>
          <w:color w:val="0F172A"/>
          <w:sz w:val="20"/>
        </w:rPr>
        <w:t>Funding &amp; Strategic Investments — scored</w:t>
      </w:r>
      <w:r>
        <w:rPr>
          <w:b/>
          <w:color w:val="0F172A"/>
          <w:sz w:val="20"/>
        </w:rPr>
        <w:t xml:space="preserve"> 65/100</w:t>
      </w:r>
    </w:p>
    <w:p w:rsidR="0071529F" w:rsidRDefault="005C3D9E">
      <w:pPr>
        <w:keepNext/>
        <w:pBdr>
          <w:left w:val="single" w:sz="24" w:space="6" w:color="52B69A"/>
        </w:pBdr>
        <w:ind w:left="170"/>
      </w:pPr>
      <w:r>
        <w:t>The rating sits at the lower end of the peer range, as the company has announced no external funding rounds. Based on primary research, the company's total funding raised or institutional backing can be estimated as substantial enough to support sc</w:t>
      </w:r>
      <w:r>
        <w:t>aled global infrastructure and high-speed engine development, based on its capability to support payments across 190 countries and develop a 5 times faster payment collection mechanism.</w:t>
      </w:r>
    </w:p>
    <w:p w:rsidR="0071529F" w:rsidRDefault="005C3D9E">
      <w:pPr>
        <w:keepNext/>
        <w:spacing w:after="40"/>
        <w:ind w:left="170"/>
      </w:pPr>
      <w:r>
        <w:rPr>
          <w:b/>
          <w:caps/>
          <w:color w:val="64748B"/>
          <w:sz w:val="15"/>
        </w:rPr>
        <w:t>Supporting points</w:t>
      </w:r>
    </w:p>
    <w:p w:rsidR="0071529F" w:rsidRDefault="005C3D9E">
      <w:pPr>
        <w:pStyle w:val="ListBullet"/>
        <w:spacing w:after="60"/>
        <w:ind w:left="510"/>
      </w:pPr>
      <w:r>
        <w:t>Not available</w:t>
      </w:r>
    </w:p>
    <w:p w:rsidR="0071529F" w:rsidRDefault="005C3D9E">
      <w:pPr>
        <w:pStyle w:val="Heading1"/>
        <w:pageBreakBefore/>
        <w:pBdr>
          <w:bottom w:val="single" w:sz="24" w:space="6" w:color="52B69A"/>
        </w:pBdr>
      </w:pPr>
      <w:bookmarkStart w:id="27" w:name="_Toc24244717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X — Technology C</w:t>
            </w:r>
            <w:r>
              <w:rPr>
                <w:b/>
                <w:color w:val="0F172A"/>
                <w:sz w:val="20"/>
              </w:rPr>
              <w:t>apability</w:t>
            </w:r>
          </w:p>
          <w:p w:rsidR="0071529F" w:rsidRDefault="005C3D9E">
            <w:pPr>
              <w:spacing w:after="20" w:line="240" w:lineRule="auto"/>
            </w:pPr>
            <w:r>
              <w:rPr>
                <w:b/>
                <w:color w:val="0F172A"/>
              </w:rPr>
              <w:t>1. Invoice Capture &amp; Data Extraction Accuracy</w:t>
            </w:r>
          </w:p>
          <w:p w:rsidR="0071529F" w:rsidRDefault="005C3D9E">
            <w:pPr>
              <w:spacing w:after="20" w:line="240" w:lineRule="auto"/>
              <w:ind w:left="283"/>
            </w:pPr>
            <w:r>
              <w:rPr>
                <w:color w:val="475569"/>
                <w:sz w:val="18"/>
              </w:rPr>
              <w:t xml:space="preserve">Measures the ability to accurately extract data from invoices (paper, PDF, e-invoice) using OCR, machine learning, and validation rules. Evidence includes published accuracy rates, supported formats, </w:t>
            </w:r>
            <w:r>
              <w:rPr>
                <w:color w:val="475569"/>
                <w:sz w:val="18"/>
              </w:rPr>
              <w:t>and touchless processing rates.</w:t>
            </w:r>
          </w:p>
          <w:p w:rsidR="0071529F" w:rsidRDefault="005C3D9E">
            <w:pPr>
              <w:spacing w:after="20" w:line="240" w:lineRule="auto"/>
            </w:pPr>
            <w:r>
              <w:rPr>
                <w:b/>
                <w:color w:val="0F172A"/>
              </w:rPr>
              <w:t>2. Workflow Automation &amp; Approval Routing</w:t>
            </w:r>
          </w:p>
          <w:p w:rsidR="0071529F" w:rsidRDefault="005C3D9E">
            <w:pPr>
              <w:spacing w:after="20" w:line="240" w:lineRule="auto"/>
              <w:ind w:left="283"/>
            </w:pPr>
            <w:r>
              <w:rPr>
                <w:color w:val="475569"/>
                <w:sz w:val="18"/>
              </w:rPr>
              <w:t xml:space="preserve">Assesses the flexibility and depth of automated approval workflows, including conditional routing, exception handling, and audit trails. Evidence includes configurable rules, mobile </w:t>
            </w:r>
            <w:r>
              <w:rPr>
                <w:color w:val="475569"/>
                <w:sz w:val="18"/>
              </w:rPr>
              <w:t>approvals, and integration with procurement systems.</w:t>
            </w:r>
          </w:p>
          <w:p w:rsidR="0071529F" w:rsidRDefault="005C3D9E">
            <w:pPr>
              <w:spacing w:after="20" w:line="240" w:lineRule="auto"/>
            </w:pPr>
            <w:r>
              <w:rPr>
                <w:b/>
                <w:color w:val="0F172A"/>
              </w:rPr>
              <w:t>3. ERP &amp; Accounting System Integration</w:t>
            </w:r>
          </w:p>
          <w:p w:rsidR="0071529F" w:rsidRDefault="005C3D9E">
            <w:pPr>
              <w:spacing w:after="20" w:line="240" w:lineRule="auto"/>
              <w:ind w:left="283"/>
            </w:pPr>
            <w:r>
              <w:rPr>
                <w:color w:val="475569"/>
                <w:sz w:val="18"/>
              </w:rPr>
              <w:t>Evaluates native connectors and APIs for major ERP and accounting platforms (e.g., SAP, Oracle, NetSuite, QuickBooks). Evidence includes certified integrations, rea</w:t>
            </w:r>
            <w:r>
              <w:rPr>
                <w:color w:val="475569"/>
                <w:sz w:val="18"/>
              </w:rPr>
              <w:t>l-time sync, and pre-built connectors.</w:t>
            </w:r>
          </w:p>
          <w:p w:rsidR="0071529F" w:rsidRDefault="005C3D9E">
            <w:pPr>
              <w:spacing w:after="20" w:line="240" w:lineRule="auto"/>
            </w:pPr>
            <w:r>
              <w:rPr>
                <w:b/>
                <w:color w:val="0F172A"/>
              </w:rPr>
              <w:t>4. AI/ML &amp; Fraud Detection Capabilities</w:t>
            </w:r>
          </w:p>
          <w:p w:rsidR="0071529F" w:rsidRDefault="005C3D9E">
            <w:pPr>
              <w:spacing w:after="20" w:line="240" w:lineRule="auto"/>
              <w:ind w:left="283"/>
            </w:pPr>
            <w:r>
              <w:rPr>
                <w:color w:val="475569"/>
                <w:sz w:val="18"/>
              </w:rPr>
              <w:t>Covers the use of artificial intelligence for anomaly detection, duplicate invoice identification, and predictive analytics. Evidence includes model accuracy, fraud prevention f</w:t>
            </w:r>
            <w:r>
              <w:rPr>
                <w:color w:val="475569"/>
                <w:sz w:val="18"/>
              </w:rPr>
              <w:t>eatures, and continuous learning.</w:t>
            </w:r>
          </w:p>
          <w:p w:rsidR="0071529F" w:rsidRDefault="005C3D9E">
            <w:pPr>
              <w:spacing w:after="20" w:line="240" w:lineRule="auto"/>
            </w:pPr>
            <w:r>
              <w:rPr>
                <w:b/>
                <w:color w:val="0F172A"/>
              </w:rPr>
              <w:t>5. Scalability &amp; Global Compliance Support</w:t>
            </w:r>
          </w:p>
          <w:p w:rsidR="0071529F" w:rsidRDefault="005C3D9E">
            <w:pPr>
              <w:spacing w:after="20" w:line="240" w:lineRule="auto"/>
              <w:ind w:left="283"/>
            </w:pPr>
            <w:r>
              <w:rPr>
                <w:color w:val="475569"/>
                <w:sz w:val="18"/>
              </w:rPr>
              <w:t xml:space="preserve">Assesses the platform's ability to handle high transaction volumes and comply with global tax and e-invoicing regulations (e.g., VAT, GST, PEPPOL). Evidence includes uptime SLAs, </w:t>
            </w:r>
            <w:r>
              <w:rPr>
                <w:color w:val="475569"/>
                <w:sz w:val="18"/>
              </w:rPr>
              <w:t>multi-country compliance, and scalability benchmarks.</w:t>
            </w:r>
          </w:p>
        </w:tc>
      </w:tr>
    </w:tbl>
    <w:p w:rsidR="0071529F" w:rsidRDefault="0071529F"/>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1529F">
        <w:trPr>
          <w:cantSplit/>
          <w:jc w:val="center"/>
        </w:trPr>
        <w:tc>
          <w:tcPr>
            <w:tcW w:w="10092" w:type="dxa"/>
            <w:shd w:val="clear" w:color="auto" w:fill="F8FAFC"/>
            <w:tcMar>
              <w:top w:w="160" w:type="dxa"/>
              <w:left w:w="160" w:type="dxa"/>
              <w:bottom w:w="160" w:type="dxa"/>
              <w:right w:w="160" w:type="dxa"/>
            </w:tcMar>
          </w:tcPr>
          <w:p w:rsidR="0071529F" w:rsidRDefault="005C3D9E">
            <w:pPr>
              <w:spacing w:after="20" w:line="240" w:lineRule="auto"/>
            </w:pPr>
            <w:r>
              <w:rPr>
                <w:b/>
                <w:color w:val="0F172A"/>
                <w:sz w:val="20"/>
              </w:rPr>
              <w:t>Y — Business Capability</w:t>
            </w:r>
          </w:p>
          <w:p w:rsidR="0071529F" w:rsidRDefault="005C3D9E">
            <w:pPr>
              <w:spacing w:after="20" w:line="240" w:lineRule="auto"/>
            </w:pPr>
            <w:r>
              <w:rPr>
                <w:b/>
                <w:color w:val="0F172A"/>
              </w:rPr>
              <w:t>1. Customer Base &amp; Contract Wins</w:t>
            </w:r>
          </w:p>
          <w:p w:rsidR="0071529F" w:rsidRDefault="005C3D9E">
            <w:pPr>
              <w:spacing w:after="20" w:line="240" w:lineRule="auto"/>
              <w:ind w:left="283"/>
            </w:pPr>
            <w:r>
              <w:rPr>
                <w:color w:val="475569"/>
                <w:sz w:val="18"/>
              </w:rPr>
              <w:t>Measures the number and size of enterprise customers, including named logos and contract values. Evidence includes customer count, average cont</w:t>
            </w:r>
            <w:r>
              <w:rPr>
                <w:color w:val="475569"/>
                <w:sz w:val="18"/>
              </w:rPr>
              <w:t>ract value, and recent deal announcements.</w:t>
            </w:r>
          </w:p>
          <w:p w:rsidR="0071529F" w:rsidRDefault="005C3D9E">
            <w:pPr>
              <w:spacing w:after="20" w:line="240" w:lineRule="auto"/>
            </w:pPr>
            <w:r>
              <w:rPr>
                <w:b/>
                <w:color w:val="0F172A"/>
              </w:rPr>
              <w:t>2. Revenue Growth &amp; Financial Health</w:t>
            </w:r>
          </w:p>
          <w:p w:rsidR="0071529F" w:rsidRDefault="005C3D9E">
            <w:pPr>
              <w:spacing w:after="20" w:line="240" w:lineRule="auto"/>
              <w:ind w:left="283"/>
            </w:pPr>
            <w:r>
              <w:rPr>
                <w:color w:val="475569"/>
                <w:sz w:val="18"/>
              </w:rPr>
              <w:t>Tracks revenue, growth rate, profitability, and funding status. Evidence includes annual recurring revenue (ARR), year-over-year growth, and profitability metrics.</w:t>
            </w:r>
          </w:p>
          <w:p w:rsidR="0071529F" w:rsidRDefault="005C3D9E">
            <w:pPr>
              <w:spacing w:after="20" w:line="240" w:lineRule="auto"/>
            </w:pPr>
            <w:r>
              <w:rPr>
                <w:b/>
                <w:color w:val="0F172A"/>
              </w:rPr>
              <w:t xml:space="preserve">3. </w:t>
            </w:r>
            <w:r>
              <w:rPr>
                <w:b/>
                <w:color w:val="0F172A"/>
              </w:rPr>
              <w:t>Geographic Coverage &amp; Partner Network</w:t>
            </w:r>
          </w:p>
          <w:p w:rsidR="0071529F" w:rsidRDefault="005C3D9E">
            <w:pPr>
              <w:spacing w:after="20" w:line="240" w:lineRule="auto"/>
              <w:ind w:left="283"/>
            </w:pPr>
            <w:r>
              <w:rPr>
                <w:color w:val="475569"/>
                <w:sz w:val="18"/>
              </w:rPr>
              <w:t>Assesses the global reach through offices, partners, and resellers. Evidence includes number of countries served, strategic partnerships, and channel network size.</w:t>
            </w:r>
          </w:p>
          <w:p w:rsidR="0071529F" w:rsidRDefault="005C3D9E">
            <w:pPr>
              <w:spacing w:after="20" w:line="240" w:lineRule="auto"/>
            </w:pPr>
            <w:r>
              <w:rPr>
                <w:b/>
                <w:color w:val="0F172A"/>
              </w:rPr>
              <w:t>4. Market Share &amp; Competitive Positioning</w:t>
            </w:r>
          </w:p>
          <w:p w:rsidR="0071529F" w:rsidRDefault="005C3D9E">
            <w:pPr>
              <w:spacing w:after="20" w:line="240" w:lineRule="auto"/>
              <w:ind w:left="283"/>
            </w:pPr>
            <w:r>
              <w:rPr>
                <w:color w:val="475569"/>
                <w:sz w:val="18"/>
              </w:rPr>
              <w:t>Evaluates th</w:t>
            </w:r>
            <w:r>
              <w:rPr>
                <w:color w:val="475569"/>
                <w:sz w:val="18"/>
              </w:rPr>
              <w:t>e company's share of the AP automation market relative to competitors. Evidence includes analyst rankings, market share estimates, and competitive win rates.</w:t>
            </w:r>
          </w:p>
          <w:p w:rsidR="0071529F" w:rsidRDefault="005C3D9E">
            <w:pPr>
              <w:spacing w:after="20" w:line="240" w:lineRule="auto"/>
            </w:pPr>
            <w:r>
              <w:rPr>
                <w:b/>
                <w:color w:val="0F172A"/>
              </w:rPr>
              <w:t>5. Funding &amp; Strategic Investments</w:t>
            </w:r>
          </w:p>
          <w:p w:rsidR="0071529F" w:rsidRDefault="005C3D9E">
            <w:pPr>
              <w:spacing w:after="20" w:line="240" w:lineRule="auto"/>
              <w:ind w:left="283"/>
            </w:pPr>
            <w:r>
              <w:rPr>
                <w:color w:val="475569"/>
                <w:sz w:val="18"/>
              </w:rPr>
              <w:t xml:space="preserve">Covers total funding raised, investors, and strategic </w:t>
            </w:r>
            <w:r>
              <w:rPr>
                <w:color w:val="475569"/>
                <w:sz w:val="18"/>
              </w:rPr>
              <w:t>investments or acquisitions. Evidence includes funding rounds, investor names, and M&amp;A activity.</w:t>
            </w:r>
          </w:p>
        </w:tc>
      </w:tr>
    </w:tbl>
    <w:p w:rsidR="0071529F" w:rsidRDefault="0071529F"/>
    <w:p w:rsidR="0071529F" w:rsidRDefault="005C3D9E">
      <w:pPr>
        <w:pStyle w:val="Heading1"/>
        <w:pageBreakBefore/>
        <w:pBdr>
          <w:bottom w:val="single" w:sz="24" w:space="6" w:color="52B69A"/>
        </w:pBdr>
      </w:pPr>
      <w:bookmarkStart w:id="28" w:name="_Toc242447172"/>
      <w:r>
        <w:lastRenderedPageBreak/>
        <w:t>Research Methodology</w:t>
      </w:r>
      <w:bookmarkEnd w:id="28"/>
    </w:p>
    <w:p w:rsidR="0071529F" w:rsidRDefault="005C3D9E">
      <w:pPr>
        <w:spacing w:after="200"/>
      </w:pPr>
      <w:r>
        <w:rPr>
          <w:color w:val="64748B"/>
        </w:rPr>
        <w:t xml:space="preserve">This quadrant was compiled independently through structured secondary research, supplemented by primary research where available. It is </w:t>
      </w:r>
      <w:r>
        <w:rPr>
          <w:color w:val="64748B"/>
        </w:rPr>
        <w:t>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Market Definition</w:t>
            </w:r>
          </w:p>
          <w:p w:rsidR="0071529F" w:rsidRDefault="005C3D9E">
            <w:pPr>
              <w:spacing w:after="20" w:line="240" w:lineRule="auto"/>
            </w:pPr>
            <w:r>
              <w:rPr>
                <w:sz w:val="18"/>
              </w:rPr>
              <w:t>The market scope and the type of company that qualifies were defined first. Five parameters were</w:t>
            </w:r>
            <w:r>
              <w:rPr>
                <w:sz w:val="18"/>
              </w:rPr>
              <w:t xml:space="preserve"> then set for each axis, each with a written definition: the X axis measures core capability (products, services or technology) and the Y axis measures business capability.</w:t>
            </w:r>
          </w:p>
        </w:tc>
      </w:tr>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Secondary and Primary Research</w:t>
            </w:r>
          </w:p>
          <w:p w:rsidR="0071529F" w:rsidRDefault="005C3D9E">
            <w:pPr>
              <w:spacing w:after="20" w:line="240" w:lineRule="auto"/>
            </w:pPr>
            <w:r>
              <w:rPr>
                <w:sz w:val="18"/>
              </w:rPr>
              <w:t>Secondary research covered company websites, fili</w:t>
            </w:r>
            <w:r>
              <w:rPr>
                <w:sz w:val="18"/>
              </w:rPr>
              <w:t>ngs, trade directories, industry publications and news. Primary research drew on B2B marketplace listings, where available, to confirm company offerings. Coverage was extended region by region until no new qualifying companies emerged.</w:t>
            </w:r>
          </w:p>
        </w:tc>
      </w:tr>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Screening</w:t>
            </w:r>
          </w:p>
          <w:p w:rsidR="0071529F" w:rsidRDefault="005C3D9E">
            <w:pPr>
              <w:spacing w:after="20" w:line="240" w:lineRule="auto"/>
            </w:pPr>
            <w:r>
              <w:rPr>
                <w:sz w:val="18"/>
              </w:rPr>
              <w:t>Each ca</w:t>
            </w:r>
            <w:r>
              <w:rPr>
                <w:sz w:val="18"/>
              </w:rPr>
              <w:t>ndidate was screened against the market's inclusion criteria and required commercial role. Distributors, resellers, consultancies, contract manufacturers and media names were excluded, and duplicates consolidated. Companies whose main business is an adjace</w:t>
            </w:r>
            <w:r>
              <w:rPr>
                <w:sz w:val="18"/>
              </w:rPr>
              <w:t>nt segment are listed but not placed on the chart.</w:t>
            </w:r>
          </w:p>
        </w:tc>
      </w:tr>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Evidence Compilation</w:t>
            </w:r>
          </w:p>
          <w:p w:rsidR="0071529F" w:rsidRDefault="005C3D9E">
            <w:pPr>
              <w:spacing w:after="20" w:line="240" w:lineRule="auto"/>
            </w:pPr>
            <w:r>
              <w:rPr>
                <w:sz w:val="18"/>
              </w:rPr>
              <w:t>Every screened company was assessed on all ten parameters; for chart companies, evidence was recorded parameter by parameter. Claims resting only on a company's own materials are re</w:t>
            </w:r>
            <w:r>
              <w:rPr>
                <w:sz w:val="18"/>
              </w:rPr>
              <w:t>ported as company-reported, partner technology is credited to the partnership, and employee-review sites are not used as customer evidence.</w:t>
            </w:r>
          </w:p>
        </w:tc>
      </w:tr>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Scoring</w:t>
            </w:r>
          </w:p>
          <w:p w:rsidR="0071529F" w:rsidRDefault="005C3D9E">
            <w:pPr>
              <w:spacing w:after="20" w:line="240" w:lineRule="auto"/>
            </w:pPr>
            <w:r>
              <w:rPr>
                <w:sz w:val="18"/>
              </w:rPr>
              <w:t xml:space="preserve">Each parameter is rated 0–100 against its written definition, based on the evidence available. Ratings </w:t>
            </w:r>
            <w:r>
              <w:rPr>
                <w:sz w:val="18"/>
              </w:rPr>
              <w:t>are analyst assessments under this methodology, not independently audited figures. X and Y are the simple average of the five parameter ratings on each axis; overall is the average of X and Y.</w:t>
            </w:r>
          </w:p>
        </w:tc>
      </w:tr>
      <w:tr w:rsidR="0071529F">
        <w:trPr>
          <w:cantSplit/>
          <w:jc w:val="center"/>
        </w:trPr>
        <w:tc>
          <w:tcPr>
            <w:tcW w:w="1009" w:type="dxa"/>
            <w:shd w:val="clear" w:color="auto" w:fill="1A759F"/>
            <w:tcMar>
              <w:top w:w="140" w:type="dxa"/>
              <w:left w:w="140" w:type="dxa"/>
              <w:bottom w:w="140" w:type="dxa"/>
              <w:right w:w="140" w:type="dxa"/>
            </w:tcMar>
            <w:vAlign w:val="center"/>
          </w:tcPr>
          <w:p w:rsidR="0071529F" w:rsidRDefault="005C3D9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1529F" w:rsidRDefault="005C3D9E">
            <w:pPr>
              <w:spacing w:after="20" w:line="240" w:lineRule="auto"/>
            </w:pPr>
            <w:r>
              <w:rPr>
                <w:b/>
                <w:color w:val="0F172A"/>
                <w:sz w:val="20"/>
              </w:rPr>
              <w:t>Normalization &amp; Selection</w:t>
            </w:r>
          </w:p>
          <w:p w:rsidR="0071529F" w:rsidRDefault="005C3D9E">
            <w:pPr>
              <w:spacing w:after="20" w:line="240" w:lineRule="auto"/>
            </w:pPr>
            <w:r>
              <w:rPr>
                <w:sz w:val="18"/>
              </w:rPr>
              <w:t>X and Y scores are rescaled to a 6</w:t>
            </w:r>
            <w:r>
              <w:rPr>
                <w:sz w:val="18"/>
              </w:rPr>
              <w:t>5–100 range across all companies assessed, preserving their rank order. The chart shows an equal number of companies from each of the four quadrants, with boundaries set at the median. All other companies are listed in the table below the chart.</w:t>
            </w:r>
          </w:p>
        </w:tc>
      </w:tr>
    </w:tbl>
    <w:p w:rsidR="0071529F" w:rsidRDefault="005C3D9E">
      <w:pPr>
        <w:spacing w:before="200"/>
      </w:pPr>
      <w:r>
        <w:rPr>
          <w:color w:val="64748B"/>
          <w:sz w:val="17"/>
        </w:rPr>
        <w:t>Scoring i</w:t>
      </w:r>
      <w:r>
        <w:rPr>
          <w:color w:val="64748B"/>
          <w:sz w:val="17"/>
        </w:rPr>
        <w:t>nputs: each axis is built from five market-specific parameters, defined in the Parameter Definitions section. All parameters are equally weighted.</w:t>
      </w:r>
    </w:p>
    <w:p w:rsidR="0071529F" w:rsidRDefault="0071529F">
      <w:pPr>
        <w:sectPr w:rsidR="0071529F">
          <w:footerReference w:type="default" r:id="rId11"/>
          <w:pgSz w:w="11906" w:h="16838"/>
          <w:pgMar w:top="907" w:right="907" w:bottom="907" w:left="907" w:header="0" w:footer="0" w:gutter="0"/>
          <w:cols w:space="720"/>
          <w:docGrid w:linePitch="360"/>
        </w:sectPr>
      </w:pPr>
    </w:p>
    <w:p w:rsidR="0071529F" w:rsidRDefault="005C3D9E">
      <w:pPr>
        <w:spacing w:after="0"/>
      </w:pPr>
      <w:r>
        <w:rPr>
          <w:noProof/>
        </w:rPr>
        <w:lastRenderedPageBreak/>
        <w:drawing>
          <wp:inline distT="0" distB="0" distL="0" distR="0">
            <wp:extent cx="7560000" cy="10189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560000" cy="10189764"/>
                    </a:xfrm>
                    <a:prstGeom prst="rect">
                      <a:avLst/>
                    </a:prstGeom>
                  </pic:spPr>
                </pic:pic>
              </a:graphicData>
            </a:graphic>
          </wp:inline>
        </w:drawing>
      </w:r>
    </w:p>
    <w:sectPr w:rsidR="0071529F" w:rsidSect="00034616">
      <w:footerReference w:type="default" r:id="rId13"/>
      <w:pgSz w:w="11906" w:h="16838"/>
      <w:pgMar w:top="0" w:right="0" w:bottom="680" w:left="0" w:header="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C3D9E">
      <w:pPr>
        <w:spacing w:after="0" w:line="240" w:lineRule="auto"/>
      </w:pPr>
      <w:r>
        <w:separator/>
      </w:r>
    </w:p>
  </w:endnote>
  <w:endnote w:type="continuationSeparator" w:id="0">
    <w:p w:rsidR="00000000" w:rsidRDefault="005C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29F" w:rsidRDefault="0071529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29F" w:rsidRDefault="005C3D9E">
    <w:pPr>
      <w:pStyle w:val="Footer"/>
    </w:pPr>
    <w:r>
      <w:rPr>
        <w:color w:val="64748B"/>
        <w:sz w:val="14"/>
      </w:rPr>
      <w:t>Coherent Quadrant · Accounts Payable Automation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73</w:t>
    </w:r>
    <w:r>
      <w:rPr>
        <w:color w:val="64748B"/>
        <w:sz w:val="1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29F" w:rsidRDefault="005C3D9E">
    <w:pPr>
      <w:pStyle w:val="Footer"/>
      <w:ind w:left="907" w:right="907"/>
    </w:pPr>
    <w:r>
      <w:rPr>
        <w:color w:val="64748B"/>
        <w:sz w:val="14"/>
      </w:rPr>
      <w:t>Coherent Quadrant · Accounts Payable Automation Market</w:t>
    </w:r>
    <w:r>
      <w:rPr>
        <w:color w:val="64748B"/>
        <w:sz w:val="14"/>
      </w:rPr>
      <w:ptab w:relativeTo="indent"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C3D9E">
      <w:pPr>
        <w:spacing w:after="0" w:line="240" w:lineRule="auto"/>
      </w:pPr>
      <w:r>
        <w:separator/>
      </w:r>
    </w:p>
  </w:footnote>
  <w:footnote w:type="continuationSeparator" w:id="0">
    <w:p w:rsidR="00000000" w:rsidRDefault="005C3D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3D9E"/>
    <w:rsid w:val="007152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F4C0F8A-8D04-497E-8BFF-D0121715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C3D9E"/>
    <w:pPr>
      <w:spacing w:after="100"/>
    </w:pPr>
  </w:style>
  <w:style w:type="paragraph" w:styleId="TOC2">
    <w:name w:val="toc 2"/>
    <w:basedOn w:val="Normal"/>
    <w:next w:val="Normal"/>
    <w:autoRedefine/>
    <w:uiPriority w:val="39"/>
    <w:unhideWhenUsed/>
    <w:rsid w:val="005C3D9E"/>
    <w:pPr>
      <w:spacing w:after="100"/>
      <w:ind w:left="190"/>
    </w:pPr>
  </w:style>
  <w:style w:type="character" w:styleId="Hyperlink">
    <w:name w:val="Hyperlink"/>
    <w:basedOn w:val="DefaultParagraphFont"/>
    <w:uiPriority w:val="99"/>
    <w:unhideWhenUsed/>
    <w:rsid w:val="005C3D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204C9-8BFC-41A3-9DD5-A2456A088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31455</Words>
  <Characters>179297</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2026-10-09T08:35:00Z</dcterms:modified>
  <cp:category/>
</cp:coreProperties>
</file>